
<file path=[Content_Types].xml><?xml version="1.0" encoding="utf-8"?>
<Types xmlns="http://schemas.openxmlformats.org/package/2006/content-types">
  <Default Extension="xml" ContentType="application/xml"/>
  <Default Extension="bin" ContentType="application/vnd.openxmlformats-officedocument.oleObject"/>
  <Default Extension="jpeg" ContentType="image/jpeg"/>
  <Default Extension="png" ContentType="image/pn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default" w:eastAsia="宋体"/>
          <w:color w:val="auto"/>
          <w:highlight w:val="none"/>
          <w:lang w:val="en-US" w:eastAsia="zh-CN"/>
        </w:rPr>
      </w:pPr>
    </w:p>
    <w:p>
      <w:pPr>
        <w:rPr>
          <w:rFonts w:hint="eastAsia" w:ascii="仿宋_GB2312" w:hAnsi="仿宋_GB2312" w:eastAsia="仿宋_GB2312" w:cs="仿宋_GB2312"/>
          <w:color w:val="auto"/>
          <w:sz w:val="36"/>
          <w:szCs w:val="36"/>
          <w:highlight w:val="none"/>
          <w:lang w:val="en-US" w:eastAsia="zh-CN"/>
        </w:rPr>
      </w:pPr>
    </w:p>
    <w:p>
      <w:pPr>
        <w:adjustRightInd w:val="0"/>
        <w:snapToGrid w:val="0"/>
        <w:jc w:val="center"/>
        <w:outlineLvl w:val="0"/>
        <w:rPr>
          <w:rFonts w:hint="eastAsia" w:ascii="方正小标宋_GBK" w:eastAsia="方正小标宋_GBK"/>
          <w:bCs/>
          <w:color w:val="auto"/>
          <w:sz w:val="72"/>
          <w:szCs w:val="72"/>
          <w:highlight w:val="none"/>
        </w:rPr>
      </w:pPr>
      <w:r>
        <w:rPr>
          <w:rFonts w:hint="eastAsia" w:ascii="方正小标宋_GBK" w:eastAsia="方正小标宋_GBK"/>
          <w:bCs/>
          <w:color w:val="auto"/>
          <w:sz w:val="72"/>
          <w:szCs w:val="72"/>
          <w:highlight w:val="none"/>
        </w:rPr>
        <w:t>建设项目环境影响报告表</w:t>
      </w:r>
    </w:p>
    <w:p>
      <w:pPr>
        <w:adjustRightInd w:val="0"/>
        <w:snapToGrid w:val="0"/>
        <w:spacing w:before="192" w:beforeLines="80"/>
        <w:jc w:val="center"/>
        <w:rPr>
          <w:rFonts w:hint="eastAsia" w:ascii="楷体_GB2312" w:eastAsia="楷体_GB2312"/>
          <w:bCs/>
          <w:color w:val="auto"/>
          <w:sz w:val="48"/>
          <w:szCs w:val="48"/>
          <w:highlight w:val="none"/>
        </w:rPr>
      </w:pPr>
      <w:r>
        <w:rPr>
          <w:rFonts w:hint="eastAsia" w:ascii="楷体_GB2312" w:eastAsia="楷体_GB2312"/>
          <w:bCs/>
          <w:color w:val="auto"/>
          <w:sz w:val="48"/>
          <w:szCs w:val="48"/>
          <w:highlight w:val="none"/>
        </w:rPr>
        <w:t>（污染影响类）</w:t>
      </w:r>
    </w:p>
    <w:p>
      <w:pPr>
        <w:adjustRightInd w:val="0"/>
        <w:snapToGrid w:val="0"/>
        <w:spacing w:line="288" w:lineRule="auto"/>
        <w:jc w:val="center"/>
        <w:outlineLvl w:val="0"/>
        <w:rPr>
          <w:rFonts w:ascii="华文仿宋" w:hAnsi="华文仿宋" w:eastAsia="华文仿宋" w:cs="华文仿宋"/>
          <w:color w:val="auto"/>
          <w:kern w:val="44"/>
          <w:sz w:val="44"/>
          <w:szCs w:val="44"/>
          <w:highlight w:val="none"/>
        </w:rPr>
      </w:pPr>
    </w:p>
    <w:p>
      <w:pPr>
        <w:rPr>
          <w:rFonts w:eastAsia="仿宋"/>
          <w:color w:val="auto"/>
          <w:sz w:val="44"/>
          <w:szCs w:val="44"/>
          <w:highlight w:val="none"/>
        </w:rPr>
      </w:pPr>
    </w:p>
    <w:p>
      <w:pPr>
        <w:ind w:firstLine="1040"/>
        <w:rPr>
          <w:rFonts w:eastAsia="仿宋"/>
          <w:color w:val="auto"/>
          <w:sz w:val="44"/>
          <w:szCs w:val="44"/>
          <w:highlight w:val="none"/>
        </w:rPr>
      </w:pPr>
    </w:p>
    <w:p>
      <w:pPr>
        <w:ind w:firstLine="1040"/>
        <w:rPr>
          <w:rFonts w:eastAsia="仿宋"/>
          <w:color w:val="auto"/>
          <w:sz w:val="44"/>
          <w:szCs w:val="44"/>
          <w:highlight w:val="none"/>
        </w:rPr>
      </w:pPr>
    </w:p>
    <w:p>
      <w:pPr>
        <w:adjustRightInd w:val="0"/>
        <w:snapToGrid w:val="0"/>
        <w:spacing w:line="288" w:lineRule="auto"/>
        <w:ind w:firstLine="360" w:firstLineChars="100"/>
        <w:jc w:val="center"/>
        <w:rPr>
          <w:rFonts w:hint="default" w:ascii="Times New Roman" w:hAnsi="Times New Roman" w:eastAsia="仿宋_GB2312" w:cs="Times New Roman"/>
          <w:color w:val="auto"/>
          <w:sz w:val="36"/>
          <w:szCs w:val="36"/>
          <w:highlight w:val="none"/>
          <w:u w:val="single"/>
          <w:lang w:val="en-US" w:eastAsia="zh-CN"/>
        </w:rPr>
      </w:pPr>
      <w:r>
        <w:rPr>
          <w:rFonts w:hint="default" w:ascii="Times New Roman" w:hAnsi="Times New Roman" w:eastAsia="仿宋_GB2312" w:cs="Times New Roman"/>
          <w:color w:val="auto"/>
          <w:sz w:val="36"/>
          <w:szCs w:val="36"/>
          <w:highlight w:val="none"/>
        </w:rPr>
        <w:t>项目名称</w:t>
      </w:r>
      <w:r>
        <w:rPr>
          <w:rFonts w:hint="default" w:ascii="Times New Roman" w:hAnsi="Times New Roman" w:eastAsia="仿宋_GB2312" w:cs="Times New Roman"/>
          <w:color w:val="auto"/>
          <w:sz w:val="36"/>
          <w:szCs w:val="36"/>
          <w:highlight w:val="none"/>
          <w:u w:val="none"/>
        </w:rPr>
        <w:t>：</w:t>
      </w:r>
      <w:r>
        <w:rPr>
          <w:rFonts w:hint="eastAsia" w:eastAsia="仿宋_GB2312" w:cs="Times New Roman"/>
          <w:color w:val="auto"/>
          <w:sz w:val="36"/>
          <w:szCs w:val="36"/>
          <w:highlight w:val="none"/>
          <w:u w:val="single"/>
          <w:lang w:val="en-US" w:eastAsia="zh-CN"/>
        </w:rPr>
        <w:t>年产5000万个滚筒刷、5000万个板刷、5000万个漆刷生产项目</w:t>
      </w:r>
    </w:p>
    <w:p>
      <w:pPr>
        <w:adjustRightInd w:val="0"/>
        <w:snapToGrid w:val="0"/>
        <w:spacing w:line="288" w:lineRule="auto"/>
        <w:ind w:firstLine="360" w:firstLineChars="100"/>
        <w:jc w:val="both"/>
        <w:rPr>
          <w:rFonts w:hint="default" w:ascii="Times New Roman" w:hAnsi="Times New Roman" w:eastAsia="仿宋_GB2312" w:cs="Times New Roman"/>
          <w:color w:val="auto"/>
          <w:sz w:val="36"/>
          <w:szCs w:val="36"/>
          <w:highlight w:val="none"/>
          <w:u w:val="single"/>
          <w:lang w:val="en-US" w:eastAsia="zh-CN"/>
        </w:rPr>
      </w:pPr>
      <w:r>
        <w:rPr>
          <w:rFonts w:hint="default" w:ascii="Times New Roman" w:hAnsi="Times New Roman" w:eastAsia="仿宋_GB2312" w:cs="Times New Roman"/>
          <w:color w:val="auto"/>
          <w:sz w:val="36"/>
          <w:szCs w:val="36"/>
          <w:highlight w:val="none"/>
        </w:rPr>
        <w:t>建设单位（盖章）：</w:t>
      </w:r>
      <w:r>
        <w:rPr>
          <w:rFonts w:hint="eastAsia" w:eastAsia="仿宋_GB2312" w:cs="Times New Roman"/>
          <w:color w:val="auto"/>
          <w:sz w:val="36"/>
          <w:szCs w:val="36"/>
          <w:highlight w:val="none"/>
          <w:u w:val="single"/>
          <w:lang w:val="en-US" w:eastAsia="zh-CN"/>
        </w:rPr>
        <w:t xml:space="preserve">南通汉德家用电器有限公司   </w:t>
      </w:r>
    </w:p>
    <w:p>
      <w:pPr>
        <w:adjustRightInd w:val="0"/>
        <w:snapToGrid w:val="0"/>
        <w:spacing w:line="288" w:lineRule="auto"/>
        <w:ind w:firstLine="360" w:firstLineChars="100"/>
        <w:jc w:val="both"/>
        <w:rPr>
          <w:rFonts w:hint="default" w:ascii="Times New Roman" w:hAnsi="Times New Roman" w:eastAsia="仿宋_GB2312" w:cs="Times New Roman"/>
          <w:color w:val="auto"/>
          <w:sz w:val="36"/>
          <w:szCs w:val="36"/>
          <w:highlight w:val="none"/>
          <w:u w:val="single"/>
          <w:lang w:val="en-US" w:eastAsia="zh-CN"/>
        </w:rPr>
      </w:pPr>
      <w:r>
        <w:rPr>
          <w:rFonts w:hint="default" w:ascii="Times New Roman" w:hAnsi="Times New Roman" w:eastAsia="仿宋_GB2312" w:cs="Times New Roman"/>
          <w:color w:val="auto"/>
          <w:sz w:val="36"/>
          <w:szCs w:val="36"/>
          <w:highlight w:val="none"/>
        </w:rPr>
        <w:t>编制日期：</w:t>
      </w:r>
      <w:r>
        <w:rPr>
          <w:rFonts w:hint="eastAsia" w:eastAsia="仿宋_GB2312" w:cs="Times New Roman"/>
          <w:color w:val="auto"/>
          <w:sz w:val="36"/>
          <w:szCs w:val="36"/>
          <w:highlight w:val="none"/>
          <w:lang w:val="en-US" w:eastAsia="zh-CN"/>
        </w:rPr>
        <w:t xml:space="preserve"> </w:t>
      </w:r>
      <w:r>
        <w:rPr>
          <w:rFonts w:hint="eastAsia" w:eastAsia="仿宋_GB2312" w:cs="Times New Roman"/>
          <w:color w:val="auto"/>
          <w:sz w:val="36"/>
          <w:szCs w:val="36"/>
          <w:highlight w:val="none"/>
          <w:u w:val="single"/>
          <w:lang w:val="en-US" w:eastAsia="zh-CN"/>
        </w:rPr>
        <w:t xml:space="preserve">         2</w:t>
      </w:r>
      <w:r>
        <w:rPr>
          <w:rFonts w:hint="default" w:ascii="Times New Roman" w:hAnsi="Times New Roman" w:eastAsia="仿宋_GB2312" w:cs="Times New Roman"/>
          <w:color w:val="auto"/>
          <w:sz w:val="36"/>
          <w:szCs w:val="36"/>
          <w:highlight w:val="none"/>
          <w:u w:val="single"/>
        </w:rPr>
        <w:t>02</w:t>
      </w:r>
      <w:r>
        <w:rPr>
          <w:rFonts w:hint="eastAsia" w:eastAsia="仿宋_GB2312" w:cs="Times New Roman"/>
          <w:color w:val="auto"/>
          <w:sz w:val="36"/>
          <w:szCs w:val="36"/>
          <w:highlight w:val="none"/>
          <w:u w:val="single"/>
          <w:lang w:val="en-US" w:eastAsia="zh-CN"/>
        </w:rPr>
        <w:t>6</w:t>
      </w:r>
      <w:r>
        <w:rPr>
          <w:rFonts w:hint="default" w:ascii="Times New Roman" w:hAnsi="Times New Roman" w:eastAsia="仿宋_GB2312" w:cs="Times New Roman"/>
          <w:color w:val="auto"/>
          <w:sz w:val="36"/>
          <w:szCs w:val="36"/>
          <w:highlight w:val="none"/>
          <w:u w:val="single"/>
        </w:rPr>
        <w:t>年</w:t>
      </w:r>
      <w:r>
        <w:rPr>
          <w:rFonts w:hint="eastAsia" w:eastAsia="仿宋_GB2312" w:cs="Times New Roman"/>
          <w:color w:val="auto"/>
          <w:sz w:val="36"/>
          <w:szCs w:val="36"/>
          <w:highlight w:val="none"/>
          <w:u w:val="single"/>
          <w:lang w:val="en-US" w:eastAsia="zh-CN"/>
        </w:rPr>
        <w:t>3</w:t>
      </w:r>
      <w:r>
        <w:rPr>
          <w:rFonts w:hint="default" w:ascii="Times New Roman" w:hAnsi="Times New Roman" w:eastAsia="仿宋_GB2312" w:cs="Times New Roman"/>
          <w:color w:val="auto"/>
          <w:sz w:val="36"/>
          <w:szCs w:val="36"/>
          <w:highlight w:val="none"/>
          <w:u w:val="single"/>
        </w:rPr>
        <w:t>月</w:t>
      </w:r>
      <w:r>
        <w:rPr>
          <w:rFonts w:hint="eastAsia" w:eastAsia="仿宋_GB2312" w:cs="Times New Roman"/>
          <w:color w:val="auto"/>
          <w:sz w:val="36"/>
          <w:szCs w:val="36"/>
          <w:highlight w:val="none"/>
          <w:u w:val="single"/>
          <w:lang w:val="en-US" w:eastAsia="zh-CN"/>
        </w:rPr>
        <w:t xml:space="preserve">               </w:t>
      </w:r>
    </w:p>
    <w:p>
      <w:pPr>
        <w:adjustRightInd w:val="0"/>
        <w:snapToGrid w:val="0"/>
        <w:spacing w:line="288" w:lineRule="auto"/>
        <w:ind w:firstLine="1040"/>
        <w:rPr>
          <w:rFonts w:ascii="仿宋_GB2312" w:eastAsia="仿宋_GB2312"/>
          <w:color w:val="auto"/>
          <w:sz w:val="36"/>
          <w:szCs w:val="36"/>
          <w:highlight w:val="none"/>
          <w:u w:val="single"/>
        </w:rPr>
      </w:pPr>
    </w:p>
    <w:p>
      <w:pPr>
        <w:adjustRightInd w:val="0"/>
        <w:snapToGrid w:val="0"/>
        <w:spacing w:line="288" w:lineRule="auto"/>
        <w:ind w:firstLine="1040"/>
        <w:rPr>
          <w:rFonts w:ascii="仿宋_GB2312" w:eastAsia="仿宋_GB2312"/>
          <w:color w:val="auto"/>
          <w:sz w:val="36"/>
          <w:szCs w:val="36"/>
          <w:highlight w:val="none"/>
        </w:rPr>
      </w:pPr>
    </w:p>
    <w:p>
      <w:pPr>
        <w:adjustRightInd w:val="0"/>
        <w:snapToGrid w:val="0"/>
        <w:spacing w:line="288" w:lineRule="auto"/>
        <w:ind w:firstLine="1040"/>
        <w:rPr>
          <w:rFonts w:ascii="仿宋_GB2312" w:eastAsia="仿宋_GB2312"/>
          <w:color w:val="auto"/>
          <w:sz w:val="36"/>
          <w:szCs w:val="36"/>
          <w:highlight w:val="none"/>
        </w:rPr>
      </w:pPr>
    </w:p>
    <w:p>
      <w:pPr>
        <w:adjustRightInd w:val="0"/>
        <w:snapToGrid w:val="0"/>
        <w:spacing w:line="288" w:lineRule="auto"/>
        <w:ind w:firstLine="1040"/>
        <w:rPr>
          <w:rFonts w:ascii="仿宋_GB2312" w:eastAsia="仿宋_GB2312"/>
          <w:color w:val="auto"/>
          <w:sz w:val="36"/>
          <w:szCs w:val="36"/>
          <w:highlight w:val="none"/>
        </w:rPr>
      </w:pPr>
    </w:p>
    <w:p>
      <w:pPr>
        <w:adjustRightInd w:val="0"/>
        <w:snapToGrid w:val="0"/>
        <w:spacing w:line="288" w:lineRule="auto"/>
        <w:jc w:val="center"/>
        <w:rPr>
          <w:rFonts w:hint="eastAsia" w:ascii="楷体_GB2312" w:eastAsia="楷体_GB2312"/>
          <w:color w:val="auto"/>
          <w:sz w:val="36"/>
          <w:szCs w:val="36"/>
          <w:highlight w:val="none"/>
        </w:rPr>
        <w:sectPr>
          <w:footerReference r:id="rId3" w:type="default"/>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r>
        <w:rPr>
          <w:rFonts w:hint="eastAsia" w:ascii="楷体_GB2312" w:eastAsia="楷体_GB2312"/>
          <w:color w:val="auto"/>
          <w:sz w:val="36"/>
          <w:szCs w:val="36"/>
          <w:highlight w:val="none"/>
        </w:rPr>
        <w:t>中华人民共和国生态环境部制</w:t>
      </w:r>
    </w:p>
    <w:p>
      <w:pPr>
        <w:pStyle w:val="33"/>
        <w:rPr>
          <w:rFonts w:hint="eastAsia"/>
          <w:color w:val="auto"/>
        </w:rPr>
        <w:sectPr>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p>
      <w:pPr>
        <w:spacing w:line="360" w:lineRule="auto"/>
        <w:jc w:val="both"/>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附图：</w:t>
      </w:r>
      <w:r>
        <w:rPr>
          <w:rFonts w:hint="default" w:ascii="Times New Roman" w:hAnsi="Times New Roman" w:eastAsia="宋体" w:cs="Times New Roman"/>
          <w:color w:val="auto"/>
          <w:sz w:val="24"/>
          <w:szCs w:val="24"/>
        </w:rPr>
        <w:t xml:space="preserve"> </w:t>
      </w:r>
    </w:p>
    <w:p>
      <w:pPr>
        <w:spacing w:line="360" w:lineRule="auto"/>
        <w:jc w:val="both"/>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 xml:space="preserve">附图 1 </w:t>
      </w:r>
      <w:r>
        <w:rPr>
          <w:rFonts w:hint="eastAsia" w:ascii="Times New Roman" w:hAnsi="Times New Roman" w:eastAsia="宋体" w:cs="Times New Roman"/>
          <w:color w:val="auto"/>
          <w:sz w:val="18"/>
          <w:szCs w:val="18"/>
          <w:lang w:val="en-US" w:eastAsia="zh-CN"/>
        </w:rPr>
        <w:t>建设项目</w:t>
      </w:r>
      <w:r>
        <w:rPr>
          <w:rFonts w:hint="default" w:ascii="Times New Roman" w:hAnsi="Times New Roman" w:eastAsia="宋体" w:cs="Times New Roman"/>
          <w:color w:val="auto"/>
          <w:sz w:val="18"/>
          <w:szCs w:val="18"/>
        </w:rPr>
        <w:t xml:space="preserve">地理位置图 </w:t>
      </w:r>
    </w:p>
    <w:p>
      <w:pPr>
        <w:spacing w:line="360" w:lineRule="auto"/>
        <w:jc w:val="both"/>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附图2 项目500m范围图</w:t>
      </w:r>
    </w:p>
    <w:p>
      <w:pPr>
        <w:spacing w:line="360" w:lineRule="auto"/>
        <w:jc w:val="both"/>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附图3-1 如皋市生态空间管控区域分布图</w:t>
      </w:r>
    </w:p>
    <w:p>
      <w:pPr>
        <w:spacing w:line="360" w:lineRule="auto"/>
        <w:jc w:val="both"/>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附图3-2 江苏省生态环境分区管控综合服务网站叠图</w:t>
      </w:r>
    </w:p>
    <w:p>
      <w:pPr>
        <w:spacing w:line="360" w:lineRule="auto"/>
        <w:jc w:val="both"/>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附图4</w:t>
      </w:r>
      <w:r>
        <w:rPr>
          <w:rFonts w:hint="eastAsia" w:cs="Times New Roman"/>
          <w:color w:val="auto"/>
          <w:sz w:val="18"/>
          <w:szCs w:val="18"/>
          <w:lang w:val="en-US" w:eastAsia="zh-CN"/>
        </w:rPr>
        <w:t>-1</w:t>
      </w:r>
      <w:r>
        <w:rPr>
          <w:rFonts w:hint="eastAsia" w:ascii="Times New Roman" w:hAnsi="Times New Roman" w:eastAsia="宋体" w:cs="Times New Roman"/>
          <w:color w:val="auto"/>
          <w:sz w:val="18"/>
          <w:szCs w:val="18"/>
          <w:lang w:val="en-US" w:eastAsia="zh-CN"/>
        </w:rPr>
        <w:t xml:space="preserve"> 车间平面布置、雨污管网图</w:t>
      </w:r>
    </w:p>
    <w:p>
      <w:pPr>
        <w:spacing w:line="360" w:lineRule="auto"/>
        <w:jc w:val="both"/>
        <w:rPr>
          <w:rFonts w:hint="default" w:ascii="Times New Roman" w:hAnsi="Times New Roman" w:eastAsia="宋体" w:cs="Times New Roman"/>
          <w:color w:val="auto"/>
          <w:sz w:val="18"/>
          <w:szCs w:val="18"/>
          <w:lang w:val="en-US" w:eastAsia="zh-CN"/>
        </w:rPr>
      </w:pPr>
      <w:r>
        <w:rPr>
          <w:rFonts w:hint="eastAsia" w:cs="Times New Roman"/>
          <w:color w:val="auto"/>
          <w:sz w:val="18"/>
          <w:szCs w:val="18"/>
          <w:lang w:val="en-US" w:eastAsia="zh-CN"/>
        </w:rPr>
        <w:t>附图4-2 厂区防渗图</w:t>
      </w:r>
    </w:p>
    <w:p>
      <w:pPr>
        <w:spacing w:line="360" w:lineRule="auto"/>
        <w:jc w:val="both"/>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附图5-1 区域水系概况图</w:t>
      </w:r>
    </w:p>
    <w:p>
      <w:pPr>
        <w:spacing w:line="360" w:lineRule="auto"/>
        <w:jc w:val="both"/>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附图</w:t>
      </w:r>
      <w:r>
        <w:rPr>
          <w:rFonts w:hint="eastAsia" w:ascii="Times New Roman" w:hAnsi="Times New Roman" w:eastAsia="宋体" w:cs="Times New Roman"/>
          <w:color w:val="auto"/>
          <w:sz w:val="18"/>
          <w:szCs w:val="18"/>
          <w:lang w:val="en-US" w:eastAsia="zh-CN"/>
        </w:rPr>
        <w:t>5-2 水洗控制断面图</w:t>
      </w:r>
      <w:r>
        <w:rPr>
          <w:rFonts w:hint="default" w:ascii="Times New Roman" w:hAnsi="Times New Roman" w:eastAsia="宋体" w:cs="Times New Roman"/>
          <w:color w:val="auto"/>
          <w:sz w:val="18"/>
          <w:szCs w:val="18"/>
        </w:rPr>
        <w:t xml:space="preserve"> </w:t>
      </w:r>
    </w:p>
    <w:p>
      <w:pPr>
        <w:spacing w:line="360" w:lineRule="auto"/>
        <w:jc w:val="both"/>
        <w:rPr>
          <w:rFonts w:hint="eastAsia"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附图</w:t>
      </w:r>
      <w:r>
        <w:rPr>
          <w:rFonts w:hint="eastAsia" w:ascii="Times New Roman" w:hAnsi="Times New Roman" w:eastAsia="宋体" w:cs="Times New Roman"/>
          <w:color w:val="auto"/>
          <w:sz w:val="18"/>
          <w:szCs w:val="18"/>
          <w:lang w:val="en-US" w:eastAsia="zh-CN"/>
        </w:rPr>
        <w:t>6 土地利用规划图</w:t>
      </w:r>
    </w:p>
    <w:p>
      <w:pPr>
        <w:spacing w:line="360" w:lineRule="auto"/>
        <w:jc w:val="both"/>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 xml:space="preserve">附图7 </w:t>
      </w:r>
      <w:r>
        <w:rPr>
          <w:rFonts w:hint="eastAsia" w:cs="Times New Roman"/>
          <w:color w:val="auto"/>
          <w:sz w:val="18"/>
          <w:szCs w:val="18"/>
          <w:lang w:val="en-US" w:eastAsia="zh-CN"/>
        </w:rPr>
        <w:t>功能结构</w:t>
      </w:r>
      <w:r>
        <w:rPr>
          <w:rFonts w:hint="eastAsia" w:ascii="Times New Roman" w:hAnsi="Times New Roman" w:eastAsia="宋体" w:cs="Times New Roman"/>
          <w:color w:val="auto"/>
          <w:sz w:val="18"/>
          <w:szCs w:val="18"/>
          <w:lang w:val="en-US" w:eastAsia="zh-CN"/>
        </w:rPr>
        <w:t>图</w:t>
      </w:r>
    </w:p>
    <w:p>
      <w:pPr>
        <w:spacing w:line="360" w:lineRule="auto"/>
        <w:jc w:val="both"/>
        <w:rPr>
          <w:rFonts w:hint="default" w:ascii="Times New Roman" w:hAnsi="Times New Roman" w:eastAsia="宋体" w:cs="Times New Roman"/>
          <w:color w:val="auto"/>
          <w:sz w:val="18"/>
          <w:szCs w:val="18"/>
        </w:rPr>
      </w:pPr>
      <w:r>
        <w:rPr>
          <w:rFonts w:hint="eastAsia" w:ascii="Times New Roman" w:hAnsi="Times New Roman" w:eastAsia="宋体" w:cs="Times New Roman"/>
          <w:color w:val="auto"/>
          <w:sz w:val="18"/>
          <w:szCs w:val="18"/>
          <w:lang w:val="en-US" w:eastAsia="zh-CN"/>
        </w:rPr>
        <w:t>附图8 公示截图</w:t>
      </w:r>
      <w:r>
        <w:rPr>
          <w:rFonts w:hint="default" w:ascii="Times New Roman" w:hAnsi="Times New Roman" w:eastAsia="宋体" w:cs="Times New Roman"/>
          <w:color w:val="auto"/>
          <w:sz w:val="18"/>
          <w:szCs w:val="18"/>
        </w:rPr>
        <w:t xml:space="preserve"> </w:t>
      </w:r>
    </w:p>
    <w:p>
      <w:pPr>
        <w:spacing w:line="360" w:lineRule="auto"/>
        <w:jc w:val="both"/>
        <w:rPr>
          <w:rFonts w:hint="default" w:ascii="Times New Roman" w:hAnsi="Times New Roman" w:eastAsia="宋体" w:cs="Times New Roman"/>
          <w:color w:val="auto"/>
          <w:sz w:val="24"/>
          <w:szCs w:val="24"/>
        </w:rPr>
      </w:pPr>
      <w:r>
        <w:rPr>
          <w:rFonts w:hint="default" w:ascii="Times New Roman" w:hAnsi="Times New Roman" w:eastAsia="宋体" w:cs="Times New Roman"/>
          <w:b/>
          <w:bCs/>
          <w:color w:val="auto"/>
          <w:sz w:val="24"/>
          <w:szCs w:val="24"/>
        </w:rPr>
        <w:t>附件：</w:t>
      </w:r>
      <w:r>
        <w:rPr>
          <w:rFonts w:hint="default" w:ascii="Times New Roman" w:hAnsi="Times New Roman" w:eastAsia="宋体" w:cs="Times New Roman"/>
          <w:color w:val="auto"/>
          <w:sz w:val="24"/>
          <w:szCs w:val="24"/>
        </w:rPr>
        <w:t xml:space="preserve"> </w:t>
      </w:r>
    </w:p>
    <w:p>
      <w:pPr>
        <w:spacing w:line="360" w:lineRule="auto"/>
        <w:jc w:val="both"/>
        <w:rPr>
          <w:rFonts w:hint="eastAsia" w:cs="Times New Roman"/>
          <w:color w:val="auto"/>
          <w:sz w:val="18"/>
          <w:szCs w:val="18"/>
          <w:lang w:val="en-US" w:eastAsia="zh-CN"/>
        </w:rPr>
      </w:pPr>
      <w:r>
        <w:rPr>
          <w:rFonts w:hint="eastAsia" w:cs="Times New Roman"/>
          <w:color w:val="auto"/>
          <w:sz w:val="18"/>
          <w:szCs w:val="18"/>
          <w:lang w:val="en-US" w:eastAsia="zh-CN"/>
        </w:rPr>
        <w:t>附件1 委托书</w:t>
      </w:r>
    </w:p>
    <w:p>
      <w:pPr>
        <w:spacing w:line="360" w:lineRule="auto"/>
        <w:jc w:val="both"/>
        <w:rPr>
          <w:rFonts w:hint="eastAsia" w:cs="Times New Roman"/>
          <w:color w:val="auto"/>
          <w:sz w:val="18"/>
          <w:szCs w:val="18"/>
          <w:lang w:val="en-US" w:eastAsia="zh-CN"/>
        </w:rPr>
      </w:pPr>
      <w:r>
        <w:rPr>
          <w:rFonts w:hint="eastAsia" w:cs="Times New Roman"/>
          <w:color w:val="auto"/>
          <w:sz w:val="18"/>
          <w:szCs w:val="18"/>
          <w:lang w:val="en-US" w:eastAsia="zh-CN"/>
        </w:rPr>
        <w:t xml:space="preserve">附件2 </w:t>
      </w:r>
      <w:r>
        <w:rPr>
          <w:rFonts w:hint="default" w:ascii="Times New Roman" w:hAnsi="Times New Roman" w:eastAsia="宋体" w:cs="Times New Roman"/>
          <w:color w:val="auto"/>
          <w:sz w:val="18"/>
          <w:szCs w:val="18"/>
        </w:rPr>
        <w:t>备案证</w:t>
      </w:r>
    </w:p>
    <w:p>
      <w:pPr>
        <w:spacing w:line="360" w:lineRule="auto"/>
        <w:jc w:val="both"/>
        <w:rPr>
          <w:rFonts w:hint="default" w:cs="Times New Roman"/>
          <w:color w:val="auto"/>
          <w:sz w:val="18"/>
          <w:szCs w:val="18"/>
          <w:lang w:val="en-US" w:eastAsia="zh-CN"/>
        </w:rPr>
      </w:pPr>
      <w:r>
        <w:rPr>
          <w:rFonts w:hint="eastAsia" w:cs="Times New Roman"/>
          <w:color w:val="auto"/>
          <w:sz w:val="18"/>
          <w:szCs w:val="18"/>
          <w:lang w:val="en-US" w:eastAsia="zh-CN"/>
        </w:rPr>
        <w:t>附件3 土地证</w:t>
      </w:r>
    </w:p>
    <w:p>
      <w:pPr>
        <w:spacing w:line="360" w:lineRule="auto"/>
        <w:jc w:val="both"/>
        <w:rPr>
          <w:rFonts w:hint="eastAsia"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附件</w:t>
      </w:r>
      <w:r>
        <w:rPr>
          <w:rFonts w:hint="eastAsia" w:cs="Times New Roman"/>
          <w:color w:val="auto"/>
          <w:sz w:val="18"/>
          <w:szCs w:val="18"/>
          <w:lang w:val="en-US" w:eastAsia="zh-CN"/>
        </w:rPr>
        <w:t>4</w:t>
      </w:r>
      <w:r>
        <w:rPr>
          <w:rFonts w:hint="default" w:ascii="Times New Roman" w:hAnsi="Times New Roman" w:eastAsia="宋体" w:cs="Times New Roman"/>
          <w:color w:val="auto"/>
          <w:sz w:val="18"/>
          <w:szCs w:val="18"/>
        </w:rPr>
        <w:t xml:space="preserve"> </w:t>
      </w:r>
      <w:r>
        <w:rPr>
          <w:rFonts w:hint="eastAsia" w:ascii="Times New Roman" w:hAnsi="Times New Roman" w:eastAsia="宋体" w:cs="Times New Roman"/>
          <w:color w:val="auto"/>
          <w:sz w:val="18"/>
          <w:szCs w:val="18"/>
          <w:lang w:val="en-US" w:eastAsia="zh-CN"/>
        </w:rPr>
        <w:t>声明</w:t>
      </w:r>
    </w:p>
    <w:p>
      <w:pPr>
        <w:spacing w:line="360" w:lineRule="auto"/>
        <w:jc w:val="both"/>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附件</w:t>
      </w:r>
      <w:r>
        <w:rPr>
          <w:rFonts w:hint="eastAsia" w:cs="Times New Roman"/>
          <w:color w:val="auto"/>
          <w:sz w:val="18"/>
          <w:szCs w:val="18"/>
          <w:lang w:val="en-US" w:eastAsia="zh-CN"/>
        </w:rPr>
        <w:t>5</w:t>
      </w:r>
      <w:r>
        <w:rPr>
          <w:rFonts w:hint="default" w:ascii="Times New Roman" w:hAnsi="Times New Roman" w:eastAsia="宋体" w:cs="Times New Roman"/>
          <w:color w:val="auto"/>
          <w:sz w:val="18"/>
          <w:szCs w:val="18"/>
        </w:rPr>
        <w:t xml:space="preserve"> </w:t>
      </w:r>
      <w:r>
        <w:rPr>
          <w:rFonts w:hint="eastAsia" w:ascii="Times New Roman" w:hAnsi="Times New Roman" w:eastAsia="宋体" w:cs="Times New Roman"/>
          <w:color w:val="auto"/>
          <w:sz w:val="18"/>
          <w:szCs w:val="18"/>
          <w:lang w:val="en-US" w:eastAsia="zh-CN"/>
        </w:rPr>
        <w:t>汉德</w:t>
      </w:r>
      <w:r>
        <w:rPr>
          <w:rFonts w:hint="default" w:ascii="Times New Roman" w:hAnsi="Times New Roman" w:eastAsia="宋体" w:cs="Times New Roman"/>
          <w:color w:val="auto"/>
          <w:sz w:val="18"/>
          <w:szCs w:val="18"/>
        </w:rPr>
        <w:t>营业执照</w:t>
      </w:r>
    </w:p>
    <w:p>
      <w:pPr>
        <w:spacing w:line="360" w:lineRule="auto"/>
        <w:jc w:val="both"/>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附件</w:t>
      </w:r>
      <w:r>
        <w:rPr>
          <w:rFonts w:hint="eastAsia" w:cs="Times New Roman"/>
          <w:color w:val="auto"/>
          <w:sz w:val="18"/>
          <w:szCs w:val="18"/>
          <w:lang w:val="en-US" w:eastAsia="zh-CN"/>
        </w:rPr>
        <w:t>6</w:t>
      </w:r>
      <w:r>
        <w:rPr>
          <w:rFonts w:hint="default" w:ascii="Times New Roman" w:hAnsi="Times New Roman" w:eastAsia="宋体" w:cs="Times New Roman"/>
          <w:color w:val="auto"/>
          <w:sz w:val="18"/>
          <w:szCs w:val="18"/>
        </w:rPr>
        <w:t xml:space="preserve"> 法人身份证 </w:t>
      </w:r>
    </w:p>
    <w:p>
      <w:pPr>
        <w:spacing w:line="360" w:lineRule="auto"/>
        <w:jc w:val="both"/>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附件</w:t>
      </w:r>
      <w:r>
        <w:rPr>
          <w:rFonts w:hint="eastAsia" w:cs="Times New Roman"/>
          <w:color w:val="auto"/>
          <w:sz w:val="18"/>
          <w:szCs w:val="18"/>
          <w:lang w:val="en-US" w:eastAsia="zh-CN"/>
        </w:rPr>
        <w:t>7</w:t>
      </w:r>
      <w:r>
        <w:rPr>
          <w:rFonts w:hint="default" w:ascii="Times New Roman" w:hAnsi="Times New Roman" w:eastAsia="宋体" w:cs="Times New Roman"/>
          <w:color w:val="auto"/>
          <w:sz w:val="18"/>
          <w:szCs w:val="18"/>
        </w:rPr>
        <w:t xml:space="preserve"> </w:t>
      </w:r>
      <w:r>
        <w:rPr>
          <w:rFonts w:hint="eastAsia" w:ascii="Times New Roman" w:hAnsi="Times New Roman" w:eastAsia="宋体" w:cs="Times New Roman"/>
          <w:color w:val="auto"/>
          <w:sz w:val="18"/>
          <w:szCs w:val="18"/>
          <w:lang w:val="en-US" w:eastAsia="zh-CN"/>
        </w:rPr>
        <w:t>环评合同</w:t>
      </w:r>
    </w:p>
    <w:p>
      <w:pPr>
        <w:spacing w:line="360" w:lineRule="auto"/>
        <w:jc w:val="both"/>
        <w:rPr>
          <w:rFonts w:hint="default" w:ascii="Times New Roman" w:hAnsi="Times New Roman" w:eastAsia="宋体" w:cs="Times New Roman"/>
          <w:color w:val="auto"/>
          <w:sz w:val="18"/>
          <w:szCs w:val="18"/>
          <w:lang w:val="en-US"/>
        </w:rPr>
      </w:pPr>
      <w:r>
        <w:rPr>
          <w:rFonts w:hint="eastAsia" w:cs="Times New Roman"/>
          <w:color w:val="auto"/>
          <w:sz w:val="18"/>
          <w:szCs w:val="18"/>
          <w:lang w:val="en-US" w:eastAsia="zh-CN"/>
        </w:rPr>
        <w:t>附件8 行政处罚决定</w:t>
      </w:r>
    </w:p>
    <w:p>
      <w:pPr>
        <w:spacing w:line="360" w:lineRule="auto"/>
        <w:jc w:val="both"/>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附件</w:t>
      </w:r>
      <w:r>
        <w:rPr>
          <w:rFonts w:hint="eastAsia" w:cs="Times New Roman"/>
          <w:color w:val="auto"/>
          <w:sz w:val="18"/>
          <w:szCs w:val="18"/>
          <w:lang w:val="en-US" w:eastAsia="zh-CN"/>
        </w:rPr>
        <w:t>9</w:t>
      </w:r>
      <w:r>
        <w:rPr>
          <w:rFonts w:hint="default" w:ascii="Times New Roman" w:hAnsi="Times New Roman" w:eastAsia="宋体" w:cs="Times New Roman"/>
          <w:color w:val="auto"/>
          <w:sz w:val="18"/>
          <w:szCs w:val="18"/>
        </w:rPr>
        <w:t xml:space="preserve"> </w:t>
      </w:r>
      <w:r>
        <w:rPr>
          <w:rFonts w:hint="eastAsia" w:cs="Times New Roman"/>
          <w:color w:val="auto"/>
          <w:sz w:val="18"/>
          <w:szCs w:val="18"/>
          <w:lang w:val="en-US" w:eastAsia="zh-CN"/>
        </w:rPr>
        <w:t>缴费单</w:t>
      </w:r>
      <w:r>
        <w:rPr>
          <w:rFonts w:hint="default" w:ascii="Times New Roman" w:hAnsi="Times New Roman" w:eastAsia="宋体" w:cs="Times New Roman"/>
          <w:color w:val="auto"/>
          <w:sz w:val="18"/>
          <w:szCs w:val="18"/>
        </w:rPr>
        <w:t xml:space="preserve"> </w:t>
      </w:r>
    </w:p>
    <w:p>
      <w:pPr>
        <w:spacing w:line="360" w:lineRule="auto"/>
        <w:jc w:val="both"/>
        <w:rPr>
          <w:rFonts w:hint="default" w:cs="Times New Roman"/>
          <w:color w:val="auto"/>
          <w:sz w:val="18"/>
          <w:szCs w:val="18"/>
          <w:lang w:val="en-US" w:eastAsia="zh-CN"/>
        </w:rPr>
      </w:pPr>
      <w:r>
        <w:rPr>
          <w:rFonts w:hint="eastAsia" w:cs="Times New Roman"/>
          <w:color w:val="auto"/>
          <w:sz w:val="18"/>
          <w:szCs w:val="18"/>
          <w:lang w:val="en-US" w:eastAsia="zh-CN"/>
        </w:rPr>
        <w:t>附件10南通汉德生态环境准入分析报告</w:t>
      </w:r>
    </w:p>
    <w:p>
      <w:pPr>
        <w:spacing w:line="360" w:lineRule="auto"/>
        <w:jc w:val="both"/>
        <w:rPr>
          <w:rFonts w:hint="eastAsia" w:cs="Times New Roman"/>
          <w:color w:val="auto"/>
          <w:sz w:val="18"/>
          <w:szCs w:val="18"/>
          <w:lang w:val="en-US" w:eastAsia="zh-CN"/>
        </w:rPr>
      </w:pPr>
      <w:r>
        <w:rPr>
          <w:rFonts w:hint="eastAsia" w:cs="Times New Roman"/>
          <w:color w:val="auto"/>
          <w:sz w:val="18"/>
          <w:szCs w:val="18"/>
          <w:lang w:val="en-US" w:eastAsia="zh-CN"/>
        </w:rPr>
        <w:t>附件11危废协议</w:t>
      </w:r>
    </w:p>
    <w:p>
      <w:pPr>
        <w:spacing w:line="360" w:lineRule="auto"/>
        <w:jc w:val="both"/>
        <w:rPr>
          <w:rFonts w:hint="eastAsia" w:cs="Times New Roman"/>
          <w:color w:val="auto"/>
          <w:sz w:val="18"/>
          <w:szCs w:val="18"/>
          <w:lang w:val="en-US" w:eastAsia="zh-CN"/>
        </w:rPr>
      </w:pPr>
      <w:r>
        <w:rPr>
          <w:rFonts w:hint="eastAsia" w:cs="Times New Roman"/>
          <w:color w:val="auto"/>
          <w:sz w:val="18"/>
          <w:szCs w:val="18"/>
          <w:lang w:val="en-US" w:eastAsia="zh-CN"/>
        </w:rPr>
        <w:t>附件12 引用TSP监测报告</w:t>
      </w:r>
    </w:p>
    <w:p>
      <w:pPr>
        <w:spacing w:line="360" w:lineRule="auto"/>
        <w:jc w:val="both"/>
        <w:rPr>
          <w:rFonts w:hint="default" w:cs="Times New Roman"/>
          <w:color w:val="auto"/>
          <w:sz w:val="18"/>
          <w:szCs w:val="18"/>
          <w:lang w:val="en-US" w:eastAsia="zh-CN"/>
        </w:rPr>
      </w:pPr>
      <w:r>
        <w:rPr>
          <w:rFonts w:hint="eastAsia" w:cs="Times New Roman"/>
          <w:color w:val="auto"/>
          <w:sz w:val="18"/>
          <w:szCs w:val="18"/>
          <w:lang w:val="en-US" w:eastAsia="zh-CN"/>
        </w:rPr>
        <w:t>附件13 规划环评审查意见</w:t>
      </w:r>
    </w:p>
    <w:p>
      <w:pPr>
        <w:spacing w:line="360" w:lineRule="auto"/>
        <w:jc w:val="both"/>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MSDS</w:t>
      </w:r>
    </w:p>
    <w:p>
      <w:pPr>
        <w:spacing w:line="360" w:lineRule="auto"/>
        <w:jc w:val="both"/>
        <w:rPr>
          <w:rFonts w:hint="eastAsia"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现场踏勘照片</w:t>
      </w:r>
    </w:p>
    <w:p>
      <w:pPr>
        <w:spacing w:line="360" w:lineRule="auto"/>
        <w:jc w:val="both"/>
        <w:rPr>
          <w:rFonts w:hint="default" w:ascii="Times New Roman" w:hAnsi="Times New Roman" w:eastAsia="宋体" w:cs="Times New Roman"/>
          <w:color w:val="auto"/>
          <w:sz w:val="18"/>
          <w:szCs w:val="18"/>
          <w:lang w:val="en-US" w:eastAsia="zh-CN"/>
        </w:rPr>
      </w:pPr>
      <w:r>
        <w:rPr>
          <w:rFonts w:hint="eastAsia" w:ascii="Times New Roman" w:hAnsi="Times New Roman" w:eastAsia="宋体" w:cs="Times New Roman"/>
          <w:color w:val="auto"/>
          <w:sz w:val="18"/>
          <w:szCs w:val="18"/>
          <w:lang w:val="en-US" w:eastAsia="zh-CN"/>
        </w:rPr>
        <w:t>现有项目批复验收</w:t>
      </w:r>
    </w:p>
    <w:p>
      <w:pPr>
        <w:spacing w:line="360" w:lineRule="auto"/>
        <w:jc w:val="both"/>
        <w:rPr>
          <w:rFonts w:hint="default" w:ascii="Times New Roman" w:hAnsi="Times New Roman" w:eastAsia="宋体" w:cs="Times New Roman"/>
          <w:color w:val="auto"/>
          <w:sz w:val="18"/>
          <w:szCs w:val="18"/>
          <w:lang w:val="en-US" w:eastAsia="zh-CN"/>
        </w:rPr>
        <w:sectPr>
          <w:pgSz w:w="11906" w:h="16838"/>
          <w:pgMar w:top="1701" w:right="1531" w:bottom="1701" w:left="1531" w:header="851" w:footer="1077" w:gutter="0"/>
          <w:pgBorders>
            <w:top w:val="none" w:sz="0" w:space="0"/>
            <w:left w:val="none" w:sz="0" w:space="0"/>
            <w:bottom w:val="none" w:sz="0" w:space="0"/>
            <w:right w:val="none" w:sz="0" w:space="0"/>
          </w:pgBorders>
          <w:pgNumType w:fmt="decimal" w:start="3"/>
          <w:cols w:space="720" w:num="1"/>
          <w:docGrid w:linePitch="312" w:charSpace="0"/>
        </w:sectPr>
      </w:pPr>
    </w:p>
    <w:p>
      <w:pPr>
        <w:rPr>
          <w:rFonts w:hint="eastAsia"/>
          <w:color w:val="auto"/>
          <w:lang w:val="en-US" w:eastAsia="zh-CN"/>
        </w:rPr>
      </w:pPr>
    </w:p>
    <w:p>
      <w:pPr>
        <w:rPr>
          <w:rFonts w:hint="eastAsia"/>
          <w:color w:val="auto"/>
        </w:rPr>
      </w:pPr>
    </w:p>
    <w:p>
      <w:pPr>
        <w:pStyle w:val="22"/>
        <w:keepNext w:val="0"/>
        <w:keepLines w:val="0"/>
        <w:pageBreakBefore w:val="0"/>
        <w:widowControl/>
        <w:kinsoku/>
        <w:wordWrap/>
        <w:overflowPunct/>
        <w:topLinePunct w:val="0"/>
        <w:autoSpaceDE/>
        <w:autoSpaceDN/>
        <w:bidi w:val="0"/>
        <w:adjustRightInd/>
        <w:snapToGrid/>
        <w:spacing w:before="0" w:beforeAutospacing="0" w:after="0" w:afterAutospacing="0" w:line="240" w:lineRule="auto"/>
        <w:jc w:val="center"/>
        <w:textAlignment w:val="auto"/>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一、建设项目基本情况</w:t>
      </w:r>
    </w:p>
    <w:tbl>
      <w:tblPr>
        <w:tblStyle w:val="25"/>
        <w:tblpPr w:leftFromText="180" w:rightFromText="180" w:vertAnchor="text" w:tblpXSpec="center" w:tblpY="1"/>
        <w:tblOverlap w:val="never"/>
        <w:tblW w:w="9138"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1015"/>
        <w:gridCol w:w="10"/>
        <w:gridCol w:w="478"/>
        <w:gridCol w:w="2527"/>
        <w:gridCol w:w="1770"/>
        <w:gridCol w:w="33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97"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建设项目名称</w:t>
            </w:r>
          </w:p>
        </w:tc>
        <w:tc>
          <w:tcPr>
            <w:tcW w:w="7635" w:type="dxa"/>
            <w:gridSpan w:val="3"/>
            <w:vAlign w:val="center"/>
          </w:tcPr>
          <w:p>
            <w:pPr>
              <w:jc w:val="center"/>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年产5000万个滚筒刷、5000万个板刷、5000万个漆刷生产项目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87" w:hRule="atLeast"/>
        </w:trPr>
        <w:tc>
          <w:tcPr>
            <w:tcW w:w="1503" w:type="dxa"/>
            <w:gridSpan w:val="3"/>
            <w:tcMar>
              <w:top w:w="16" w:type="dxa"/>
              <w:left w:w="16" w:type="dxa"/>
              <w:right w:w="16" w:type="dxa"/>
            </w:tcMar>
            <w:vAlign w:val="center"/>
          </w:tcPr>
          <w:p>
            <w:pPr>
              <w:jc w:val="center"/>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项目代码</w:t>
            </w:r>
          </w:p>
        </w:tc>
        <w:tc>
          <w:tcPr>
            <w:tcW w:w="7635" w:type="dxa"/>
            <w:gridSpan w:val="3"/>
            <w:vAlign w:val="center"/>
          </w:tcPr>
          <w:p>
            <w:pPr>
              <w:jc w:val="center"/>
              <w:rPr>
                <w:rFonts w:hint="default" w:ascii="Times New Roman" w:hAnsi="Times New Roman" w:eastAsia="宋体" w:cs="Times New Roman"/>
                <w:color w:val="auto"/>
                <w:sz w:val="24"/>
                <w:szCs w:val="32"/>
                <w:highlight w:val="none"/>
                <w:lang w:eastAsia="zh-CN"/>
              </w:rPr>
            </w:pPr>
            <w:r>
              <w:rPr>
                <w:rFonts w:hint="default" w:ascii="Times New Roman" w:hAnsi="Times New Roman" w:eastAsia="宋体" w:cs="Times New Roman"/>
                <w:color w:val="auto"/>
                <w:sz w:val="24"/>
                <w:szCs w:val="32"/>
                <w:highlight w:val="none"/>
                <w:lang w:eastAsia="zh-CN"/>
              </w:rPr>
              <w:t>2407-320654-89-01-831503</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97"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建设单位联系人</w:t>
            </w:r>
          </w:p>
        </w:tc>
        <w:tc>
          <w:tcPr>
            <w:tcW w:w="2527" w:type="dxa"/>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阚建峰</w:t>
            </w:r>
          </w:p>
        </w:tc>
        <w:tc>
          <w:tcPr>
            <w:tcW w:w="1770"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联系方式</w:t>
            </w:r>
          </w:p>
        </w:tc>
        <w:tc>
          <w:tcPr>
            <w:tcW w:w="3338" w:type="dxa"/>
            <w:vAlign w:val="center"/>
          </w:tcPr>
          <w:p>
            <w:pPr>
              <w:adjustRightInd w:val="0"/>
              <w:snapToGrid w:val="0"/>
              <w:jc w:val="center"/>
              <w:rPr>
                <w:rFonts w:hint="default" w:ascii="Times New Roman" w:hAnsi="Times New Roman" w:eastAsia="宋体" w:cs="Times New Roman"/>
                <w:color w:val="auto"/>
                <w:sz w:val="24"/>
                <w:szCs w:val="24"/>
                <w:highlight w:val="none"/>
                <w:lang w:eastAsia="zh-CN"/>
              </w:rPr>
            </w:pPr>
            <w:r>
              <w:rPr>
                <w:rFonts w:hint="default" w:ascii="Times New Roman" w:hAnsi="Times New Roman" w:eastAsia="宋体" w:cs="Times New Roman"/>
                <w:color w:val="auto"/>
                <w:sz w:val="24"/>
                <w:szCs w:val="24"/>
                <w:highlight w:val="none"/>
                <w:lang w:eastAsia="zh-CN"/>
              </w:rPr>
              <w:t>15190897070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97"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建设地点</w:t>
            </w:r>
          </w:p>
        </w:tc>
        <w:tc>
          <w:tcPr>
            <w:tcW w:w="7635" w:type="dxa"/>
            <w:gridSpan w:val="3"/>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default" w:ascii="Times New Roman" w:hAnsi="Times New Roman" w:cs="Times New Roman"/>
                <w:color w:val="auto"/>
                <w:sz w:val="24"/>
                <w:szCs w:val="24"/>
                <w:highlight w:val="none"/>
                <w:u w:val="none"/>
                <w:lang w:val="en-US" w:eastAsia="zh-CN"/>
              </w:rPr>
              <w:t>江苏省如皋市城北街道起凤西路118号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97"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地理坐标</w:t>
            </w:r>
          </w:p>
        </w:tc>
        <w:tc>
          <w:tcPr>
            <w:tcW w:w="7635" w:type="dxa"/>
            <w:gridSpan w:val="3"/>
            <w:vAlign w:val="center"/>
          </w:tcPr>
          <w:p>
            <w:pPr>
              <w:adjustRightInd w:val="0"/>
              <w:snapToGrid w:val="0"/>
              <w:jc w:val="center"/>
              <w:rPr>
                <w:rFonts w:hint="default" w:ascii="Times New Roman" w:hAnsi="Times New Roman" w:cs="Times New Roman"/>
                <w:color w:val="auto"/>
                <w:kern w:val="21"/>
                <w:sz w:val="24"/>
                <w:szCs w:val="24"/>
                <w:highlight w:val="none"/>
              </w:rPr>
            </w:pPr>
            <w:r>
              <w:rPr>
                <w:rFonts w:hint="default" w:ascii="Times New Roman" w:hAnsi="Times New Roman" w:cs="Times New Roman"/>
                <w:color w:val="auto"/>
                <w:kern w:val="21"/>
                <w:sz w:val="24"/>
                <w:szCs w:val="24"/>
                <w:highlight w:val="none"/>
              </w:rPr>
              <w:t>（</w:t>
            </w:r>
            <w:r>
              <w:rPr>
                <w:rFonts w:hint="default" w:ascii="Times New Roman" w:hAnsi="Times New Roman" w:cs="Times New Roman"/>
                <w:color w:val="auto"/>
                <w:kern w:val="21"/>
                <w:sz w:val="24"/>
                <w:szCs w:val="24"/>
                <w:highlight w:val="none"/>
                <w:u w:val="single"/>
              </w:rPr>
              <w:t>120</w:t>
            </w:r>
            <w:r>
              <w:rPr>
                <w:rFonts w:hint="default" w:ascii="Times New Roman" w:hAnsi="Times New Roman" w:cs="Times New Roman"/>
                <w:color w:val="auto"/>
                <w:kern w:val="21"/>
                <w:sz w:val="24"/>
                <w:szCs w:val="24"/>
                <w:highlight w:val="none"/>
              </w:rPr>
              <w:t>度</w:t>
            </w:r>
            <w:r>
              <w:rPr>
                <w:rFonts w:hint="eastAsia" w:cs="Times New Roman"/>
                <w:color w:val="auto"/>
                <w:kern w:val="21"/>
                <w:sz w:val="24"/>
                <w:szCs w:val="24"/>
                <w:highlight w:val="none"/>
                <w:u w:val="single"/>
                <w:lang w:val="en-US" w:eastAsia="zh-CN"/>
              </w:rPr>
              <w:t>31</w:t>
            </w:r>
            <w:r>
              <w:rPr>
                <w:rFonts w:hint="default" w:ascii="Times New Roman" w:hAnsi="Times New Roman" w:cs="Times New Roman"/>
                <w:color w:val="auto"/>
                <w:kern w:val="21"/>
                <w:sz w:val="24"/>
                <w:szCs w:val="24"/>
                <w:highlight w:val="none"/>
              </w:rPr>
              <w:t>分</w:t>
            </w:r>
            <w:r>
              <w:rPr>
                <w:rFonts w:hint="eastAsia" w:cs="Times New Roman"/>
                <w:color w:val="auto"/>
                <w:kern w:val="21"/>
                <w:sz w:val="24"/>
                <w:szCs w:val="24"/>
                <w:highlight w:val="none"/>
                <w:u w:val="single"/>
                <w:lang w:val="en-US" w:eastAsia="zh-CN"/>
              </w:rPr>
              <w:t>21.724</w:t>
            </w:r>
            <w:r>
              <w:rPr>
                <w:rFonts w:hint="default" w:ascii="Times New Roman" w:hAnsi="Times New Roman" w:cs="Times New Roman"/>
                <w:color w:val="auto"/>
                <w:kern w:val="21"/>
                <w:sz w:val="24"/>
                <w:szCs w:val="24"/>
                <w:highlight w:val="none"/>
              </w:rPr>
              <w:t>秒，</w:t>
            </w:r>
            <w:r>
              <w:rPr>
                <w:rFonts w:hint="default" w:ascii="Times New Roman" w:hAnsi="Times New Roman" w:cs="Times New Roman"/>
                <w:color w:val="auto"/>
                <w:kern w:val="21"/>
                <w:sz w:val="24"/>
                <w:szCs w:val="24"/>
                <w:highlight w:val="none"/>
                <w:u w:val="single"/>
              </w:rPr>
              <w:t>32</w:t>
            </w:r>
            <w:r>
              <w:rPr>
                <w:rFonts w:hint="default" w:ascii="Times New Roman" w:hAnsi="Times New Roman" w:cs="Times New Roman"/>
                <w:color w:val="auto"/>
                <w:kern w:val="21"/>
                <w:sz w:val="24"/>
                <w:szCs w:val="24"/>
                <w:highlight w:val="none"/>
              </w:rPr>
              <w:t>度</w:t>
            </w:r>
            <w:r>
              <w:rPr>
                <w:rFonts w:hint="default" w:ascii="Times New Roman" w:hAnsi="Times New Roman" w:cs="Times New Roman"/>
                <w:color w:val="auto"/>
                <w:kern w:val="21"/>
                <w:sz w:val="24"/>
                <w:szCs w:val="24"/>
                <w:highlight w:val="none"/>
                <w:u w:val="single"/>
                <w:lang w:val="en-US" w:eastAsia="zh-CN"/>
              </w:rPr>
              <w:t>2</w:t>
            </w:r>
            <w:r>
              <w:rPr>
                <w:rFonts w:hint="eastAsia" w:cs="Times New Roman"/>
                <w:color w:val="auto"/>
                <w:kern w:val="21"/>
                <w:sz w:val="24"/>
                <w:szCs w:val="24"/>
                <w:highlight w:val="none"/>
                <w:u w:val="single"/>
                <w:lang w:val="en-US" w:eastAsia="zh-CN"/>
              </w:rPr>
              <w:t>4</w:t>
            </w:r>
            <w:r>
              <w:rPr>
                <w:rFonts w:hint="default" w:ascii="Times New Roman" w:hAnsi="Times New Roman" w:cs="Times New Roman"/>
                <w:color w:val="auto"/>
                <w:kern w:val="21"/>
                <w:sz w:val="24"/>
                <w:szCs w:val="24"/>
                <w:highlight w:val="none"/>
              </w:rPr>
              <w:t>分</w:t>
            </w:r>
            <w:r>
              <w:rPr>
                <w:rFonts w:hint="eastAsia" w:cs="Times New Roman"/>
                <w:color w:val="auto"/>
                <w:kern w:val="21"/>
                <w:sz w:val="24"/>
                <w:szCs w:val="24"/>
                <w:highlight w:val="none"/>
                <w:u w:val="single"/>
                <w:lang w:val="en-US" w:eastAsia="zh-CN"/>
              </w:rPr>
              <w:t>23.601</w:t>
            </w:r>
            <w:r>
              <w:rPr>
                <w:rFonts w:hint="default" w:ascii="Times New Roman" w:hAnsi="Times New Roman" w:cs="Times New Roman"/>
                <w:color w:val="auto"/>
                <w:kern w:val="21"/>
                <w:sz w:val="24"/>
                <w:szCs w:val="24"/>
                <w:highlight w:val="none"/>
              </w:rPr>
              <w:t>秒）</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806"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国民经济</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行业类别</w:t>
            </w:r>
          </w:p>
        </w:tc>
        <w:tc>
          <w:tcPr>
            <w:tcW w:w="2527" w:type="dxa"/>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C4111鬃毛加工、制刷及清扫工具制造</w:t>
            </w:r>
          </w:p>
        </w:tc>
        <w:tc>
          <w:tcPr>
            <w:tcW w:w="1770" w:type="dxa"/>
            <w:vAlign w:val="center"/>
          </w:tcPr>
          <w:p>
            <w:pPr>
              <w:adjustRightInd w:val="0"/>
              <w:snapToGrid w:val="0"/>
              <w:jc w:val="center"/>
              <w:rPr>
                <w:rFonts w:hint="default" w:cs="Times New Roman"/>
                <w:color w:val="auto"/>
                <w:sz w:val="24"/>
                <w:szCs w:val="24"/>
                <w:highlight w:val="none"/>
                <w:lang w:val="en-US" w:eastAsia="zh-CN"/>
              </w:rPr>
            </w:pPr>
            <w:bookmarkStart w:id="0" w:name="_Hlk49843745"/>
            <w:r>
              <w:rPr>
                <w:rFonts w:hint="default" w:cs="Times New Roman"/>
                <w:color w:val="auto"/>
                <w:sz w:val="24"/>
                <w:szCs w:val="24"/>
                <w:highlight w:val="none"/>
                <w:lang w:val="en-US" w:eastAsia="zh-CN"/>
              </w:rPr>
              <w:t>建设项目</w:t>
            </w:r>
          </w:p>
          <w:p>
            <w:pPr>
              <w:adjustRightInd w:val="0"/>
              <w:snapToGrid w:val="0"/>
              <w:jc w:val="center"/>
              <w:rPr>
                <w:rFonts w:hint="default" w:cs="Times New Roman"/>
                <w:color w:val="auto"/>
                <w:sz w:val="24"/>
                <w:szCs w:val="24"/>
                <w:highlight w:val="none"/>
                <w:lang w:val="en-US" w:eastAsia="zh-CN"/>
              </w:rPr>
            </w:pPr>
            <w:r>
              <w:rPr>
                <w:rFonts w:hint="default" w:cs="Times New Roman"/>
                <w:color w:val="auto"/>
                <w:sz w:val="24"/>
                <w:szCs w:val="24"/>
                <w:highlight w:val="none"/>
                <w:lang w:val="en-US" w:eastAsia="zh-CN"/>
              </w:rPr>
              <w:t>行业类别</w:t>
            </w:r>
            <w:bookmarkEnd w:id="0"/>
          </w:p>
        </w:tc>
        <w:tc>
          <w:tcPr>
            <w:tcW w:w="3338" w:type="dxa"/>
            <w:vAlign w:val="center"/>
          </w:tcPr>
          <w:p>
            <w:pPr>
              <w:adjustRightInd w:val="0"/>
              <w:snapToGrid w:val="0"/>
              <w:jc w:val="center"/>
              <w:rPr>
                <w:rFonts w:hint="eastAsia" w:cs="Times New Roman"/>
                <w:color w:val="auto"/>
                <w:sz w:val="24"/>
                <w:szCs w:val="24"/>
                <w:highlight w:val="none"/>
                <w:lang w:val="en-US" w:eastAsia="zh-CN"/>
              </w:rPr>
            </w:pPr>
            <w:r>
              <w:rPr>
                <w:rFonts w:hint="default" w:cs="Times New Roman"/>
                <w:color w:val="auto"/>
                <w:sz w:val="24"/>
                <w:szCs w:val="24"/>
                <w:highlight w:val="none"/>
                <w:lang w:val="en-US" w:eastAsia="zh-CN"/>
              </w:rPr>
              <w:t>三十八、其他制造业41</w:t>
            </w:r>
            <w:r>
              <w:rPr>
                <w:rFonts w:hint="eastAsia" w:cs="Times New Roman"/>
                <w:color w:val="auto"/>
                <w:sz w:val="24"/>
                <w:szCs w:val="24"/>
                <w:highlight w:val="none"/>
                <w:lang w:val="en-US" w:eastAsia="zh-CN"/>
              </w:rPr>
              <w:t>、84日用杂品制造411*、年用溶剂型涂料（含稀释剂）10吨以下的，或年用非溶剂型低VOCs含量涂料10吨及以上的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1219"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建设性质</w:t>
            </w:r>
          </w:p>
        </w:tc>
        <w:tc>
          <w:tcPr>
            <w:tcW w:w="2527" w:type="dxa"/>
            <w:vAlign w:val="center"/>
          </w:tcPr>
          <w:p>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□新建（迁建）</w:t>
            </w:r>
          </w:p>
          <w:p>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□改建</w:t>
            </w:r>
          </w:p>
          <w:p>
            <w:pPr>
              <w:jc w:val="left"/>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扩建</w:t>
            </w:r>
          </w:p>
          <w:p>
            <w:pPr>
              <w:jc w:val="left"/>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技术改造</w:t>
            </w:r>
          </w:p>
        </w:tc>
        <w:tc>
          <w:tcPr>
            <w:tcW w:w="1770"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建设项目</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申报情形</w:t>
            </w:r>
          </w:p>
        </w:tc>
        <w:tc>
          <w:tcPr>
            <w:tcW w:w="3338" w:type="dxa"/>
            <w:vAlign w:val="center"/>
          </w:tcPr>
          <w:p>
            <w:pPr>
              <w:jc w:val="left"/>
              <w:rPr>
                <w:rFonts w:hint="eastAsia" w:ascii="Times New Roman" w:hAnsi="Times New Roman" w:eastAsia="宋体" w:cs="Times New Roman"/>
                <w:color w:val="auto"/>
                <w:sz w:val="24"/>
                <w:szCs w:val="24"/>
                <w:highlight w:val="none"/>
                <w:lang w:eastAsia="zh-CN"/>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首次申报项目</w:t>
            </w:r>
          </w:p>
          <w:p>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□不予批准后再次申报项目</w:t>
            </w:r>
          </w:p>
          <w:p>
            <w:pPr>
              <w:jc w:val="left"/>
              <w:rPr>
                <w:rFonts w:hint="eastAsia" w:ascii="Times New Roman" w:hAnsi="Times New Roman" w:eastAsia="宋体" w:cs="Times New Roman"/>
                <w:color w:val="auto"/>
                <w:sz w:val="24"/>
                <w:szCs w:val="24"/>
                <w:highlight w:val="none"/>
                <w:lang w:eastAsia="zh-CN"/>
              </w:rPr>
            </w:pPr>
            <w:r>
              <w:rPr>
                <w:rFonts w:hint="default" w:ascii="Times New Roman" w:hAnsi="Times New Roman" w:cs="Times New Roman"/>
                <w:color w:val="auto"/>
                <w:sz w:val="24"/>
                <w:szCs w:val="24"/>
                <w:highlight w:val="none"/>
              </w:rPr>
              <w:t>□超五年重新审核项目</w:t>
            </w:r>
          </w:p>
          <w:p>
            <w:pPr>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□重大变动重新报批项目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851"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项目审批（核准/备案）部门（选填）</w:t>
            </w:r>
          </w:p>
        </w:tc>
        <w:tc>
          <w:tcPr>
            <w:tcW w:w="2527"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如皋经济技术开发区行政审批局</w:t>
            </w:r>
          </w:p>
        </w:tc>
        <w:tc>
          <w:tcPr>
            <w:tcW w:w="1770"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项目审批（核准/</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备案）文号（选填）</w:t>
            </w:r>
          </w:p>
        </w:tc>
        <w:tc>
          <w:tcPr>
            <w:tcW w:w="3338"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皋开行审备〔2024〕336号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452"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总投资（万元）</w:t>
            </w:r>
          </w:p>
        </w:tc>
        <w:tc>
          <w:tcPr>
            <w:tcW w:w="2527" w:type="dxa"/>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1000</w:t>
            </w:r>
          </w:p>
        </w:tc>
        <w:tc>
          <w:tcPr>
            <w:tcW w:w="1770" w:type="dxa"/>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环保投资（万元）</w:t>
            </w:r>
          </w:p>
        </w:tc>
        <w:tc>
          <w:tcPr>
            <w:tcW w:w="3338" w:type="dxa"/>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703"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环保投资占比（%）</w:t>
            </w:r>
          </w:p>
        </w:tc>
        <w:tc>
          <w:tcPr>
            <w:tcW w:w="2527" w:type="dxa"/>
            <w:vAlign w:val="center"/>
          </w:tcPr>
          <w:p>
            <w:pPr>
              <w:adjustRightInd w:val="0"/>
              <w:snapToGrid w:val="0"/>
              <w:jc w:val="center"/>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2%</w:t>
            </w:r>
          </w:p>
        </w:tc>
        <w:tc>
          <w:tcPr>
            <w:tcW w:w="1770" w:type="dxa"/>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施工工期</w:t>
            </w:r>
          </w:p>
        </w:tc>
        <w:tc>
          <w:tcPr>
            <w:tcW w:w="3338"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3个月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Ex>
        <w:trPr>
          <w:trHeight w:val="733" w:hRule="atLeast"/>
        </w:trPr>
        <w:tc>
          <w:tcPr>
            <w:tcW w:w="1503" w:type="dxa"/>
            <w:gridSpan w:val="3"/>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是否开工建设</w:t>
            </w:r>
          </w:p>
        </w:tc>
        <w:tc>
          <w:tcPr>
            <w:tcW w:w="2527" w:type="dxa"/>
            <w:vAlign w:val="center"/>
          </w:tcPr>
          <w:p>
            <w:pPr>
              <w:adjustRightInd w:val="0"/>
              <w:snapToGrid w:val="0"/>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否</w:t>
            </w:r>
          </w:p>
          <w:p>
            <w:pPr>
              <w:adjustRightInd w:val="0"/>
              <w:snapToGrid w:val="0"/>
              <w:jc w:val="center"/>
              <w:rPr>
                <w:rFonts w:hint="default" w:ascii="Times New Roman" w:hAnsi="Times New Roman" w:cs="Times New Roman"/>
                <w:color w:val="auto"/>
                <w:sz w:val="24"/>
                <w:szCs w:val="24"/>
                <w:highlight w:val="none"/>
              </w:rPr>
            </w:pP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是：</w:t>
            </w:r>
            <w:r>
              <w:rPr>
                <w:rFonts w:hint="eastAsia" w:cs="Times New Roman"/>
                <w:color w:val="auto"/>
                <w:sz w:val="24"/>
                <w:szCs w:val="24"/>
                <w:highlight w:val="none"/>
                <w:u w:val="single"/>
                <w:lang w:val="en-US" w:eastAsia="zh-CN"/>
              </w:rPr>
              <w:t>通02环罚[2024]17号</w:t>
            </w:r>
          </w:p>
        </w:tc>
        <w:tc>
          <w:tcPr>
            <w:tcW w:w="1770" w:type="dxa"/>
            <w:tcMar>
              <w:top w:w="16" w:type="dxa"/>
              <w:left w:w="16" w:type="dxa"/>
              <w:right w:w="16" w:type="dxa"/>
            </w:tcMar>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用地（用海）</w:t>
            </w:r>
          </w:p>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面积（m</w:t>
            </w:r>
            <w:r>
              <w:rPr>
                <w:rFonts w:hint="default" w:ascii="Times New Roman" w:hAnsi="Times New Roman" w:cs="Times New Roman"/>
                <w:color w:val="auto"/>
                <w:sz w:val="24"/>
                <w:szCs w:val="24"/>
                <w:highlight w:val="none"/>
                <w:vertAlign w:val="superscript"/>
              </w:rPr>
              <w:t>2</w:t>
            </w:r>
            <w:r>
              <w:rPr>
                <w:rFonts w:hint="default" w:ascii="Times New Roman" w:hAnsi="Times New Roman" w:cs="Times New Roman"/>
                <w:color w:val="auto"/>
                <w:sz w:val="24"/>
                <w:szCs w:val="24"/>
                <w:highlight w:val="none"/>
              </w:rPr>
              <w:t>）</w:t>
            </w:r>
          </w:p>
        </w:tc>
        <w:tc>
          <w:tcPr>
            <w:tcW w:w="3338" w:type="dxa"/>
            <w:vAlign w:val="center"/>
          </w:tcPr>
          <w:p>
            <w:pPr>
              <w:adjustRightInd w:val="0"/>
              <w:snapToGrid w:val="0"/>
              <w:jc w:val="center"/>
              <w:rPr>
                <w:rFonts w:hint="default" w:ascii="Times New Roman" w:hAnsi="Times New Roman" w:eastAsia="宋体" w:cs="Times New Roman"/>
                <w:color w:val="auto"/>
                <w:sz w:val="24"/>
                <w:szCs w:val="32"/>
                <w:highlight w:val="none"/>
                <w:lang w:val="en-US" w:eastAsia="zh-CN"/>
              </w:rPr>
            </w:pPr>
            <w:r>
              <w:rPr>
                <w:rFonts w:hint="eastAsia" w:cs="Times New Roman"/>
                <w:color w:val="auto"/>
                <w:sz w:val="24"/>
                <w:szCs w:val="32"/>
                <w:highlight w:val="none"/>
                <w:lang w:val="en-US" w:eastAsia="zh-CN"/>
              </w:rPr>
              <w:t>0（全厂用地面积71503</w:t>
            </w:r>
            <w:r>
              <w:rPr>
                <w:rFonts w:hint="default" w:ascii="Times New Roman" w:hAnsi="Times New Roman" w:cs="Times New Roman"/>
                <w:color w:val="auto"/>
                <w:sz w:val="24"/>
                <w:szCs w:val="24"/>
                <w:highlight w:val="none"/>
              </w:rPr>
              <w:t>m</w:t>
            </w:r>
            <w:r>
              <w:rPr>
                <w:rFonts w:hint="default" w:ascii="Times New Roman" w:hAnsi="Times New Roman" w:cs="Times New Roman"/>
                <w:color w:val="auto"/>
                <w:sz w:val="24"/>
                <w:szCs w:val="24"/>
                <w:highlight w:val="none"/>
                <w:vertAlign w:val="superscript"/>
              </w:rPr>
              <w:t>2</w:t>
            </w:r>
            <w:r>
              <w:rPr>
                <w:rFonts w:hint="eastAsia" w:cs="Times New Roman"/>
                <w:color w:val="auto"/>
                <w:sz w:val="24"/>
                <w:szCs w:val="32"/>
                <w:highlight w:val="none"/>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1503" w:type="dxa"/>
            <w:gridSpan w:val="3"/>
            <w:vAlign w:val="center"/>
          </w:tcPr>
          <w:p>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专项评价设置情况</w:t>
            </w:r>
          </w:p>
        </w:tc>
        <w:tc>
          <w:tcPr>
            <w:tcW w:w="7635" w:type="dxa"/>
            <w:gridSpan w:val="3"/>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jc w:val="left"/>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对照《建设项目环境影响报告表编制技术指南（污染影响类）（试行）》环办环评</w:t>
            </w:r>
            <w:r>
              <w:rPr>
                <w:rFonts w:hint="eastAsia" w:ascii="Times New Roman" w:hAnsi="Times New Roman" w:eastAsia="宋体" w:cs="Times New Roman"/>
                <w:color w:val="auto"/>
                <w:kern w:val="0"/>
                <w:sz w:val="24"/>
                <w:szCs w:val="24"/>
                <w:highlight w:val="none"/>
                <w:lang w:eastAsia="zh-CN"/>
              </w:rPr>
              <w:t>〔2020〕33号</w:t>
            </w:r>
            <w:r>
              <w:rPr>
                <w:rFonts w:hint="default" w:ascii="Times New Roman" w:hAnsi="Times New Roman" w:eastAsia="宋体" w:cs="Times New Roman"/>
                <w:color w:val="auto"/>
                <w:kern w:val="0"/>
                <w:sz w:val="24"/>
                <w:szCs w:val="24"/>
                <w:highlight w:val="none"/>
              </w:rPr>
              <w:t>，本项目不需要设置专项评价，详见下表1-1。</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shd w:val="clear" w:color="auto" w:fill="auto"/>
              </w:rPr>
            </w:pPr>
            <w:r>
              <w:rPr>
                <w:rFonts w:hint="default" w:ascii="Times New Roman" w:hAnsi="Times New Roman" w:eastAsia="宋体" w:cs="Times New Roman"/>
                <w:b/>
                <w:color w:val="auto"/>
                <w:sz w:val="24"/>
                <w:szCs w:val="24"/>
                <w:highlight w:val="none"/>
                <w:shd w:val="clear" w:color="auto" w:fill="auto"/>
              </w:rPr>
              <w:t>表1-</w:t>
            </w:r>
            <w:r>
              <w:rPr>
                <w:rFonts w:hint="default" w:ascii="Times New Roman" w:hAnsi="Times New Roman" w:eastAsia="宋体" w:cs="Times New Roman"/>
                <w:b/>
                <w:color w:val="auto"/>
                <w:sz w:val="24"/>
                <w:szCs w:val="24"/>
                <w:highlight w:val="none"/>
                <w:shd w:val="clear" w:color="auto" w:fill="auto"/>
                <w:lang w:val="en-US" w:eastAsia="zh-CN"/>
              </w:rPr>
              <w:t>1</w:t>
            </w:r>
            <w:r>
              <w:rPr>
                <w:rFonts w:hint="default" w:ascii="Times New Roman" w:hAnsi="Times New Roman" w:eastAsia="宋体" w:cs="Times New Roman"/>
                <w:b/>
                <w:color w:val="auto"/>
                <w:sz w:val="24"/>
                <w:szCs w:val="24"/>
                <w:highlight w:val="none"/>
                <w:shd w:val="clear" w:color="auto" w:fill="auto"/>
              </w:rPr>
              <w:t xml:space="preserve"> </w:t>
            </w:r>
            <w:r>
              <w:rPr>
                <w:rFonts w:hint="eastAsia" w:ascii="Times New Roman" w:hAnsi="Times New Roman" w:eastAsia="宋体" w:cs="Times New Roman"/>
                <w:b/>
                <w:color w:val="auto"/>
                <w:sz w:val="24"/>
                <w:szCs w:val="24"/>
                <w:highlight w:val="none"/>
                <w:shd w:val="clear" w:color="auto" w:fill="auto"/>
                <w:lang w:val="en-US" w:eastAsia="zh-CN"/>
              </w:rPr>
              <w:t xml:space="preserve">  </w:t>
            </w:r>
            <w:r>
              <w:rPr>
                <w:rFonts w:hint="default" w:ascii="Times New Roman" w:hAnsi="Times New Roman" w:eastAsia="宋体" w:cs="Times New Roman"/>
                <w:b/>
                <w:color w:val="auto"/>
                <w:sz w:val="24"/>
                <w:szCs w:val="24"/>
                <w:highlight w:val="none"/>
                <w:shd w:val="clear" w:color="auto" w:fill="auto"/>
                <w:lang w:eastAsia="zh-CN"/>
              </w:rPr>
              <w:t>专项设置要求对照</w:t>
            </w:r>
            <w:r>
              <w:rPr>
                <w:rFonts w:hint="default" w:ascii="Times New Roman" w:hAnsi="Times New Roman" w:eastAsia="宋体" w:cs="Times New Roman"/>
                <w:b/>
                <w:color w:val="auto"/>
                <w:sz w:val="24"/>
                <w:szCs w:val="24"/>
                <w:highlight w:val="none"/>
                <w:shd w:val="clear" w:color="auto" w:fill="auto"/>
              </w:rPr>
              <w:t>表</w:t>
            </w:r>
          </w:p>
          <w:tbl>
            <w:tblPr>
              <w:tblStyle w:val="25"/>
              <w:tblW w:w="7415"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7"/>
              <w:gridCol w:w="3941"/>
              <w:gridCol w:w="241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44" w:hRule="atLeast"/>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专项评价的类别</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设置原则</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bCs/>
                      <w:color w:val="auto"/>
                      <w:kern w:val="2"/>
                      <w:sz w:val="21"/>
                      <w:szCs w:val="21"/>
                      <w:highlight w:val="none"/>
                      <w:lang w:val="en-US" w:eastAsia="zh-CN" w:bidi="ar-SA"/>
                    </w:rPr>
                  </w:pPr>
                  <w:r>
                    <w:rPr>
                      <w:rFonts w:hint="default" w:ascii="Times New Roman" w:hAnsi="Times New Roman" w:eastAsia="宋体" w:cs="Times New Roman"/>
                      <w:b/>
                      <w:bCs/>
                      <w:color w:val="auto"/>
                      <w:kern w:val="2"/>
                      <w:sz w:val="21"/>
                      <w:szCs w:val="21"/>
                      <w:highlight w:val="none"/>
                      <w:lang w:val="en-US" w:eastAsia="zh-CN" w:bidi="ar-SA"/>
                    </w:rPr>
                    <w:t>本项目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大气</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排放废气含有毒有害污染物、二噁英、苯并[a]芘、氰化物、氯气且厂界外500米范围内有环境空气保护目标的建设项目</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本项目厂界外500米范围内</w:t>
                  </w:r>
                  <w:r>
                    <w:rPr>
                      <w:rFonts w:hint="eastAsia" w:ascii="Times New Roman" w:hAnsi="Times New Roman" w:eastAsia="宋体" w:cs="Times New Roman"/>
                      <w:color w:val="auto"/>
                      <w:kern w:val="2"/>
                      <w:sz w:val="21"/>
                      <w:szCs w:val="21"/>
                      <w:highlight w:val="none"/>
                      <w:lang w:val="en-US" w:eastAsia="zh-CN" w:bidi="ar-SA"/>
                    </w:rPr>
                    <w:t>有</w:t>
                  </w:r>
                  <w:r>
                    <w:rPr>
                      <w:rFonts w:hint="default" w:ascii="Times New Roman" w:hAnsi="Times New Roman" w:eastAsia="宋体" w:cs="Times New Roman"/>
                      <w:color w:val="auto"/>
                      <w:kern w:val="2"/>
                      <w:sz w:val="21"/>
                      <w:szCs w:val="21"/>
                      <w:highlight w:val="none"/>
                      <w:lang w:val="en-US" w:eastAsia="zh-CN" w:bidi="ar-SA"/>
                    </w:rPr>
                    <w:t>环境空气保护目标</w:t>
                  </w:r>
                  <w:r>
                    <w:rPr>
                      <w:rFonts w:hint="eastAsia" w:ascii="Times New Roman" w:hAnsi="Times New Roman" w:eastAsia="宋体" w:cs="Times New Roman"/>
                      <w:color w:val="auto"/>
                      <w:kern w:val="2"/>
                      <w:sz w:val="21"/>
                      <w:szCs w:val="21"/>
                      <w:highlight w:val="none"/>
                      <w:lang w:val="en-US" w:eastAsia="zh-CN" w:bidi="ar-SA"/>
                    </w:rPr>
                    <w:t>但不属于排放</w:t>
                  </w:r>
                  <w:r>
                    <w:rPr>
                      <w:rFonts w:hint="default" w:ascii="Times New Roman" w:hAnsi="Times New Roman" w:eastAsia="宋体" w:cs="Times New Roman"/>
                      <w:color w:val="auto"/>
                      <w:kern w:val="2"/>
                      <w:sz w:val="21"/>
                      <w:szCs w:val="21"/>
                      <w:highlight w:val="none"/>
                      <w:lang w:val="en-US" w:eastAsia="zh-CN" w:bidi="ar-SA"/>
                    </w:rPr>
                    <w:t>含有毒有害污染物、二噁英、苯并[a]芘、氰化物、氯气</w:t>
                  </w:r>
                  <w:r>
                    <w:rPr>
                      <w:rFonts w:hint="eastAsia" w:ascii="Times New Roman" w:hAnsi="Times New Roman" w:eastAsia="宋体" w:cs="Times New Roman"/>
                      <w:color w:val="auto"/>
                      <w:kern w:val="2"/>
                      <w:sz w:val="21"/>
                      <w:szCs w:val="21"/>
                      <w:highlight w:val="none"/>
                      <w:lang w:val="en-US" w:eastAsia="zh-CN" w:bidi="ar-SA"/>
                    </w:rPr>
                    <w:t>废气</w:t>
                  </w:r>
                  <w:r>
                    <w:rPr>
                      <w:rFonts w:hint="default" w:ascii="Times New Roman" w:hAnsi="Times New Roman" w:eastAsia="宋体" w:cs="Times New Roman"/>
                      <w:color w:val="auto"/>
                      <w:kern w:val="2"/>
                      <w:sz w:val="21"/>
                      <w:szCs w:val="21"/>
                      <w:highlight w:val="none"/>
                      <w:lang w:val="en-US" w:eastAsia="zh-CN" w:bidi="ar-SA"/>
                    </w:rPr>
                    <w:t>的建设项目。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地表水</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新增工业废水直排建设项目（槽罐车外送污水处理厂的除外）；新增废水直排的污水集中处理厂</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本项目废水</w:t>
                  </w:r>
                  <w:r>
                    <w:rPr>
                      <w:rFonts w:hint="eastAsia" w:ascii="Times New Roman" w:hAnsi="Times New Roman" w:eastAsia="宋体" w:cs="Times New Roman"/>
                      <w:color w:val="auto"/>
                      <w:kern w:val="2"/>
                      <w:sz w:val="21"/>
                      <w:szCs w:val="21"/>
                      <w:highlight w:val="none"/>
                      <w:lang w:val="en-US" w:eastAsia="zh-CN" w:bidi="ar-SA"/>
                    </w:rPr>
                    <w:t>接管</w:t>
                  </w:r>
                  <w:r>
                    <w:rPr>
                      <w:rFonts w:hint="default" w:ascii="Times New Roman" w:hAnsi="Times New Roman" w:eastAsia="宋体" w:cs="Times New Roman"/>
                      <w:color w:val="auto"/>
                      <w:kern w:val="2"/>
                      <w:sz w:val="21"/>
                      <w:szCs w:val="21"/>
                      <w:highlight w:val="none"/>
                      <w:lang w:val="en-US" w:eastAsia="zh-CN" w:bidi="ar-SA"/>
                    </w:rPr>
                    <w:t>进入污水处理厂</w:t>
                  </w:r>
                  <w:r>
                    <w:rPr>
                      <w:rFonts w:hint="eastAsia" w:ascii="Times New Roman" w:hAnsi="Times New Roman" w:eastAsia="宋体" w:cs="Times New Roman"/>
                      <w:color w:val="auto"/>
                      <w:kern w:val="2"/>
                      <w:sz w:val="21"/>
                      <w:szCs w:val="21"/>
                      <w:highlight w:val="none"/>
                      <w:lang w:val="en-US" w:eastAsia="zh-CN" w:bidi="ar-SA"/>
                    </w:rPr>
                    <w:t>，属于间接排放</w:t>
                  </w:r>
                  <w:r>
                    <w:rPr>
                      <w:rFonts w:hint="default" w:ascii="Times New Roman" w:hAnsi="Times New Roman" w:eastAsia="宋体" w:cs="Times New Roman"/>
                      <w:color w:val="auto"/>
                      <w:kern w:val="2"/>
                      <w:sz w:val="21"/>
                      <w:szCs w:val="21"/>
                      <w:highlight w:val="none"/>
                      <w:lang w:val="en-US" w:eastAsia="zh-CN" w:bidi="ar-SA"/>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环境风险</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有毒有害和易燃易爆危险物质存储量超过临界量的建设项目</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本项目有毒有害和易燃易爆危险物质储量不超过临界量。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生态</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取水口下游500米范围内有重要水生生物的自然产卵场、索饵场、越冬场和洄游通道的新增河道取水的污染类建设项目</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海洋</w:t>
                  </w:r>
                </w:p>
              </w:tc>
              <w:tc>
                <w:tcPr>
                  <w:tcW w:w="3941"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直接向海排放污染物的海洋工程建设项目</w:t>
                  </w:r>
                </w:p>
              </w:tc>
              <w:tc>
                <w:tcPr>
                  <w:tcW w:w="2417"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415" w:type="dxa"/>
                  <w:gridSpan w:val="3"/>
                  <w:tcBorders>
                    <w:tl2br w:val="nil"/>
                    <w:tr2bl w:val="nil"/>
                  </w:tcBorders>
                  <w:noWrap w:val="0"/>
                  <w:vAlign w:val="center"/>
                </w:tcPr>
                <w:p>
                  <w:pPr>
                    <w:pStyle w:val="9"/>
                    <w:tabs>
                      <w:tab w:val="left" w:pos="1018"/>
                    </w:tabs>
                    <w:jc w:val="both"/>
                    <w:rPr>
                      <w:rFonts w:ascii="Times New Roman" w:eastAsia="宋体"/>
                      <w:color w:val="auto"/>
                      <w:sz w:val="18"/>
                      <w:szCs w:val="18"/>
                      <w:highlight w:val="none"/>
                    </w:rPr>
                  </w:pPr>
                  <w:r>
                    <w:rPr>
                      <w:rFonts w:hint="default" w:ascii="Times New Roman" w:hAnsi="Times New Roman" w:eastAsia="宋体" w:cs="Times New Roman"/>
                      <w:color w:val="auto"/>
                      <w:kern w:val="2"/>
                      <w:sz w:val="18"/>
                      <w:szCs w:val="18"/>
                      <w:highlight w:val="none"/>
                      <w:lang w:val="en-US" w:eastAsia="zh-CN" w:bidi="ar-SA"/>
                    </w:rPr>
                    <w:t xml:space="preserve">注：1.废气中有毒有害污染物指纳入《有毒有害大气污染物名录》的污染物（不包括无排放标准的污染物）。 </w:t>
                  </w:r>
                </w:p>
                <w:p>
                  <w:pPr>
                    <w:pStyle w:val="9"/>
                    <w:tabs>
                      <w:tab w:val="left" w:pos="1018"/>
                    </w:tabs>
                    <w:jc w:val="both"/>
                    <w:rPr>
                      <w:rFonts w:ascii="Times New Roman" w:eastAsia="宋体"/>
                      <w:color w:val="auto"/>
                      <w:sz w:val="18"/>
                      <w:szCs w:val="18"/>
                      <w:highlight w:val="none"/>
                    </w:rPr>
                  </w:pPr>
                  <w:r>
                    <w:rPr>
                      <w:rFonts w:hint="default" w:ascii="Times New Roman" w:hAnsi="Times New Roman" w:eastAsia="宋体" w:cs="Times New Roman"/>
                      <w:color w:val="auto"/>
                      <w:kern w:val="2"/>
                      <w:sz w:val="18"/>
                      <w:szCs w:val="18"/>
                      <w:highlight w:val="none"/>
                      <w:lang w:val="en-US" w:eastAsia="zh-CN" w:bidi="ar-SA"/>
                    </w:rPr>
                    <w:t xml:space="preserve">2.环境空气保护目标指自然保护区、风景名胜区、居住区、文化区和农村地区中人群较集中的区域。 </w:t>
                  </w:r>
                </w:p>
                <w:p>
                  <w:pPr>
                    <w:pStyle w:val="9"/>
                    <w:keepNext w:val="0"/>
                    <w:keepLines w:val="0"/>
                    <w:suppressLineNumbers w:val="0"/>
                    <w:tabs>
                      <w:tab w:val="left" w:pos="1018"/>
                    </w:tabs>
                    <w:spacing w:before="0" w:beforeAutospacing="0" w:after="0" w:afterAutospacing="0" w:line="240" w:lineRule="auto"/>
                    <w:ind w:left="0" w:right="0" w:firstLine="0" w:firstLineChars="0"/>
                    <w:jc w:val="both"/>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18"/>
                      <w:szCs w:val="18"/>
                      <w:highlight w:val="none"/>
                      <w:lang w:val="en-US" w:eastAsia="zh-CN" w:bidi="ar-SA"/>
                    </w:rPr>
                    <w:t>3.临界量及其计算方法可参考《建设项目环境风险评价技术导则》（HJ 169）附录 B、附录 C。</w:t>
                  </w:r>
                </w:p>
              </w:tc>
            </w:tr>
          </w:tbl>
          <w:p>
            <w:pPr>
              <w:autoSpaceDE w:val="0"/>
              <w:autoSpaceDN w:val="0"/>
              <w:adjustRightInd w:val="0"/>
              <w:snapToGrid w:val="0"/>
              <w:jc w:val="center"/>
              <w:rPr>
                <w:rFonts w:hint="default" w:ascii="Times New Roman" w:hAnsi="Times New Roman" w:cs="Times New Roman"/>
                <w:color w:val="auto"/>
                <w:kern w:val="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705" w:hRule="atLeast"/>
        </w:trPr>
        <w:tc>
          <w:tcPr>
            <w:tcW w:w="1503" w:type="dxa"/>
            <w:gridSpan w:val="3"/>
            <w:vAlign w:val="center"/>
          </w:tcPr>
          <w:p>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规划情况</w:t>
            </w:r>
          </w:p>
        </w:tc>
        <w:tc>
          <w:tcPr>
            <w:tcW w:w="7635" w:type="dxa"/>
            <w:gridSpan w:val="3"/>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规划名称：如皋经济技术开发区</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审批机关：国务院办公厅</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cs="Times New Roman"/>
                <w:color w:val="auto"/>
                <w:sz w:val="24"/>
                <w:szCs w:val="32"/>
                <w:highlight w:val="none"/>
              </w:rPr>
            </w:pPr>
            <w:r>
              <w:rPr>
                <w:rFonts w:hint="default" w:ascii="Times New Roman" w:hAnsi="Times New Roman" w:cs="Times New Roman"/>
                <w:color w:val="auto"/>
                <w:kern w:val="0"/>
                <w:sz w:val="24"/>
                <w:szCs w:val="24"/>
                <w:highlight w:val="none"/>
              </w:rPr>
              <w:t>审批文件名称及文号：如皋经济技术开发区于1992年9月正式成立，2013年1月17日，国务院办公厅正式批准同意江苏如皋经济开发区升级为国家级经济技术开发区（国办函〔2013〕14号）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503" w:type="dxa"/>
            <w:gridSpan w:val="3"/>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规划环境影响</w:t>
            </w:r>
          </w:p>
          <w:p>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评价情况</w:t>
            </w:r>
          </w:p>
        </w:tc>
        <w:tc>
          <w:tcPr>
            <w:tcW w:w="7635" w:type="dxa"/>
            <w:gridSpan w:val="3"/>
            <w:vAlign w:val="center"/>
          </w:tcPr>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文件名：如皋经济技术开发区发展规划（2018-2030）环境影响报告书</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审查机关：生态环境部</w:t>
            </w:r>
          </w:p>
          <w:p>
            <w:pPr>
              <w:pStyle w:val="2"/>
              <w:rPr>
                <w:rFonts w:hint="default"/>
                <w:color w:val="auto"/>
                <w:lang w:val="en-US" w:eastAsia="zh-CN"/>
              </w:rPr>
            </w:pPr>
            <w:r>
              <w:rPr>
                <w:rFonts w:hint="eastAsia" w:cs="Times New Roman"/>
                <w:color w:val="auto"/>
                <w:kern w:val="0"/>
                <w:sz w:val="24"/>
                <w:szCs w:val="24"/>
                <w:highlight w:val="none"/>
                <w:lang w:val="en-US" w:eastAsia="zh-CN"/>
              </w:rPr>
              <w:t>审查文件名称：关于《</w:t>
            </w:r>
            <w:r>
              <w:rPr>
                <w:rFonts w:hint="default" w:ascii="Times New Roman" w:hAnsi="Times New Roman" w:eastAsia="宋体" w:cs="Times New Roman"/>
                <w:color w:val="auto"/>
                <w:kern w:val="0"/>
                <w:sz w:val="24"/>
                <w:szCs w:val="24"/>
                <w:highlight w:val="none"/>
                <w:lang w:val="en-US" w:eastAsia="zh-CN"/>
              </w:rPr>
              <w:t>如皋经济技术开发区发展规划（2018-2030）环境影响报告书</w:t>
            </w:r>
            <w:r>
              <w:rPr>
                <w:rFonts w:hint="eastAsia" w:cs="Times New Roman"/>
                <w:color w:val="auto"/>
                <w:kern w:val="0"/>
                <w:sz w:val="24"/>
                <w:szCs w:val="24"/>
                <w:highlight w:val="none"/>
                <w:lang w:val="en-US" w:eastAsia="zh-CN"/>
              </w:rPr>
              <w:t>》的审查意见</w:t>
            </w:r>
          </w:p>
          <w:p>
            <w:pPr>
              <w:keepNext w:val="0"/>
              <w:keepLines w:val="0"/>
              <w:pageBreakBefore w:val="0"/>
              <w:widowControl w:val="0"/>
              <w:kinsoku/>
              <w:wordWrap/>
              <w:overflowPunct/>
              <w:topLinePunct w:val="0"/>
              <w:autoSpaceDE w:val="0"/>
              <w:autoSpaceDN w:val="0"/>
              <w:bidi w:val="0"/>
              <w:adjustRightInd w:val="0"/>
              <w:snapToGrid w:val="0"/>
              <w:spacing w:line="360" w:lineRule="auto"/>
              <w:ind w:firstLine="0" w:firstLineChars="0"/>
              <w:jc w:val="left"/>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kern w:val="0"/>
                <w:sz w:val="24"/>
                <w:szCs w:val="24"/>
                <w:highlight w:val="none"/>
                <w:lang w:val="en-US" w:eastAsia="zh-CN"/>
              </w:rPr>
              <w:t>审查意见文号：环审〔2020〕77号</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30" w:hRule="atLeast"/>
        </w:trPr>
        <w:tc>
          <w:tcPr>
            <w:tcW w:w="1015" w:type="dxa"/>
            <w:vAlign w:val="center"/>
          </w:tcPr>
          <w:p>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规划及规划环境影响评价符合性分析</w:t>
            </w:r>
          </w:p>
        </w:tc>
        <w:tc>
          <w:tcPr>
            <w:tcW w:w="8123" w:type="dxa"/>
            <w:gridSpan w:val="5"/>
            <w:vAlign w:val="center"/>
          </w:tcPr>
          <w:p>
            <w:pPr>
              <w:keepNext w:val="0"/>
              <w:keepLines w:val="0"/>
              <w:pageBreakBefore w:val="0"/>
              <w:widowControl w:val="0"/>
              <w:suppressLineNumbers w:val="0"/>
              <w:tabs>
                <w:tab w:val="left" w:pos="918"/>
              </w:tabs>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color w:val="auto"/>
                <w:sz w:val="24"/>
                <w:szCs w:val="24"/>
                <w:highlight w:val="none"/>
                <w:shd w:val="clear" w:color="auto" w:fill="auto"/>
                <w:lang w:val="en-US" w:eastAsia="zh-CN"/>
              </w:rPr>
            </w:pPr>
            <w:r>
              <w:rPr>
                <w:rFonts w:hint="default" w:ascii="Times New Roman" w:hAnsi="Times New Roman" w:eastAsia="宋体" w:cs="Times New Roman"/>
                <w:b/>
                <w:color w:val="auto"/>
                <w:sz w:val="24"/>
                <w:szCs w:val="24"/>
                <w:highlight w:val="none"/>
                <w:shd w:val="clear" w:color="auto" w:fill="auto"/>
                <w:lang w:val="en-US" w:eastAsia="zh-CN"/>
              </w:rPr>
              <w:t>（1）</w:t>
            </w:r>
            <w:r>
              <w:rPr>
                <w:rFonts w:hint="default" w:ascii="Times New Roman" w:hAnsi="Times New Roman" w:eastAsia="宋体" w:cs="Times New Roman"/>
                <w:b/>
                <w:color w:val="auto"/>
                <w:sz w:val="24"/>
                <w:szCs w:val="24"/>
                <w:highlight w:val="none"/>
                <w:shd w:val="clear" w:color="auto" w:fill="auto"/>
                <w:lang w:eastAsia="zh-CN"/>
              </w:rPr>
              <w:t>与《如皋经济技术开发区发展规划（</w:t>
            </w:r>
            <w:r>
              <w:rPr>
                <w:rFonts w:hint="default" w:ascii="Times New Roman" w:hAnsi="Times New Roman" w:eastAsia="宋体" w:cs="Times New Roman"/>
                <w:b/>
                <w:color w:val="auto"/>
                <w:sz w:val="24"/>
                <w:szCs w:val="24"/>
                <w:highlight w:val="none"/>
                <w:shd w:val="clear" w:color="auto" w:fill="auto"/>
                <w:lang w:val="en-US" w:eastAsia="zh-CN"/>
              </w:rPr>
              <w:t>2018-2030</w:t>
            </w:r>
            <w:r>
              <w:rPr>
                <w:rFonts w:hint="default" w:ascii="Times New Roman" w:hAnsi="Times New Roman" w:eastAsia="宋体" w:cs="Times New Roman"/>
                <w:b/>
                <w:color w:val="auto"/>
                <w:sz w:val="24"/>
                <w:szCs w:val="24"/>
                <w:highlight w:val="none"/>
                <w:shd w:val="clear" w:color="auto" w:fill="auto"/>
                <w:lang w:eastAsia="zh-CN"/>
              </w:rPr>
              <w:t>）环境影响报告书</w:t>
            </w:r>
            <w:r>
              <w:rPr>
                <w:rFonts w:hint="default" w:ascii="Times New Roman" w:hAnsi="Times New Roman" w:eastAsia="宋体" w:cs="Times New Roman"/>
                <w:b/>
                <w:color w:val="auto"/>
                <w:sz w:val="24"/>
                <w:szCs w:val="24"/>
                <w:highlight w:val="none"/>
                <w:shd w:val="clear" w:color="auto" w:fill="auto"/>
                <w:lang w:val="en-US" w:eastAsia="zh-CN"/>
              </w:rPr>
              <w:t>》相关规划内容相符性分析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shd w:val="clear" w:color="auto" w:fill="auto"/>
              </w:rPr>
            </w:pP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shd w:val="clear" w:color="auto" w:fill="auto"/>
              </w:rPr>
            </w:pPr>
            <w:r>
              <w:rPr>
                <w:rFonts w:hint="default" w:ascii="Times New Roman" w:hAnsi="Times New Roman" w:eastAsia="宋体" w:cs="Times New Roman"/>
                <w:b/>
                <w:color w:val="auto"/>
                <w:sz w:val="24"/>
                <w:szCs w:val="24"/>
                <w:highlight w:val="none"/>
                <w:shd w:val="clear" w:color="auto" w:fill="auto"/>
              </w:rPr>
              <w:t>表1-</w:t>
            </w:r>
            <w:r>
              <w:rPr>
                <w:rFonts w:hint="default" w:ascii="Times New Roman" w:hAnsi="Times New Roman" w:eastAsia="宋体" w:cs="Times New Roman"/>
                <w:b/>
                <w:color w:val="auto"/>
                <w:sz w:val="24"/>
                <w:szCs w:val="24"/>
                <w:highlight w:val="none"/>
                <w:shd w:val="clear" w:color="auto" w:fill="auto"/>
                <w:lang w:val="en-US" w:eastAsia="zh-CN"/>
              </w:rPr>
              <w:t>1</w:t>
            </w:r>
            <w:r>
              <w:rPr>
                <w:rFonts w:hint="default" w:ascii="Times New Roman" w:hAnsi="Times New Roman" w:eastAsia="宋体" w:cs="Times New Roman"/>
                <w:b/>
                <w:color w:val="auto"/>
                <w:sz w:val="24"/>
                <w:szCs w:val="24"/>
                <w:highlight w:val="none"/>
                <w:shd w:val="clear" w:color="auto" w:fill="auto"/>
                <w:lang w:eastAsia="zh-CN"/>
              </w:rPr>
              <w:t>规划内容</w:t>
            </w:r>
            <w:r>
              <w:rPr>
                <w:rFonts w:hint="default" w:ascii="Times New Roman" w:hAnsi="Times New Roman" w:eastAsia="宋体" w:cs="Times New Roman"/>
                <w:b/>
                <w:color w:val="auto"/>
                <w:sz w:val="24"/>
                <w:szCs w:val="24"/>
                <w:highlight w:val="none"/>
                <w:shd w:val="clear" w:color="auto" w:fill="auto"/>
              </w:rPr>
              <w:t>相符性分析</w:t>
            </w:r>
          </w:p>
          <w:tbl>
            <w:tblPr>
              <w:tblStyle w:val="25"/>
              <w:tblW w:w="790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56"/>
              <w:gridCol w:w="3878"/>
              <w:gridCol w:w="2168"/>
              <w:gridCol w:w="10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6"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要素</w:t>
                  </w:r>
                </w:p>
              </w:tc>
              <w:tc>
                <w:tcPr>
                  <w:tcW w:w="3878"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规划内容</w:t>
                  </w:r>
                </w:p>
              </w:tc>
              <w:tc>
                <w:tcPr>
                  <w:tcW w:w="216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本项目内容</w:t>
                  </w:r>
                </w:p>
              </w:tc>
              <w:tc>
                <w:tcPr>
                  <w:tcW w:w="100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6"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总体定位</w:t>
                  </w:r>
                </w:p>
              </w:tc>
              <w:tc>
                <w:tcPr>
                  <w:tcW w:w="387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以“智能制造和科技服务”为核心，以“创新、生态”为引领，形成集新兴制造、科技创新、商务商贸、文化展示、生态休闲等功能的智造之城、科创之城、宜居之城。</w:t>
                  </w:r>
                </w:p>
              </w:tc>
              <w:tc>
                <w:tcPr>
                  <w:tcW w:w="216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本项目属于</w:t>
                  </w:r>
                  <w:r>
                    <w:rPr>
                      <w:rFonts w:hint="eastAsia" w:ascii="Times New Roman" w:hAnsi="Times New Roman" w:eastAsia="宋体" w:cs="Times New Roman"/>
                      <w:color w:val="auto"/>
                      <w:kern w:val="2"/>
                      <w:sz w:val="21"/>
                      <w:szCs w:val="21"/>
                      <w:highlight w:val="none"/>
                      <w:lang w:val="en-US" w:eastAsia="zh-CN" w:bidi="ar-SA"/>
                    </w:rPr>
                    <w:t>C4111鬃毛加工、制刷及清扫工具制造</w:t>
                  </w:r>
                  <w:r>
                    <w:rPr>
                      <w:rFonts w:hint="default" w:ascii="Times New Roman" w:hAnsi="Times New Roman" w:eastAsia="宋体" w:cs="Times New Roman"/>
                      <w:color w:val="auto"/>
                      <w:kern w:val="2"/>
                      <w:sz w:val="21"/>
                      <w:szCs w:val="21"/>
                      <w:highlight w:val="none"/>
                      <w:lang w:val="en-US" w:eastAsia="zh-CN" w:bidi="ar-SA"/>
                    </w:rPr>
                    <w:t>，符合产业定位。</w:t>
                  </w:r>
                </w:p>
              </w:tc>
              <w:tc>
                <w:tcPr>
                  <w:tcW w:w="100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6"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空间布局</w:t>
                  </w:r>
                </w:p>
              </w:tc>
              <w:tc>
                <w:tcPr>
                  <w:tcW w:w="3878"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一心：综合服务中心</w:t>
                  </w:r>
                  <w:r>
                    <w:rPr>
                      <w:rFonts w:hint="default" w:ascii="Times New Roman" w:hAnsi="Times New Roman" w:cs="Times New Roman"/>
                      <w:color w:val="auto"/>
                      <w:sz w:val="21"/>
                      <w:szCs w:val="21"/>
                      <w:highlight w:val="none"/>
                      <w:lang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三轴：海阳路发展轴、戴营路发展轴和惠民路发展轴</w:t>
                  </w:r>
                  <w:r>
                    <w:rPr>
                      <w:rFonts w:hint="default" w:ascii="Times New Roman" w:hAnsi="Times New Roman" w:cs="Times New Roman"/>
                      <w:color w:val="auto"/>
                      <w:sz w:val="21"/>
                      <w:szCs w:val="21"/>
                      <w:highlight w:val="none"/>
                      <w:lang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四片：产业片区、科创片区、生活片区、物流片区</w:t>
                  </w:r>
                </w:p>
              </w:tc>
              <w:tc>
                <w:tcPr>
                  <w:tcW w:w="216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本项目位于经开区产业片区，符合经开区的空间布局</w:t>
                  </w:r>
                  <w:r>
                    <w:rPr>
                      <w:rFonts w:hint="default" w:ascii="Times New Roman" w:hAnsi="Times New Roman" w:eastAsia="宋体" w:cs="Times New Roman"/>
                      <w:color w:val="auto"/>
                      <w:kern w:val="2"/>
                      <w:sz w:val="21"/>
                      <w:szCs w:val="21"/>
                      <w:highlight w:val="none"/>
                      <w:lang w:val="en-US" w:eastAsia="zh-CN" w:bidi="ar-SA"/>
                    </w:rPr>
                    <w:t>。</w:t>
                  </w:r>
                </w:p>
              </w:tc>
              <w:tc>
                <w:tcPr>
                  <w:tcW w:w="100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6"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产业布局</w:t>
                  </w:r>
                </w:p>
              </w:tc>
              <w:tc>
                <w:tcPr>
                  <w:tcW w:w="387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val="en-US" w:eastAsia="zh-CN"/>
                    </w:rPr>
                    <w:t>节能与新能源汽车及氢能产业园、纺织服装产业园、长寿生物科技产业园、智能装配产业园、生产性服务业集聚区、物流园</w:t>
                  </w:r>
                </w:p>
              </w:tc>
              <w:tc>
                <w:tcPr>
                  <w:tcW w:w="216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本项目选址位于智能装</w:t>
                  </w:r>
                  <w:r>
                    <w:rPr>
                      <w:rFonts w:hint="eastAsia" w:ascii="Times New Roman" w:eastAsia="宋体" w:cs="Times New Roman"/>
                      <w:color w:val="auto"/>
                      <w:kern w:val="2"/>
                      <w:sz w:val="21"/>
                      <w:szCs w:val="21"/>
                      <w:highlight w:val="none"/>
                      <w:lang w:val="en-US" w:eastAsia="zh-CN" w:bidi="ar-SA"/>
                    </w:rPr>
                    <w:t>配</w:t>
                  </w:r>
                  <w:r>
                    <w:rPr>
                      <w:rFonts w:hint="eastAsia" w:ascii="Times New Roman" w:hAnsi="Times New Roman" w:eastAsia="宋体" w:cs="Times New Roman"/>
                      <w:color w:val="auto"/>
                      <w:kern w:val="2"/>
                      <w:sz w:val="21"/>
                      <w:szCs w:val="21"/>
                      <w:highlight w:val="none"/>
                      <w:lang w:val="en-US" w:eastAsia="zh-CN" w:bidi="ar-SA"/>
                    </w:rPr>
                    <w:t>产业园，符合经开区产业布局。</w:t>
                  </w:r>
                </w:p>
              </w:tc>
              <w:tc>
                <w:tcPr>
                  <w:tcW w:w="100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6"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基础设施</w:t>
                  </w:r>
                </w:p>
              </w:tc>
              <w:tc>
                <w:tcPr>
                  <w:tcW w:w="3878"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供</w:t>
                  </w:r>
                  <w:r>
                    <w:rPr>
                      <w:rFonts w:hint="default" w:ascii="Times New Roman" w:hAnsi="Times New Roman" w:eastAsia="宋体" w:cs="Times New Roman"/>
                      <w:color w:val="auto"/>
                      <w:sz w:val="21"/>
                      <w:szCs w:val="21"/>
                      <w:highlight w:val="none"/>
                      <w:lang w:eastAsia="zh-CN"/>
                    </w:rPr>
                    <w:t>热：以大唐热电厂为热源，以过热蒸汽为介质，采用开式热力网供汽，实施集中供热，不得自行配置燃煤锅炉</w:t>
                  </w:r>
                  <w:r>
                    <w:rPr>
                      <w:rFonts w:hint="default" w:ascii="Times New Roman" w:hAnsi="Times New Roman" w:cs="Times New Roman"/>
                      <w:color w:val="auto"/>
                      <w:sz w:val="21"/>
                      <w:szCs w:val="21"/>
                      <w:highlight w:val="none"/>
                      <w:lang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污水：经开区污水经收集统一送往如皋市恒发水处理有限公司、宏皓表面水处理有限公司（表面处理园及一类污染物工业废水）集中处理，尾水分别排入通扬运河、文革河</w:t>
                  </w:r>
                  <w:r>
                    <w:rPr>
                      <w:rFonts w:hint="default" w:ascii="Times New Roman" w:hAnsi="Times New Roman" w:cs="Times New Roman"/>
                      <w:color w:val="auto"/>
                      <w:sz w:val="21"/>
                      <w:szCs w:val="21"/>
                      <w:highlight w:val="none"/>
                      <w:lang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燃气：如皋经开区形成以天然气为主的用气格局，积极争取天然气配额，拓展天然气利用领域，提高天然气气化率。天然气由如皋市政天然气管网提供</w:t>
                  </w:r>
                </w:p>
              </w:tc>
              <w:tc>
                <w:tcPr>
                  <w:tcW w:w="2168"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本项目周边已敷设蒸汽管网、燃气管网、供水管网、污水管网等基础设施。</w:t>
                  </w:r>
                </w:p>
              </w:tc>
              <w:tc>
                <w:tcPr>
                  <w:tcW w:w="100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pPr>
              <w:keepNext w:val="0"/>
              <w:keepLines w:val="0"/>
              <w:pageBreakBefore w:val="0"/>
              <w:widowControl w:val="0"/>
              <w:suppressLineNumbers w:val="0"/>
              <w:tabs>
                <w:tab w:val="left" w:pos="918"/>
              </w:tabs>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（2）</w:t>
            </w:r>
            <w:r>
              <w:rPr>
                <w:rFonts w:hint="default" w:ascii="Times New Roman" w:hAnsi="Times New Roman" w:eastAsia="宋体" w:cs="Times New Roman"/>
                <w:b/>
                <w:color w:val="auto"/>
                <w:sz w:val="24"/>
                <w:szCs w:val="24"/>
                <w:highlight w:val="none"/>
                <w:lang w:eastAsia="zh-CN"/>
              </w:rPr>
              <w:t>与《如皋经济技术开发区发展规划（</w:t>
            </w:r>
            <w:r>
              <w:rPr>
                <w:rFonts w:hint="default" w:ascii="Times New Roman" w:hAnsi="Times New Roman" w:eastAsia="宋体" w:cs="Times New Roman"/>
                <w:b/>
                <w:color w:val="auto"/>
                <w:sz w:val="24"/>
                <w:szCs w:val="24"/>
                <w:highlight w:val="none"/>
                <w:lang w:val="en-US" w:eastAsia="zh-CN"/>
              </w:rPr>
              <w:t>2018-2030</w:t>
            </w:r>
            <w:r>
              <w:rPr>
                <w:rFonts w:hint="default" w:ascii="Times New Roman" w:hAnsi="Times New Roman" w:eastAsia="宋体" w:cs="Times New Roman"/>
                <w:b/>
                <w:color w:val="auto"/>
                <w:sz w:val="24"/>
                <w:szCs w:val="24"/>
                <w:highlight w:val="none"/>
                <w:lang w:eastAsia="zh-CN"/>
              </w:rPr>
              <w:t>）环境影响报告书</w:t>
            </w:r>
            <w:r>
              <w:rPr>
                <w:rFonts w:hint="default" w:ascii="Times New Roman" w:hAnsi="Times New Roman" w:eastAsia="宋体" w:cs="Times New Roman"/>
                <w:b/>
                <w:color w:val="auto"/>
                <w:sz w:val="24"/>
                <w:szCs w:val="24"/>
                <w:highlight w:val="none"/>
                <w:lang w:val="en-US" w:eastAsia="zh-CN"/>
              </w:rPr>
              <w:t>》结论相符性分析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表1-</w:t>
            </w:r>
            <w:r>
              <w:rPr>
                <w:rFonts w:hint="default" w:ascii="Times New Roman" w:hAnsi="Times New Roman" w:eastAsia="宋体" w:cs="Times New Roman"/>
                <w:b/>
                <w:color w:val="auto"/>
                <w:sz w:val="24"/>
                <w:szCs w:val="24"/>
                <w:highlight w:val="none"/>
                <w:lang w:val="en-US" w:eastAsia="zh-CN"/>
              </w:rPr>
              <w:t>2</w:t>
            </w:r>
            <w:r>
              <w:rPr>
                <w:rFonts w:hint="default" w:ascii="Times New Roman" w:hAnsi="Times New Roman" w:eastAsia="宋体" w:cs="Times New Roman"/>
                <w:b/>
                <w:bCs/>
                <w:color w:val="auto"/>
                <w:sz w:val="24"/>
                <w:szCs w:val="24"/>
                <w:highlight w:val="none"/>
                <w:lang w:eastAsia="zh-CN"/>
              </w:rPr>
              <w:t>规划结论</w:t>
            </w:r>
            <w:r>
              <w:rPr>
                <w:rFonts w:hint="default" w:ascii="Times New Roman" w:hAnsi="Times New Roman" w:eastAsia="宋体" w:cs="Times New Roman"/>
                <w:b/>
                <w:color w:val="auto"/>
                <w:sz w:val="24"/>
                <w:szCs w:val="24"/>
                <w:highlight w:val="none"/>
              </w:rPr>
              <w:t>相符性分析</w:t>
            </w:r>
          </w:p>
          <w:tbl>
            <w:tblPr>
              <w:tblStyle w:val="25"/>
              <w:tblW w:w="790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53"/>
              <w:gridCol w:w="4150"/>
              <w:gridCol w:w="2122"/>
              <w:gridCol w:w="78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3"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要素</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结论内容</w:t>
                  </w:r>
                </w:p>
              </w:tc>
              <w:tc>
                <w:tcPr>
                  <w:tcW w:w="212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本项目内容</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55" w:hRule="atLeast"/>
                <w:jc w:val="center"/>
              </w:trPr>
              <w:tc>
                <w:tcPr>
                  <w:tcW w:w="853"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大气</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SO</w:t>
                  </w:r>
                  <w:r>
                    <w:rPr>
                      <w:rFonts w:hint="default" w:ascii="Times New Roman" w:hAnsi="Times New Roman"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lang w:eastAsia="zh-CN"/>
                    </w:rPr>
                    <w:t>、NO</w:t>
                  </w:r>
                  <w:r>
                    <w:rPr>
                      <w:rFonts w:hint="default" w:ascii="Times New Roman" w:hAnsi="Times New Roman"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lang w:val="en-US" w:eastAsia="zh-CN"/>
                    </w:rPr>
                    <w:t>最大日均浓度与环境现状浓度叠加能满足环境标准，年均预测浓度与环境现状浓度叠加能满足环境标准</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eastAsia="zh-CN"/>
                    </w:rPr>
                    <w:t>PM</w:t>
                  </w:r>
                  <w:r>
                    <w:rPr>
                      <w:rFonts w:hint="default" w:ascii="Times New Roman" w:hAnsi="Times New Roman" w:cs="Times New Roman"/>
                      <w:color w:val="auto"/>
                      <w:sz w:val="21"/>
                      <w:szCs w:val="21"/>
                      <w:highlight w:val="none"/>
                      <w:vertAlign w:val="subscript"/>
                    </w:rPr>
                    <w:t>10</w:t>
                  </w:r>
                  <w:r>
                    <w:rPr>
                      <w:rFonts w:hint="default" w:ascii="Times New Roman" w:hAnsi="Times New Roman" w:eastAsia="宋体" w:cs="Times New Roman"/>
                      <w:color w:val="auto"/>
                      <w:sz w:val="21"/>
                      <w:szCs w:val="21"/>
                      <w:highlight w:val="none"/>
                      <w:lang w:val="en-US" w:eastAsia="zh-CN"/>
                    </w:rPr>
                    <w:t>预测浓度与环境现状浓度叠加后超过环境空气质量标准</w:t>
                  </w:r>
                  <w:r>
                    <w:rPr>
                      <w:rFonts w:hint="default" w:ascii="Times New Roman" w:hAnsi="Times New Roman" w:cs="Times New Roman"/>
                      <w:color w:val="auto"/>
                      <w:sz w:val="21"/>
                      <w:szCs w:val="21"/>
                      <w:highlight w:val="none"/>
                      <w:lang w:val="en-US" w:eastAsia="zh-CN"/>
                    </w:rPr>
                    <w:t>；</w:t>
                  </w:r>
                  <w:r>
                    <w:rPr>
                      <w:rFonts w:hint="default" w:ascii="Times New Roman" w:hAnsi="Times New Roman" w:eastAsia="宋体" w:cs="Times New Roman"/>
                      <w:color w:val="auto"/>
                      <w:sz w:val="21"/>
                      <w:szCs w:val="21"/>
                      <w:highlight w:val="none"/>
                      <w:lang w:val="en-US" w:eastAsia="zh-CN"/>
                    </w:rPr>
                    <w:t>远期新增的HCl、硫酸雾、非甲烷总烃、H</w:t>
                  </w:r>
                  <w:r>
                    <w:rPr>
                      <w:rFonts w:hint="default" w:ascii="Times New Roman" w:hAnsi="Times New Roman" w:cs="Times New Roman"/>
                      <w:color w:val="auto"/>
                      <w:sz w:val="21"/>
                      <w:szCs w:val="21"/>
                      <w:highlight w:val="none"/>
                      <w:vertAlign w:val="subscript"/>
                      <w:lang w:val="en-US" w:eastAsia="zh-CN"/>
                    </w:rPr>
                    <w:t>2</w:t>
                  </w:r>
                  <w:r>
                    <w:rPr>
                      <w:rFonts w:hint="default" w:ascii="Times New Roman" w:hAnsi="Times New Roman" w:eastAsia="宋体" w:cs="Times New Roman"/>
                      <w:color w:val="auto"/>
                      <w:sz w:val="21"/>
                      <w:szCs w:val="21"/>
                      <w:highlight w:val="none"/>
                      <w:lang w:val="en-US" w:eastAsia="zh-CN"/>
                    </w:rPr>
                    <w:t>S、甲苯、二甲苯、VOCs小时预测最大浓度值与环境现状浓度叠加均能满足环境标准。各关心点</w:t>
                  </w:r>
                  <w:r>
                    <w:rPr>
                      <w:rFonts w:hint="default" w:ascii="Times New Roman" w:hAnsi="Times New Roman" w:eastAsia="宋体" w:cs="Times New Roman"/>
                      <w:color w:val="auto"/>
                      <w:sz w:val="21"/>
                      <w:szCs w:val="21"/>
                      <w:highlight w:val="none"/>
                      <w:lang w:eastAsia="zh-CN"/>
                    </w:rPr>
                    <w:t>SO</w:t>
                  </w:r>
                  <w:r>
                    <w:rPr>
                      <w:rFonts w:hint="default" w:ascii="Times New Roman" w:hAnsi="Times New Roman"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lang w:eastAsia="zh-CN"/>
                    </w:rPr>
                    <w:t>、NO</w:t>
                  </w:r>
                  <w:r>
                    <w:rPr>
                      <w:rFonts w:hint="default" w:ascii="Times New Roman" w:hAnsi="Times New Roman"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lang w:val="en-US" w:eastAsia="zh-CN"/>
                    </w:rPr>
                    <w:t>最大日均、年均浓度，HCl、硫酸雾、非甲烷总烃、H</w:t>
                  </w:r>
                  <w:r>
                    <w:rPr>
                      <w:rFonts w:hint="default" w:ascii="Times New Roman" w:hAnsi="Times New Roman" w:cs="Times New Roman"/>
                      <w:color w:val="auto"/>
                      <w:sz w:val="21"/>
                      <w:szCs w:val="21"/>
                      <w:highlight w:val="none"/>
                      <w:vertAlign w:val="subscript"/>
                    </w:rPr>
                    <w:t>2</w:t>
                  </w:r>
                  <w:r>
                    <w:rPr>
                      <w:rFonts w:hint="default" w:ascii="Times New Roman" w:hAnsi="Times New Roman" w:eastAsia="宋体" w:cs="Times New Roman"/>
                      <w:color w:val="auto"/>
                      <w:sz w:val="21"/>
                      <w:szCs w:val="21"/>
                      <w:highlight w:val="none"/>
                      <w:lang w:val="en-US" w:eastAsia="zh-CN"/>
                    </w:rPr>
                    <w:t>S、甲苯、二甲苯、VOCs最大小时浓度与环境现状浓度叠加后能达到相应标准限值。</w:t>
                  </w:r>
                </w:p>
              </w:tc>
              <w:tc>
                <w:tcPr>
                  <w:tcW w:w="2122"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本项目主要废气污染物为有机废气</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不含甲苯、二甲苯</w:t>
                  </w:r>
                  <w:r>
                    <w:rPr>
                      <w:rFonts w:hint="eastAsia" w:cs="Times New Roman"/>
                      <w:color w:val="auto"/>
                      <w:sz w:val="21"/>
                      <w:szCs w:val="21"/>
                      <w:highlight w:val="none"/>
                      <w:lang w:eastAsia="zh-CN"/>
                    </w:rPr>
                    <w:t>）</w:t>
                  </w:r>
                  <w:r>
                    <w:rPr>
                      <w:rFonts w:hint="default" w:ascii="Times New Roman" w:hAnsi="Times New Roman" w:eastAsia="宋体" w:cs="Times New Roman"/>
                      <w:color w:val="auto"/>
                      <w:sz w:val="21"/>
                      <w:szCs w:val="21"/>
                      <w:highlight w:val="none"/>
                      <w:lang w:val="en-US" w:eastAsia="zh-CN"/>
                    </w:rPr>
                    <w:t>和颗粒物</w:t>
                  </w:r>
                  <w:r>
                    <w:rPr>
                      <w:rFonts w:hint="default" w:ascii="Times New Roman" w:hAnsi="Times New Roman" w:eastAsia="宋体" w:cs="Times New Roman"/>
                      <w:color w:val="auto"/>
                      <w:sz w:val="21"/>
                      <w:szCs w:val="21"/>
                      <w:highlight w:val="none"/>
                      <w:lang w:eastAsia="zh-CN"/>
                    </w:rPr>
                    <w:t>，</w:t>
                  </w:r>
                  <w:r>
                    <w:rPr>
                      <w:rFonts w:hint="eastAsia" w:cs="Times New Roman"/>
                      <w:color w:val="auto"/>
                      <w:sz w:val="21"/>
                      <w:szCs w:val="21"/>
                      <w:highlight w:val="none"/>
                      <w:lang w:val="en-US" w:eastAsia="zh-CN"/>
                    </w:rPr>
                    <w:t>有机</w:t>
                  </w:r>
                  <w:r>
                    <w:rPr>
                      <w:rFonts w:hint="default" w:ascii="Times New Roman" w:hAnsi="Times New Roman" w:eastAsia="宋体" w:cs="Times New Roman"/>
                      <w:color w:val="auto"/>
                      <w:sz w:val="21"/>
                      <w:szCs w:val="21"/>
                      <w:highlight w:val="none"/>
                      <w:lang w:eastAsia="zh-CN"/>
                    </w:rPr>
                    <w:t>废气经收集处理达标后通过15m</w:t>
                  </w:r>
                  <w:r>
                    <w:rPr>
                      <w:rFonts w:hint="eastAsia" w:cs="Times New Roman"/>
                      <w:color w:val="auto"/>
                      <w:sz w:val="21"/>
                      <w:szCs w:val="21"/>
                      <w:highlight w:val="none"/>
                      <w:lang w:val="en-US" w:eastAsia="zh-CN"/>
                    </w:rPr>
                    <w:t>DA001、DA002</w:t>
                  </w:r>
                  <w:r>
                    <w:rPr>
                      <w:rFonts w:hint="default" w:ascii="Times New Roman" w:hAnsi="Times New Roman" w:eastAsia="宋体" w:cs="Times New Roman"/>
                      <w:color w:val="auto"/>
                      <w:sz w:val="21"/>
                      <w:szCs w:val="21"/>
                      <w:highlight w:val="none"/>
                      <w:lang w:eastAsia="zh-CN"/>
                    </w:rPr>
                    <w:t>排气筒排放</w:t>
                  </w:r>
                  <w:r>
                    <w:rPr>
                      <w:rFonts w:hint="eastAsia" w:cs="Times New Roman"/>
                      <w:color w:val="auto"/>
                      <w:sz w:val="21"/>
                      <w:szCs w:val="21"/>
                      <w:highlight w:val="none"/>
                      <w:lang w:eastAsia="zh-CN"/>
                    </w:rPr>
                    <w:t>，</w:t>
                  </w:r>
                  <w:r>
                    <w:rPr>
                      <w:rFonts w:hint="eastAsia" w:cs="Times New Roman"/>
                      <w:color w:val="auto"/>
                      <w:sz w:val="21"/>
                      <w:szCs w:val="21"/>
                      <w:highlight w:val="none"/>
                      <w:lang w:val="en-US" w:eastAsia="zh-CN"/>
                    </w:rPr>
                    <w:t>颗粒物经过布袋除尘器处理后通</w:t>
                  </w:r>
                  <w:r>
                    <w:rPr>
                      <w:rFonts w:hint="default" w:ascii="Times New Roman" w:hAnsi="Times New Roman" w:eastAsia="宋体" w:cs="Times New Roman"/>
                      <w:color w:val="auto"/>
                      <w:sz w:val="21"/>
                      <w:szCs w:val="21"/>
                      <w:highlight w:val="none"/>
                      <w:lang w:eastAsia="zh-CN"/>
                    </w:rPr>
                    <w:t>过15m</w:t>
                  </w:r>
                  <w:r>
                    <w:rPr>
                      <w:rFonts w:hint="eastAsia"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排气筒</w:t>
                  </w:r>
                  <w:r>
                    <w:rPr>
                      <w:rFonts w:hint="eastAsia" w:cs="Times New Roman"/>
                      <w:color w:val="auto"/>
                      <w:sz w:val="21"/>
                      <w:szCs w:val="21"/>
                      <w:highlight w:val="none"/>
                      <w:lang w:val="en-US" w:eastAsia="zh-CN"/>
                    </w:rPr>
                    <w:t>排放</w:t>
                  </w:r>
                  <w:r>
                    <w:rPr>
                      <w:rFonts w:hint="default" w:ascii="Times New Roman" w:hAnsi="Times New Roman" w:eastAsia="宋体" w:cs="Times New Roman"/>
                      <w:color w:val="auto"/>
                      <w:sz w:val="21"/>
                      <w:szCs w:val="21"/>
                      <w:highlight w:val="none"/>
                      <w:lang w:eastAsia="zh-CN"/>
                    </w:rPr>
                    <w:t>，对大气环境影响较小。</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3"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水环境</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1、经开区规划实施后，随着工业废水、生活污水接管率的提升，区域内河网水环境</w:t>
                  </w:r>
                  <w:r>
                    <w:rPr>
                      <w:rFonts w:hint="eastAsia" w:ascii="Times New Roman" w:hAnsi="Times New Roman" w:cs="Times New Roman"/>
                      <w:color w:val="auto"/>
                      <w:sz w:val="21"/>
                      <w:szCs w:val="21"/>
                      <w:highlight w:val="none"/>
                      <w:lang w:val="en-US" w:eastAsia="zh-CN"/>
                    </w:rPr>
                    <w:t>得到</w:t>
                  </w:r>
                  <w:r>
                    <w:rPr>
                      <w:rFonts w:hint="default" w:ascii="Times New Roman" w:hAnsi="Times New Roman" w:eastAsia="宋体" w:cs="Times New Roman"/>
                      <w:color w:val="auto"/>
                      <w:sz w:val="21"/>
                      <w:szCs w:val="21"/>
                      <w:highlight w:val="none"/>
                      <w:lang w:val="en-US" w:eastAsia="zh-CN"/>
                    </w:rPr>
                    <w:t>改善</w:t>
                  </w:r>
                  <w:r>
                    <w:rPr>
                      <w:rFonts w:hint="default" w:ascii="Times New Roman" w:hAnsi="Times New Roman" w:cs="Times New Roman"/>
                      <w:color w:val="auto"/>
                      <w:sz w:val="21"/>
                      <w:szCs w:val="21"/>
                      <w:highlight w:val="none"/>
                      <w:lang w:val="en-US"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2、恒发污水处理厂尾水排放COD、氨氮较现状对通扬运河影响削弱</w:t>
                  </w:r>
                  <w:r>
                    <w:rPr>
                      <w:rFonts w:hint="default" w:ascii="Times New Roman" w:hAnsi="Times New Roman" w:cs="Times New Roman"/>
                      <w:color w:val="auto"/>
                      <w:sz w:val="21"/>
                      <w:szCs w:val="21"/>
                      <w:highlight w:val="none"/>
                      <w:lang w:val="en-US" w:eastAsia="zh-CN"/>
                    </w:rPr>
                    <w:t>；</w:t>
                  </w:r>
                </w:p>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3、如皋宏皓表面水处理有限公司尾水经人工湿地净化后达Ⅴ类标准排放，其中COD、氨氮和总磷污染物对区域水质影响较小，第一类污染物增量对区域水质影响较小。</w:t>
                  </w:r>
                </w:p>
              </w:tc>
              <w:tc>
                <w:tcPr>
                  <w:tcW w:w="2122"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本项目实行“雨污分流”制，</w:t>
                  </w:r>
                  <w:r>
                    <w:rPr>
                      <w:rFonts w:hint="default" w:ascii="Times New Roman" w:hAnsi="Times New Roman" w:eastAsia="宋体" w:cs="Times New Roman"/>
                      <w:color w:val="auto"/>
                      <w:sz w:val="21"/>
                      <w:szCs w:val="21"/>
                      <w:highlight w:val="none"/>
                      <w:lang w:val="en-US" w:eastAsia="zh-CN"/>
                    </w:rPr>
                    <w:t>雨水经收集后排入雨水管网</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lang w:val="en-US" w:eastAsia="zh-CN"/>
                    </w:rPr>
                    <w:t>本项目生活污水经化粪池处理后接管至</w:t>
                  </w:r>
                  <w:r>
                    <w:rPr>
                      <w:rFonts w:hint="eastAsia" w:cs="Times New Roman"/>
                      <w:color w:val="auto"/>
                      <w:sz w:val="21"/>
                      <w:szCs w:val="21"/>
                      <w:highlight w:val="none"/>
                      <w:lang w:val="en-US" w:eastAsia="zh-CN"/>
                    </w:rPr>
                    <w:t>如皋恒发水处理有限公司</w:t>
                  </w:r>
                  <w:r>
                    <w:rPr>
                      <w:rFonts w:hint="default" w:ascii="Times New Roman" w:hAnsi="Times New Roman" w:eastAsia="宋体" w:cs="Times New Roman"/>
                      <w:color w:val="auto"/>
                      <w:sz w:val="21"/>
                      <w:szCs w:val="21"/>
                      <w:highlight w:val="none"/>
                      <w:lang w:val="en-US" w:eastAsia="zh-CN"/>
                    </w:rPr>
                    <w:t>深度处理，</w:t>
                  </w:r>
                  <w:r>
                    <w:rPr>
                      <w:rFonts w:hint="default" w:ascii="Times New Roman" w:hAnsi="Times New Roman" w:eastAsia="宋体" w:cs="Times New Roman"/>
                      <w:color w:val="auto"/>
                      <w:sz w:val="21"/>
                      <w:szCs w:val="21"/>
                      <w:highlight w:val="none"/>
                      <w:lang w:eastAsia="zh-CN"/>
                    </w:rPr>
                    <w:t>对水环境影响较小。</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3"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地下水</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高浓度的污染物事故状态无防护措施条件下，主要对周边小范围内的浅层地下水会产生一定影响，20年内对周围地下水影响较小，不会对应急水资源产生明显影响</w:t>
                  </w:r>
                </w:p>
              </w:tc>
              <w:tc>
                <w:tcPr>
                  <w:tcW w:w="212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b w:val="0"/>
                      <w:bCs/>
                      <w:color w:val="auto"/>
                      <w:kern w:val="2"/>
                      <w:sz w:val="21"/>
                      <w:szCs w:val="21"/>
                      <w:highlight w:val="none"/>
                      <w:lang w:val="en-US" w:eastAsia="zh-CN" w:bidi="ar-SA"/>
                    </w:rPr>
                    <w:t>本项目对污染区地面进行防渗处理，防止洒落地面的污染物渗入地下，从而避免对地下水的污染。</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53"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生态环境</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经开区建设对区域生态结构、生态服务功能和生物多样性具有不可避免的影响，但通过合理的规划与建设能在很大程度上减轻不利影响，可以基本上保证生态环境质量不降低</w:t>
                  </w:r>
                </w:p>
              </w:tc>
              <w:tc>
                <w:tcPr>
                  <w:tcW w:w="212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本项目利用现有厂房，不新增用地。</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3"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环境风险</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存在风险主要包括火灾爆炸、有毒有害物质在运输、贮存、使用过程中发生泄漏，污水处理厂发生事故排放，经预测，事故经处理后对人体及周边水环境的影响可降至最低。在如皋经开区按《江苏省突发环境事件应急预案编制导则（试行）》（工业园区版）制定突发环境事件应急预案并严格落实各项环境风险防范措施的前提下，经开区的环境风险是可以接受的。</w:t>
                  </w:r>
                </w:p>
              </w:tc>
              <w:tc>
                <w:tcPr>
                  <w:tcW w:w="212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本项目在企业落实提出的各项风险防范措施后，项目对环境的风险影响可接受。</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53"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优化调整建议与环境准入</w:t>
                  </w:r>
                </w:p>
              </w:tc>
              <w:tc>
                <w:tcPr>
                  <w:tcW w:w="415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both"/>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禁止建设生产工艺、设备，以及单位产品能耗、污染物排放和资源利用效率等均不能达到同行业国际先进水平的项目</w:t>
                  </w:r>
                  <w:r>
                    <w:rPr>
                      <w:rFonts w:hint="default" w:ascii="Times New Roman" w:hAnsi="Times New Roman"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t>禁止建设不能满足环评测算出的环境防护距离的项目，或环评事故风险防范和应急措施难以落实到位的企业</w:t>
                  </w:r>
                  <w:r>
                    <w:rPr>
                      <w:rFonts w:hint="default" w:ascii="Times New Roman" w:hAnsi="Times New Roman"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t>禁止建设与经开区空间冲突或经环保论证与周边企业、规划用地等环境不相容或存在重大环境风险隐患且无法消除的项目</w:t>
                  </w:r>
                  <w:r>
                    <w:rPr>
                      <w:rFonts w:hint="default" w:ascii="Times New Roman" w:hAnsi="Times New Roman" w:cs="Times New Roman"/>
                      <w:color w:val="auto"/>
                      <w:kern w:val="2"/>
                      <w:sz w:val="21"/>
                      <w:szCs w:val="21"/>
                      <w:highlight w:val="none"/>
                      <w:lang w:val="en-US" w:eastAsia="zh-CN" w:bidi="ar-SA"/>
                    </w:rPr>
                    <w:t>；</w:t>
                  </w:r>
                  <w:r>
                    <w:rPr>
                      <w:rFonts w:hint="default" w:ascii="Times New Roman" w:hAnsi="Times New Roman" w:eastAsia="宋体" w:cs="Times New Roman"/>
                      <w:color w:val="auto"/>
                      <w:kern w:val="2"/>
                      <w:sz w:val="21"/>
                      <w:szCs w:val="21"/>
                      <w:highlight w:val="none"/>
                      <w:lang w:val="en-US" w:eastAsia="zh-CN" w:bidi="ar-SA"/>
                    </w:rPr>
                    <w:t>禁止建设超过经开区重点污染物总量管控指标，新增重点污染物排放量且无总量指标来源等不符合总量控制要求的项目。为缓解区域HCl、NOx、TVOC浓度上升问题，控制区域PM</w:t>
                  </w:r>
                  <w:r>
                    <w:rPr>
                      <w:rFonts w:hint="default" w:ascii="Times New Roman" w:hAnsi="Times New Roman" w:cs="Times New Roman"/>
                      <w:color w:val="auto"/>
                      <w:sz w:val="21"/>
                      <w:szCs w:val="21"/>
                      <w:highlight w:val="none"/>
                      <w:vertAlign w:val="subscript"/>
                      <w:lang w:eastAsia="zh-CN"/>
                    </w:rPr>
                    <w:t>2.5</w:t>
                  </w:r>
                  <w:r>
                    <w:rPr>
                      <w:rFonts w:hint="default" w:ascii="Times New Roman" w:hAnsi="Times New Roman" w:eastAsia="宋体" w:cs="Times New Roman"/>
                      <w:color w:val="auto"/>
                      <w:kern w:val="2"/>
                      <w:sz w:val="21"/>
                      <w:szCs w:val="21"/>
                      <w:highlight w:val="none"/>
                      <w:lang w:val="en-US" w:eastAsia="zh-CN" w:bidi="ar-SA"/>
                    </w:rPr>
                    <w:t>浓度，经开区应严格控制HCl、NOx、TVOC排放量大的企业入区。</w:t>
                  </w:r>
                </w:p>
              </w:tc>
              <w:tc>
                <w:tcPr>
                  <w:tcW w:w="212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本项目主要废气污染物为有机废气</w:t>
                  </w:r>
                  <w:r>
                    <w:rPr>
                      <w:rFonts w:hint="default" w:ascii="Times New Roman" w:hAnsi="Times New Roman" w:eastAsia="宋体" w:cs="Times New Roman"/>
                      <w:color w:val="auto"/>
                      <w:sz w:val="21"/>
                      <w:szCs w:val="21"/>
                      <w:highlight w:val="none"/>
                      <w:lang w:val="en-US" w:eastAsia="zh-CN"/>
                    </w:rPr>
                    <w:t>和颗粒物</w:t>
                  </w:r>
                  <w:r>
                    <w:rPr>
                      <w:rFonts w:hint="default"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有机</w:t>
                  </w:r>
                  <w:r>
                    <w:rPr>
                      <w:rFonts w:hint="default" w:ascii="Times New Roman" w:hAnsi="Times New Roman" w:eastAsia="宋体" w:cs="Times New Roman"/>
                      <w:color w:val="auto"/>
                      <w:sz w:val="21"/>
                      <w:szCs w:val="21"/>
                      <w:highlight w:val="none"/>
                      <w:lang w:eastAsia="zh-CN"/>
                    </w:rPr>
                    <w:t>废气经收集处理达标后通过15m</w:t>
                  </w:r>
                  <w:r>
                    <w:rPr>
                      <w:rFonts w:hint="eastAsia" w:ascii="Times New Roman" w:hAnsi="Times New Roman" w:eastAsia="宋体" w:cs="Times New Roman"/>
                      <w:color w:val="auto"/>
                      <w:sz w:val="21"/>
                      <w:szCs w:val="21"/>
                      <w:highlight w:val="none"/>
                      <w:lang w:val="en-US" w:eastAsia="zh-CN"/>
                    </w:rPr>
                    <w:t>DA001、DA002</w:t>
                  </w:r>
                  <w:r>
                    <w:rPr>
                      <w:rFonts w:hint="default" w:ascii="Times New Roman" w:hAnsi="Times New Roman" w:eastAsia="宋体" w:cs="Times New Roman"/>
                      <w:color w:val="auto"/>
                      <w:sz w:val="21"/>
                      <w:szCs w:val="21"/>
                      <w:highlight w:val="none"/>
                      <w:lang w:eastAsia="zh-CN"/>
                    </w:rPr>
                    <w:t>排气筒排放</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颗粒物经过布袋除尘器处理后通</w:t>
                  </w:r>
                  <w:r>
                    <w:rPr>
                      <w:rFonts w:hint="default" w:ascii="Times New Roman" w:hAnsi="Times New Roman" w:eastAsia="宋体" w:cs="Times New Roman"/>
                      <w:color w:val="auto"/>
                      <w:sz w:val="21"/>
                      <w:szCs w:val="21"/>
                      <w:highlight w:val="none"/>
                      <w:lang w:eastAsia="zh-CN"/>
                    </w:rPr>
                    <w:t>过15m</w:t>
                  </w:r>
                  <w:r>
                    <w:rPr>
                      <w:rFonts w:hint="eastAsia" w:ascii="Times New Roman" w:hAnsi="Times New Roman" w:eastAsia="宋体" w:cs="Times New Roman"/>
                      <w:color w:val="auto"/>
                      <w:sz w:val="21"/>
                      <w:szCs w:val="21"/>
                      <w:highlight w:val="none"/>
                      <w:lang w:val="en-US" w:eastAsia="zh-CN"/>
                    </w:rPr>
                    <w:t>DA001</w:t>
                  </w:r>
                  <w:r>
                    <w:rPr>
                      <w:rFonts w:hint="default" w:ascii="Times New Roman" w:hAnsi="Times New Roman" w:eastAsia="宋体" w:cs="Times New Roman"/>
                      <w:color w:val="auto"/>
                      <w:sz w:val="21"/>
                      <w:szCs w:val="21"/>
                      <w:highlight w:val="none"/>
                      <w:lang w:eastAsia="zh-CN"/>
                    </w:rPr>
                    <w:t>排气筒</w:t>
                  </w:r>
                  <w:r>
                    <w:rPr>
                      <w:rFonts w:hint="eastAsia" w:ascii="Times New Roman" w:hAnsi="Times New Roman" w:eastAsia="宋体" w:cs="Times New Roman"/>
                      <w:color w:val="auto"/>
                      <w:sz w:val="21"/>
                      <w:szCs w:val="21"/>
                      <w:highlight w:val="none"/>
                      <w:lang w:val="en-US" w:eastAsia="zh-CN"/>
                    </w:rPr>
                    <w:t>排放</w:t>
                  </w:r>
                  <w:r>
                    <w:rPr>
                      <w:rFonts w:hint="default" w:ascii="Times New Roman" w:hAnsi="Times New Roman" w:eastAsia="宋体" w:cs="Times New Roman"/>
                      <w:color w:val="auto"/>
                      <w:sz w:val="21"/>
                      <w:szCs w:val="21"/>
                      <w:highlight w:val="none"/>
                      <w:lang w:eastAsia="zh-CN"/>
                    </w:rPr>
                    <w:t>，对大气环境影响较小。</w:t>
                  </w:r>
                </w:p>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eastAsia="宋体" w:cs="Times New Roman"/>
                      <w:color w:val="auto"/>
                      <w:sz w:val="21"/>
                      <w:szCs w:val="21"/>
                      <w:highlight w:val="none"/>
                      <w:lang w:val="en-US" w:eastAsia="zh-CN"/>
                    </w:rPr>
                    <w:t>本项不属于TVOC排放量大的企业。</w:t>
                  </w:r>
                </w:p>
              </w:tc>
              <w:tc>
                <w:tcPr>
                  <w:tcW w:w="78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color w:val="auto"/>
                <w:sz w:val="24"/>
                <w:szCs w:val="24"/>
                <w:highlight w:val="none"/>
                <w:lang w:eastAsia="zh-CN"/>
              </w:rPr>
            </w:pPr>
            <w:r>
              <w:rPr>
                <w:rFonts w:hint="default" w:ascii="Times New Roman" w:hAnsi="Times New Roman" w:eastAsia="宋体" w:cs="Times New Roman"/>
                <w:b/>
                <w:color w:val="auto"/>
                <w:sz w:val="24"/>
                <w:szCs w:val="24"/>
                <w:highlight w:val="none"/>
                <w:lang w:eastAsia="zh-CN"/>
              </w:rPr>
              <w:t>（</w:t>
            </w:r>
            <w:r>
              <w:rPr>
                <w:rFonts w:hint="default"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lang w:eastAsia="zh-CN"/>
              </w:rPr>
              <w:t>）与《</w:t>
            </w:r>
            <w:r>
              <w:rPr>
                <w:rFonts w:hint="eastAsia" w:cs="Times New Roman"/>
                <w:b/>
                <w:color w:val="auto"/>
                <w:sz w:val="24"/>
                <w:szCs w:val="24"/>
                <w:highlight w:val="none"/>
                <w:lang w:eastAsia="zh-CN"/>
              </w:rPr>
              <w:t>〈</w:t>
            </w:r>
            <w:r>
              <w:rPr>
                <w:rFonts w:hint="default" w:ascii="Times New Roman" w:hAnsi="Times New Roman" w:eastAsia="宋体" w:cs="Times New Roman"/>
                <w:b/>
                <w:color w:val="auto"/>
                <w:sz w:val="24"/>
                <w:szCs w:val="24"/>
                <w:highlight w:val="none"/>
                <w:lang w:eastAsia="zh-CN"/>
              </w:rPr>
              <w:t>如皋经济技术开发区发展规划（</w:t>
            </w:r>
            <w:r>
              <w:rPr>
                <w:rFonts w:hint="default" w:ascii="Times New Roman" w:hAnsi="Times New Roman" w:eastAsia="宋体" w:cs="Times New Roman"/>
                <w:b/>
                <w:color w:val="auto"/>
                <w:sz w:val="24"/>
                <w:szCs w:val="24"/>
                <w:highlight w:val="none"/>
                <w:lang w:val="en-US" w:eastAsia="zh-CN"/>
              </w:rPr>
              <w:t>2018-2030</w:t>
            </w:r>
            <w:r>
              <w:rPr>
                <w:rFonts w:hint="default" w:ascii="Times New Roman" w:hAnsi="Times New Roman" w:eastAsia="宋体" w:cs="Times New Roman"/>
                <w:b/>
                <w:color w:val="auto"/>
                <w:sz w:val="24"/>
                <w:szCs w:val="24"/>
                <w:highlight w:val="none"/>
                <w:lang w:eastAsia="zh-CN"/>
              </w:rPr>
              <w:t>）环境影响报告书</w:t>
            </w:r>
            <w:r>
              <w:rPr>
                <w:rFonts w:hint="eastAsia" w:cs="Times New Roman"/>
                <w:b/>
                <w:color w:val="auto"/>
                <w:sz w:val="24"/>
                <w:szCs w:val="24"/>
                <w:highlight w:val="none"/>
                <w:lang w:eastAsia="zh-CN"/>
              </w:rPr>
              <w:t>〉</w:t>
            </w:r>
            <w:r>
              <w:rPr>
                <w:rFonts w:hint="default" w:ascii="Times New Roman" w:hAnsi="Times New Roman" w:eastAsia="宋体" w:cs="Times New Roman"/>
                <w:b/>
                <w:color w:val="auto"/>
                <w:sz w:val="24"/>
                <w:szCs w:val="24"/>
                <w:highlight w:val="none"/>
                <w:lang w:eastAsia="zh-CN"/>
              </w:rPr>
              <w:t>的审查意见》相符性分析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对照《</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如皋经济技术开发区发展规划（</w:t>
            </w:r>
            <w:r>
              <w:rPr>
                <w:rFonts w:hint="default" w:ascii="Times New Roman" w:hAnsi="Times New Roman" w:eastAsia="宋体" w:cs="Times New Roman"/>
                <w:color w:val="auto"/>
                <w:sz w:val="24"/>
                <w:szCs w:val="24"/>
                <w:highlight w:val="none"/>
                <w:lang w:val="en-US" w:eastAsia="zh-CN"/>
              </w:rPr>
              <w:t>2018-2030</w:t>
            </w:r>
            <w:r>
              <w:rPr>
                <w:rFonts w:hint="default" w:ascii="Times New Roman" w:hAnsi="Times New Roman" w:eastAsia="宋体" w:cs="Times New Roman"/>
                <w:color w:val="auto"/>
                <w:sz w:val="24"/>
                <w:szCs w:val="24"/>
                <w:highlight w:val="none"/>
                <w:lang w:eastAsia="zh-CN"/>
              </w:rPr>
              <w:t>）环境影响报告书</w:t>
            </w:r>
            <w:r>
              <w:rPr>
                <w:rFonts w:hint="eastAsia"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eastAsia="zh-CN"/>
              </w:rPr>
              <w:t>的审查意见</w:t>
            </w:r>
            <w:r>
              <w:rPr>
                <w:rFonts w:hint="default" w:ascii="Times New Roman" w:hAnsi="Times New Roman" w:eastAsia="宋体" w:cs="Times New Roman"/>
                <w:color w:val="auto"/>
                <w:sz w:val="24"/>
                <w:szCs w:val="24"/>
                <w:highlight w:val="none"/>
              </w:rPr>
              <w:t>》，</w:t>
            </w:r>
            <w:r>
              <w:rPr>
                <w:rFonts w:hint="default" w:ascii="Times New Roman" w:hAnsi="Times New Roman" w:eastAsia="宋体" w:cs="Times New Roman"/>
                <w:color w:val="auto"/>
                <w:sz w:val="24"/>
                <w:szCs w:val="24"/>
                <w:highlight w:val="none"/>
                <w:lang w:eastAsia="zh-CN"/>
              </w:rPr>
              <w:t>本项目</w:t>
            </w:r>
            <w:r>
              <w:rPr>
                <w:rFonts w:hint="default" w:ascii="Times New Roman" w:hAnsi="Times New Roman" w:eastAsia="宋体" w:cs="Times New Roman"/>
                <w:color w:val="auto"/>
                <w:sz w:val="24"/>
                <w:szCs w:val="24"/>
                <w:highlight w:val="none"/>
              </w:rPr>
              <w:t>符合相关要求。</w:t>
            </w:r>
            <w:r>
              <w:rPr>
                <w:rFonts w:hint="default" w:ascii="Times New Roman" w:hAnsi="Times New Roman" w:eastAsia="宋体" w:cs="Times New Roman"/>
                <w:color w:val="auto"/>
                <w:sz w:val="24"/>
                <w:szCs w:val="24"/>
                <w:highlight w:val="none"/>
                <w:lang w:eastAsia="zh-CN"/>
              </w:rPr>
              <w:t>本项目与规划环评审查意见</w:t>
            </w:r>
            <w:r>
              <w:rPr>
                <w:rFonts w:hint="default" w:ascii="Times New Roman" w:hAnsi="Times New Roman" w:eastAsia="宋体" w:cs="Times New Roman"/>
                <w:color w:val="auto"/>
                <w:sz w:val="24"/>
                <w:szCs w:val="24"/>
                <w:highlight w:val="none"/>
              </w:rPr>
              <w:t>相符性分析见表1-</w:t>
            </w:r>
            <w:r>
              <w:rPr>
                <w:rFonts w:hint="default" w:ascii="Times New Roman" w:hAnsi="Times New Roman" w:eastAsia="宋体" w:cs="Times New Roman"/>
                <w:color w:val="auto"/>
                <w:sz w:val="24"/>
                <w:szCs w:val="24"/>
                <w:highlight w:val="none"/>
                <w:lang w:val="en-US" w:eastAsia="zh-CN"/>
              </w:rPr>
              <w:t>3</w:t>
            </w:r>
            <w:r>
              <w:rPr>
                <w:rFonts w:hint="default" w:ascii="Times New Roman" w:hAnsi="Times New Roman" w:eastAsia="宋体" w:cs="Times New Roman"/>
                <w:color w:val="auto"/>
                <w:sz w:val="24"/>
                <w:szCs w:val="24"/>
                <w:highlight w:val="none"/>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表1-</w:t>
            </w:r>
            <w:r>
              <w:rPr>
                <w:rFonts w:hint="default"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bCs/>
                <w:color w:val="auto"/>
                <w:sz w:val="24"/>
                <w:szCs w:val="24"/>
                <w:highlight w:val="none"/>
                <w:lang w:eastAsia="zh-CN"/>
              </w:rPr>
              <w:t>规划环评审查意见</w:t>
            </w:r>
            <w:r>
              <w:rPr>
                <w:rFonts w:hint="default" w:ascii="Times New Roman" w:hAnsi="Times New Roman" w:eastAsia="宋体" w:cs="Times New Roman"/>
                <w:b/>
                <w:bCs/>
                <w:color w:val="auto"/>
                <w:sz w:val="24"/>
                <w:szCs w:val="24"/>
                <w:highlight w:val="none"/>
              </w:rPr>
              <w:t>”</w:t>
            </w:r>
            <w:r>
              <w:rPr>
                <w:rFonts w:hint="default" w:ascii="Times New Roman" w:hAnsi="Times New Roman" w:eastAsia="宋体" w:cs="Times New Roman"/>
                <w:b/>
                <w:color w:val="auto"/>
                <w:sz w:val="24"/>
                <w:szCs w:val="24"/>
                <w:highlight w:val="none"/>
              </w:rPr>
              <w:t>相符性分析</w:t>
            </w:r>
          </w:p>
          <w:tbl>
            <w:tblPr>
              <w:tblStyle w:val="25"/>
              <w:tblW w:w="790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5"/>
              <w:gridCol w:w="3780"/>
              <w:gridCol w:w="2200"/>
              <w:gridCol w:w="110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序号</w:t>
                  </w:r>
                </w:p>
              </w:tc>
              <w:tc>
                <w:tcPr>
                  <w:tcW w:w="378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lang w:eastAsia="zh-CN"/>
                    </w:rPr>
                    <w:t>审查意见</w:t>
                  </w:r>
                </w:p>
              </w:tc>
              <w:tc>
                <w:tcPr>
                  <w:tcW w:w="220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本项目内容</w:t>
                  </w:r>
                </w:p>
              </w:tc>
              <w:tc>
                <w:tcPr>
                  <w:tcW w:w="110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b/>
                      <w:color w:val="auto"/>
                      <w:sz w:val="21"/>
                      <w:szCs w:val="21"/>
                      <w:highlight w:val="none"/>
                      <w:lang w:val="en-US" w:eastAsia="zh-CN"/>
                    </w:rPr>
                  </w:pPr>
                  <w:r>
                    <w:rPr>
                      <w:rFonts w:hint="default" w:ascii="Times New Roman" w:hAnsi="Times New Roman" w:eastAsia="宋体" w:cs="Times New Roman"/>
                      <w:b/>
                      <w:color w:val="auto"/>
                      <w:sz w:val="21"/>
                      <w:szCs w:val="21"/>
                      <w:highlight w:val="none"/>
                      <w:lang w:val="en-US" w:eastAsia="zh-CN"/>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378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lang w:eastAsia="zh-CN"/>
                    </w:rPr>
                    <w:t>做好与省市国土空间规划和区域“三线一单”（生态保护红线、环境质量底线、资源利用上线和生态环境准入清单）的协调衔接。</w:t>
                  </w:r>
                </w:p>
              </w:tc>
              <w:tc>
                <w:tcPr>
                  <w:tcW w:w="220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本项目符合“三线一单”相关要求</w:t>
                  </w:r>
                  <w:r>
                    <w:rPr>
                      <w:rFonts w:hint="eastAsia" w:ascii="Times New Roman" w:eastAsia="宋体" w:cs="Times New Roman"/>
                      <w:color w:val="auto"/>
                      <w:sz w:val="21"/>
                      <w:szCs w:val="21"/>
                      <w:highlight w:val="none"/>
                      <w:lang w:val="en-US" w:eastAsia="zh-CN"/>
                    </w:rPr>
                    <w:t>。</w:t>
                  </w:r>
                </w:p>
              </w:tc>
              <w:tc>
                <w:tcPr>
                  <w:tcW w:w="110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2</w:t>
                  </w:r>
                </w:p>
              </w:tc>
              <w:tc>
                <w:tcPr>
                  <w:tcW w:w="378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加快开发区产业转型升级和结构优化，现有不符合开发区产业发展定位、用地规划等要求的制革、印染等企业应逐步升级改造、搬迁、淘汰。</w:t>
                  </w:r>
                </w:p>
              </w:tc>
              <w:tc>
                <w:tcPr>
                  <w:tcW w:w="220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仿宋_GB2312" w:cs="Times New Roman"/>
                      <w:color w:val="auto"/>
                      <w:sz w:val="21"/>
                      <w:szCs w:val="21"/>
                      <w:highlight w:val="none"/>
                      <w:lang w:val="en-US" w:eastAsia="zh-CN"/>
                    </w:rPr>
                  </w:pPr>
                  <w:r>
                    <w:rPr>
                      <w:rFonts w:hint="default" w:ascii="Times New Roman" w:hAnsi="Times New Roman" w:eastAsia="宋体" w:cs="Times New Roman"/>
                      <w:color w:val="auto"/>
                      <w:kern w:val="2"/>
                      <w:sz w:val="21"/>
                      <w:szCs w:val="21"/>
                      <w:highlight w:val="none"/>
                      <w:lang w:val="en-US" w:eastAsia="zh-CN" w:bidi="ar-SA"/>
                    </w:rPr>
                    <w:t>本项目属于</w:t>
                  </w:r>
                  <w:r>
                    <w:rPr>
                      <w:rFonts w:hint="eastAsia" w:ascii="Times New Roman" w:eastAsia="宋体" w:cs="Times New Roman"/>
                      <w:color w:val="auto"/>
                      <w:kern w:val="2"/>
                      <w:sz w:val="21"/>
                      <w:szCs w:val="21"/>
                      <w:highlight w:val="none"/>
                      <w:lang w:val="en-US" w:eastAsia="zh-CN" w:bidi="ar-SA"/>
                    </w:rPr>
                    <w:t>C4111鬃毛加工、制刷及清扫工具制造</w:t>
                  </w:r>
                  <w:r>
                    <w:rPr>
                      <w:rFonts w:hint="default" w:ascii="Times New Roman" w:hAnsi="Times New Roman" w:eastAsia="宋体" w:cs="Times New Roman"/>
                      <w:color w:val="auto"/>
                      <w:kern w:val="2"/>
                      <w:sz w:val="21"/>
                      <w:szCs w:val="21"/>
                      <w:highlight w:val="none"/>
                      <w:lang w:val="en-US" w:eastAsia="zh-CN" w:bidi="ar-SA"/>
                    </w:rPr>
                    <w:t>，不属于制革、印染企业选址位于智能装备产业园，符合经开区产业发展导向。</w:t>
                  </w:r>
                </w:p>
              </w:tc>
              <w:tc>
                <w:tcPr>
                  <w:tcW w:w="110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378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在生态保护红线范围内，严格不符合管控要求的各类开发建设活动。</w:t>
                  </w:r>
                </w:p>
              </w:tc>
              <w:tc>
                <w:tcPr>
                  <w:tcW w:w="220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本项目不涉及生态保护红线。</w:t>
                  </w:r>
                </w:p>
              </w:tc>
              <w:tc>
                <w:tcPr>
                  <w:tcW w:w="110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4</w:t>
                  </w:r>
                </w:p>
              </w:tc>
              <w:tc>
                <w:tcPr>
                  <w:tcW w:w="378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严守环境质量底线，强化污染物排放总量管控。</w:t>
                  </w:r>
                </w:p>
              </w:tc>
              <w:tc>
                <w:tcPr>
                  <w:tcW w:w="2200"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本项目污染物排放符合相关标准。</w:t>
                  </w:r>
                </w:p>
              </w:tc>
              <w:tc>
                <w:tcPr>
                  <w:tcW w:w="1102" w:type="dxa"/>
                  <w:tcBorders>
                    <w:tl2br w:val="nil"/>
                    <w:tr2bl w:val="nil"/>
                  </w:tcBorders>
                  <w:noWrap w:val="0"/>
                  <w:vAlign w:val="center"/>
                </w:tcPr>
                <w:p>
                  <w:pPr>
                    <w:pStyle w:val="9"/>
                    <w:keepNext w:val="0"/>
                    <w:keepLines w:val="0"/>
                    <w:suppressLineNumbers w:val="0"/>
                    <w:tabs>
                      <w:tab w:val="left" w:pos="1018"/>
                    </w:tabs>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5" w:type="dxa"/>
                  <w:tcBorders>
                    <w:tl2br w:val="nil"/>
                    <w:tr2bl w:val="nil"/>
                  </w:tcBorders>
                  <w:noWrap w:val="0"/>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5</w:t>
                  </w:r>
                </w:p>
              </w:tc>
              <w:tc>
                <w:tcPr>
                  <w:tcW w:w="378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lang w:eastAsia="zh-CN"/>
                    </w:rPr>
                    <w:t>严格入区项目生态环境准入，推动高质量发展。禁止新增印染等与主导企业不相关且污染物排放量大的项目入区；禁止新增印染产能。</w:t>
                  </w:r>
                </w:p>
              </w:tc>
              <w:tc>
                <w:tcPr>
                  <w:tcW w:w="2200"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本项目不在生态环境准入负面清单内。</w:t>
                  </w:r>
                </w:p>
              </w:tc>
              <w:tc>
                <w:tcPr>
                  <w:tcW w:w="1102" w:type="dxa"/>
                  <w:tcBorders>
                    <w:tl2br w:val="nil"/>
                    <w:tr2bl w:val="nil"/>
                  </w:tcBorders>
                  <w:noWrap w:val="0"/>
                  <w:vAlign w:val="center"/>
                </w:tcPr>
                <w:p>
                  <w:pPr>
                    <w:keepNext w:val="0"/>
                    <w:keepLines w:val="0"/>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符合</w:t>
                  </w:r>
                </w:p>
              </w:tc>
            </w:tr>
          </w:tbl>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2" w:firstLineChars="200"/>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eastAsia="zh-CN"/>
              </w:rPr>
              <w:t>（</w:t>
            </w:r>
            <w:r>
              <w:rPr>
                <w:rFonts w:hint="eastAsia" w:ascii="Times New Roman" w:hAnsi="Times New Roman" w:eastAsia="宋体" w:cs="Times New Roman"/>
                <w:b/>
                <w:color w:val="auto"/>
                <w:sz w:val="24"/>
                <w:szCs w:val="24"/>
                <w:highlight w:val="none"/>
                <w:lang w:val="en-US" w:eastAsia="zh-CN"/>
              </w:rPr>
              <w:t>4</w:t>
            </w:r>
            <w:r>
              <w:rPr>
                <w:rFonts w:hint="eastAsia" w:ascii="Times New Roman" w:hAnsi="Times New Roman" w:eastAsia="宋体" w:cs="Times New Roman"/>
                <w:b/>
                <w:color w:val="auto"/>
                <w:sz w:val="24"/>
                <w:szCs w:val="24"/>
                <w:highlight w:val="none"/>
                <w:lang w:eastAsia="zh-CN"/>
              </w:rPr>
              <w:t>）</w:t>
            </w:r>
            <w:r>
              <w:rPr>
                <w:rFonts w:hint="default" w:ascii="Times New Roman" w:hAnsi="Times New Roman" w:eastAsia="宋体" w:cs="Times New Roman"/>
                <w:b/>
                <w:color w:val="auto"/>
                <w:sz w:val="24"/>
                <w:szCs w:val="24"/>
                <w:highlight w:val="none"/>
                <w:lang w:eastAsia="zh-CN"/>
              </w:rPr>
              <w:t>与《如皋经济技术开发区发展规划（</w:t>
            </w:r>
            <w:r>
              <w:rPr>
                <w:rFonts w:hint="default" w:ascii="Times New Roman" w:hAnsi="Times New Roman" w:eastAsia="宋体" w:cs="Times New Roman"/>
                <w:b/>
                <w:color w:val="auto"/>
                <w:sz w:val="24"/>
                <w:szCs w:val="24"/>
                <w:highlight w:val="none"/>
                <w:lang w:val="en-US" w:eastAsia="zh-CN"/>
              </w:rPr>
              <w:t>2018-2030</w:t>
            </w:r>
            <w:r>
              <w:rPr>
                <w:rFonts w:hint="default" w:ascii="Times New Roman" w:hAnsi="Times New Roman" w:eastAsia="宋体" w:cs="Times New Roman"/>
                <w:b/>
                <w:color w:val="auto"/>
                <w:sz w:val="24"/>
                <w:szCs w:val="24"/>
                <w:highlight w:val="none"/>
                <w:lang w:eastAsia="zh-CN"/>
              </w:rPr>
              <w:t>）环境影响报告书</w:t>
            </w:r>
            <w:r>
              <w:rPr>
                <w:rFonts w:hint="default" w:ascii="Times New Roman" w:hAnsi="Times New Roman" w:eastAsia="宋体" w:cs="Times New Roman"/>
                <w:b/>
                <w:color w:val="auto"/>
                <w:sz w:val="24"/>
                <w:szCs w:val="24"/>
                <w:highlight w:val="none"/>
                <w:lang w:val="en-US" w:eastAsia="zh-CN"/>
              </w:rPr>
              <w:t>》</w:t>
            </w:r>
            <w:r>
              <w:rPr>
                <w:rFonts w:hint="eastAsia" w:cs="Times New Roman"/>
                <w:b/>
                <w:color w:val="auto"/>
                <w:sz w:val="24"/>
                <w:szCs w:val="24"/>
                <w:highlight w:val="none"/>
                <w:lang w:val="en-US" w:eastAsia="zh-CN"/>
              </w:rPr>
              <w:t>生态环境准入清单相符性分析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对照</w:t>
            </w:r>
            <w:r>
              <w:rPr>
                <w:rFonts w:hint="default" w:ascii="Times New Roman" w:hAnsi="Times New Roman" w:eastAsia="宋体" w:cs="Times New Roman"/>
                <w:color w:val="auto"/>
                <w:sz w:val="24"/>
                <w:szCs w:val="24"/>
                <w:highlight w:val="none"/>
                <w:lang w:eastAsia="zh-CN"/>
              </w:rPr>
              <w:t>《如皋经济技术开发区发展规划（</w:t>
            </w:r>
            <w:r>
              <w:rPr>
                <w:rFonts w:hint="default" w:ascii="Times New Roman" w:hAnsi="Times New Roman" w:eastAsia="宋体" w:cs="Times New Roman"/>
                <w:color w:val="auto"/>
                <w:sz w:val="24"/>
                <w:szCs w:val="24"/>
                <w:highlight w:val="none"/>
                <w:lang w:val="en-US" w:eastAsia="zh-CN"/>
              </w:rPr>
              <w:t>2018-2030</w:t>
            </w:r>
            <w:r>
              <w:rPr>
                <w:rFonts w:hint="default" w:ascii="Times New Roman" w:hAnsi="Times New Roman" w:eastAsia="宋体" w:cs="Times New Roman"/>
                <w:color w:val="auto"/>
                <w:sz w:val="24"/>
                <w:szCs w:val="24"/>
                <w:highlight w:val="none"/>
                <w:lang w:eastAsia="zh-CN"/>
              </w:rPr>
              <w:t>）环境影响报告书</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中生态环境准入清单，本项目符合相关要求，本项目与规划环评准入清单相符性分析见表1-4。</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表1-4与如皋经济技术开发区生态环境准入清单相符性分析</w:t>
            </w:r>
          </w:p>
          <w:tbl>
            <w:tblPr>
              <w:tblStyle w:val="26"/>
              <w:tblW w:w="7925"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3"/>
              <w:gridCol w:w="1350"/>
              <w:gridCol w:w="3925"/>
              <w:gridCol w:w="222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773" w:type="dxa"/>
                  <w:gridSpan w:val="2"/>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清单类型</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准入内容</w:t>
                  </w:r>
                </w:p>
              </w:tc>
              <w:tc>
                <w:tcPr>
                  <w:tcW w:w="2227"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相符性分析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restart"/>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行业准入</w:t>
                  </w: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节能与新能源汽车及氢能产业</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禁止建设VOCs排放量超过总量管控指标的项目，除金属表面处理园外，禁止建设含可剥离的电镀工艺的项目</w:t>
                  </w:r>
                </w:p>
              </w:tc>
              <w:tc>
                <w:tcPr>
                  <w:tcW w:w="2227" w:type="dxa"/>
                  <w:vMerge w:val="restart"/>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本项目为</w:t>
                  </w:r>
                  <w:r>
                    <w:rPr>
                      <w:rFonts w:hint="eastAsia" w:ascii="Times New Roman" w:eastAsia="宋体" w:cs="Times New Roman"/>
                      <w:color w:val="auto"/>
                      <w:kern w:val="2"/>
                      <w:sz w:val="21"/>
                      <w:szCs w:val="21"/>
                      <w:highlight w:val="none"/>
                      <w:lang w:val="en-US" w:eastAsia="zh-CN" w:bidi="ar-SA"/>
                    </w:rPr>
                    <w:t>C4111鬃毛加工、制刷及清扫工具制造</w:t>
                  </w:r>
                  <w:r>
                    <w:rPr>
                      <w:rFonts w:hint="eastAsia" w:cs="Times New Roman"/>
                      <w:color w:val="auto"/>
                      <w:kern w:val="2"/>
                      <w:sz w:val="21"/>
                      <w:szCs w:val="21"/>
                      <w:highlight w:val="none"/>
                      <w:lang w:val="en-US" w:eastAsia="zh-CN" w:bidi="ar-SA"/>
                    </w:rPr>
                    <w:t>，属于辅助产业</w:t>
                  </w:r>
                  <w:r>
                    <w:rPr>
                      <w:rFonts w:hint="eastAsia" w:cs="Times New Roman"/>
                      <w:color w:val="auto"/>
                      <w:sz w:val="21"/>
                      <w:szCs w:val="24"/>
                      <w:highlight w:val="none"/>
                      <w:lang w:eastAsia="zh-CN"/>
                    </w:rPr>
                    <w:t>，</w:t>
                  </w:r>
                  <w:r>
                    <w:rPr>
                      <w:rFonts w:hint="eastAsia" w:cs="Times New Roman"/>
                      <w:color w:val="auto"/>
                      <w:sz w:val="21"/>
                      <w:szCs w:val="24"/>
                      <w:highlight w:val="none"/>
                      <w:lang w:val="en-US" w:eastAsia="zh-CN"/>
                    </w:rPr>
                    <w:t>生产工艺不涉及电镀工艺，不涉及一类污染物，不属于印染、化工、危险化学品运输项目，不属于</w:t>
                  </w:r>
                  <w:r>
                    <w:rPr>
                      <w:rFonts w:hint="eastAsia" w:ascii="Times New Roman" w:hAnsi="Times New Roman" w:cs="Times New Roman"/>
                      <w:color w:val="auto"/>
                      <w:sz w:val="21"/>
                      <w:szCs w:val="21"/>
                      <w:highlight w:val="none"/>
                      <w:lang w:val="en-US" w:eastAsia="zh-CN"/>
                    </w:rPr>
                    <w:t>单位面积污染物排放高于主导行业的项目</w:t>
                  </w:r>
                  <w:r>
                    <w:rPr>
                      <w:rFonts w:hint="eastAsia" w:cs="Times New Roman"/>
                      <w:color w:val="auto"/>
                      <w:sz w:val="21"/>
                      <w:szCs w:val="21"/>
                      <w:highlight w:val="none"/>
                      <w:lang w:val="en-US" w:eastAsia="zh-CN"/>
                    </w:rPr>
                    <w:t>，不排放有毒有害气体及恶臭污染物，不使用高VOCs含量的</w:t>
                  </w:r>
                  <w:r>
                    <w:rPr>
                      <w:rFonts w:hint="eastAsia" w:ascii="Times New Roman" w:hAnsi="Times New Roman" w:cs="Times New Roman"/>
                      <w:color w:val="auto"/>
                      <w:sz w:val="21"/>
                      <w:szCs w:val="21"/>
                      <w:highlight w:val="none"/>
                      <w:lang w:val="en-US" w:eastAsia="zh-CN"/>
                    </w:rPr>
                    <w:t>溶剂型涂料、油墨、胶粘剂等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智能装备产业</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禁止建设VOCs排放量超过总量管控指标的项目；含一类污染物的项目</w:t>
                  </w:r>
                </w:p>
              </w:tc>
              <w:tc>
                <w:tcPr>
                  <w:tcW w:w="2227"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纺织服装产业</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禁止新增印染项目、现有印染企业逐步关停、搬迁；禁止使用含高VOCs含量的助剂、溶剂的项目</w:t>
                  </w:r>
                </w:p>
              </w:tc>
              <w:tc>
                <w:tcPr>
                  <w:tcW w:w="2227"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长寿生物科技产业</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禁止含化工工艺的项目、禁止新建有化学反应的项目以及牛奶及乳制品项目、禁止建设可能对食品安全产生不良影响的项目以及其他对周边环境有特定要求的项目</w:t>
                  </w:r>
                </w:p>
              </w:tc>
              <w:tc>
                <w:tcPr>
                  <w:tcW w:w="2227"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现代物流园</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禁止危险化学品储运</w:t>
                  </w:r>
                </w:p>
              </w:tc>
              <w:tc>
                <w:tcPr>
                  <w:tcW w:w="2227"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23"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c>
                <w:tcPr>
                  <w:tcW w:w="1350"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辅助产业</w:t>
                  </w:r>
                </w:p>
              </w:tc>
              <w:tc>
                <w:tcPr>
                  <w:tcW w:w="3925"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建设单位面积污染物排放高于主导行业的项目，禁止《有毒有害大气污染物名录》（2018）中气体及排放恶臭污染物（氨、硫化氢、苯乙烯）的项目；禁止建设生产和使用高VOCs含量的溶剂型涂料、油墨、胶粘剂等项目</w:t>
                  </w:r>
                </w:p>
              </w:tc>
              <w:tc>
                <w:tcPr>
                  <w:tcW w:w="2227" w:type="dxa"/>
                  <w:vMerge w:val="continue"/>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773" w:type="dxa"/>
                  <w:gridSpan w:val="2"/>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空间布局约束</w:t>
                  </w:r>
                </w:p>
              </w:tc>
              <w:tc>
                <w:tcPr>
                  <w:tcW w:w="3925" w:type="dxa"/>
                  <w:tcBorders>
                    <w:tl2br w:val="nil"/>
                    <w:tr2bl w:val="nil"/>
                  </w:tcBorders>
                  <w:vAlign w:val="center"/>
                </w:tcPr>
                <w:p>
                  <w:pPr>
                    <w:keepNext w:val="0"/>
                    <w:keepLines w:val="0"/>
                    <w:widowControl/>
                    <w:numPr>
                      <w:ilvl w:val="0"/>
                      <w:numId w:val="2"/>
                    </w:numPr>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严格执行《江苏省长江经济带发展负面清单实施细则》、《关于促进长三角地区经济社会与生态环境保护协调发展的指导意见》、水十条、土十条、《“263”专项行动实施方案》、《江苏省通榆河水污染防治条例》等文件要求；</w:t>
                  </w:r>
                </w:p>
                <w:p>
                  <w:pPr>
                    <w:keepNext w:val="0"/>
                    <w:keepLines w:val="0"/>
                    <w:widowControl/>
                    <w:numPr>
                      <w:ilvl w:val="0"/>
                      <w:numId w:val="2"/>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禁止铁路、公路及主要城市道路防护绿带、水系防护绿带、高压走廊防护绿地、工业区与居住区之间的防护绿带、市政设施周围防护绿带内的开发建设；</w:t>
                  </w:r>
                </w:p>
                <w:p>
                  <w:pPr>
                    <w:keepNext w:val="0"/>
                    <w:keepLines w:val="0"/>
                    <w:widowControl/>
                    <w:numPr>
                      <w:ilvl w:val="0"/>
                      <w:numId w:val="2"/>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在紧邻镇南集中居住区的东侧和南侧工业用地内优先布置企业办公楼以及成品仓库等无污染车间、并且镇南集中居住区上风向东侧和南侧建设100米生态防护绿地（含路），北侧控制50米生态防护绿地（含路）；近期鹿门西集中居住区周边工业用地暂缓开发，远期鹿门西集中居住区拆迁，远期在居住区拆迁完成前进行开发建设时居住区东侧、南侧须建设100米生态防护绿地（含路），西侧和北侧建设50米生态防护绿地（含路）且周边工业用地内优先布置企业办公楼以及成品仓库等无污染车间；鹿门东集中居住区与东侧现有居住点形成集中居住片区，建议南侧、西侧和北侧建设50米生态防护绿地（含路）且周边工业用地内优先布置企业办公楼以及成品仓库等无污染车间；</w:t>
                  </w:r>
                </w:p>
                <w:p>
                  <w:pPr>
                    <w:keepNext w:val="0"/>
                    <w:keepLines w:val="0"/>
                    <w:widowControl/>
                    <w:numPr>
                      <w:ilvl w:val="0"/>
                      <w:numId w:val="2"/>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禁止在如海运河如城饮用水水源保护区内进行不符合主体功能定位的各类开发活动；禁止在如海运河清水通道维护区内进行不符合生态空间区域规划管控要求的开发建设；</w:t>
                  </w:r>
                </w:p>
                <w:p>
                  <w:pPr>
                    <w:keepNext w:val="0"/>
                    <w:keepLines w:val="0"/>
                    <w:widowControl/>
                    <w:numPr>
                      <w:ilvl w:val="0"/>
                      <w:numId w:val="2"/>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现状属于《如皋市土地利用总体规划（2006-2020）》中的永久基本农田，在新一轮国土空间</w:t>
                  </w:r>
                  <w:r>
                    <w:rPr>
                      <w:rFonts w:hint="eastAsia" w:cs="Times New Roman"/>
                      <w:color w:val="auto"/>
                      <w:sz w:val="21"/>
                      <w:szCs w:val="21"/>
                      <w:highlight w:val="none"/>
                      <w:lang w:val="en-US" w:eastAsia="zh-CN"/>
                    </w:rPr>
                    <w:t>规划</w:t>
                  </w:r>
                  <w:r>
                    <w:rPr>
                      <w:rFonts w:hint="eastAsia" w:ascii="Times New Roman" w:hAnsi="Times New Roman" w:cs="Times New Roman"/>
                      <w:color w:val="auto"/>
                      <w:sz w:val="21"/>
                      <w:szCs w:val="21"/>
                      <w:highlight w:val="none"/>
                      <w:lang w:val="en-US" w:eastAsia="zh-CN"/>
                    </w:rPr>
                    <w:t>批复之前，禁止占用；</w:t>
                  </w:r>
                </w:p>
                <w:p>
                  <w:pPr>
                    <w:keepNext w:val="0"/>
                    <w:keepLines w:val="0"/>
                    <w:widowControl/>
                    <w:numPr>
                      <w:ilvl w:val="0"/>
                      <w:numId w:val="0"/>
                    </w:numPr>
                    <w:suppressLineNumbers w:val="0"/>
                    <w:spacing w:before="0" w:beforeAutospacing="0" w:after="0" w:afterAutospacing="0" w:line="240" w:lineRule="auto"/>
                    <w:ind w:leftChars="0"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6、除表面处理园38.54ha、文革河以北、邓园路以西、跃龙路以南、龙池路以东地块40.29ha外，其他工业用地内禁止电镀或引进含不可剥离电镀工序的企业。</w:t>
                  </w:r>
                </w:p>
              </w:tc>
              <w:tc>
                <w:tcPr>
                  <w:tcW w:w="2227"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本项目严格执行</w:t>
                  </w:r>
                  <w:r>
                    <w:rPr>
                      <w:rFonts w:hint="eastAsia" w:ascii="Times New Roman" w:hAnsi="Times New Roman" w:cs="Times New Roman"/>
                      <w:color w:val="auto"/>
                      <w:sz w:val="21"/>
                      <w:szCs w:val="21"/>
                      <w:highlight w:val="none"/>
                      <w:lang w:val="en-US" w:eastAsia="zh-CN"/>
                    </w:rPr>
                    <w:t>《江苏省长江经济带发展负面清单实施细则》</w:t>
                  </w:r>
                  <w:r>
                    <w:rPr>
                      <w:rFonts w:hint="eastAsia" w:cs="Times New Roman"/>
                      <w:color w:val="auto"/>
                      <w:sz w:val="21"/>
                      <w:szCs w:val="21"/>
                      <w:highlight w:val="none"/>
                      <w:lang w:val="en-US" w:eastAsia="zh-CN"/>
                    </w:rPr>
                    <w:t>等文件要求，利用现有厂房，用地性质为工业用地，不涉及基本农田、不占用生态红线。距离如泰运河（如皋市）清水通道维护区1720m</w:t>
                  </w:r>
                  <w:r>
                    <w:rPr>
                      <w:rFonts w:hint="eastAsia" w:cs="Times New Roman"/>
                      <w:color w:val="auto"/>
                      <w:sz w:val="21"/>
                      <w:szCs w:val="24"/>
                      <w:highlight w:val="none"/>
                      <w:lang w:val="en-US" w:eastAsia="zh-CN"/>
                    </w:rPr>
                    <w:t>，不在</w:t>
                  </w:r>
                  <w:r>
                    <w:rPr>
                      <w:rFonts w:hint="default" w:ascii="Times New Roman" w:hAnsi="Times New Roman" w:cs="Times New Roman"/>
                      <w:color w:val="auto"/>
                      <w:sz w:val="21"/>
                      <w:szCs w:val="24"/>
                      <w:highlight w:val="none"/>
                      <w:lang w:val="en-US" w:eastAsia="zh-CN"/>
                    </w:rPr>
                    <w:t>其生态空间管控区域范围</w:t>
                  </w:r>
                  <w:r>
                    <w:rPr>
                      <w:rFonts w:hint="eastAsia" w:cs="Times New Roman"/>
                      <w:color w:val="auto"/>
                      <w:sz w:val="21"/>
                      <w:szCs w:val="24"/>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773" w:type="dxa"/>
                  <w:gridSpan w:val="2"/>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污染物排放管控</w:t>
                  </w:r>
                </w:p>
              </w:tc>
              <w:tc>
                <w:tcPr>
                  <w:tcW w:w="3925" w:type="dxa"/>
                  <w:tcBorders>
                    <w:tl2br w:val="nil"/>
                    <w:tr2bl w:val="nil"/>
                  </w:tcBorders>
                  <w:vAlign w:val="center"/>
                </w:tcPr>
                <w:p>
                  <w:pPr>
                    <w:keepNext w:val="0"/>
                    <w:keepLines w:val="0"/>
                    <w:widowControl/>
                    <w:numPr>
                      <w:ilvl w:val="0"/>
                      <w:numId w:val="3"/>
                    </w:numPr>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经开区近期外排量COD529.26吨/年、NH</w:t>
                  </w:r>
                  <w:r>
                    <w:rPr>
                      <w:rFonts w:hint="eastAsia" w:ascii="Times New Roman" w:hAnsi="Times New Roman" w:cs="Times New Roman"/>
                      <w:color w:val="auto"/>
                      <w:sz w:val="21"/>
                      <w:szCs w:val="21"/>
                      <w:highlight w:val="none"/>
                      <w:vertAlign w:val="subscript"/>
                      <w:lang w:val="en-US" w:eastAsia="zh-CN"/>
                    </w:rPr>
                    <w:t>3</w:t>
                  </w:r>
                  <w:r>
                    <w:rPr>
                      <w:rFonts w:hint="eastAsia" w:ascii="Times New Roman" w:hAnsi="Times New Roman" w:cs="Times New Roman"/>
                      <w:color w:val="auto"/>
                      <w:sz w:val="21"/>
                      <w:szCs w:val="21"/>
                      <w:highlight w:val="none"/>
                      <w:lang w:val="en-US" w:eastAsia="zh-CN"/>
                    </w:rPr>
                    <w:t>-N26.98吨/年、总氮185.32吨/年、总磷5.71吨/年；远期外排量COD541.12吨/年、NH3-N27.06吨/年、总氮181.91吨/年、总磷5.41吨/年；经开区重金属近期总铬0.479吨/年、总镉0.01吨/年、总铅0.096吨/年、汞0.001吨/年；远期总铬0.462吨/年、总镉0.009吨/年、总铅0.092吨/年、总汞0.0009吨/年；</w:t>
                  </w:r>
                </w:p>
                <w:p>
                  <w:pPr>
                    <w:keepNext w:val="0"/>
                    <w:keepLines w:val="0"/>
                    <w:widowControl/>
                    <w:numPr>
                      <w:ilvl w:val="0"/>
                      <w:numId w:val="3"/>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经开区SO2总量近期70.77吨/年、远期82.95吨/年；NOx总量近期91.36吨/年、远期98.84吨/年；烟粉尘近期72.2吨/年、远期113.05吨/年；VOCs近期235.34吨/年；远期272.06吨/年；</w:t>
                  </w:r>
                </w:p>
                <w:p>
                  <w:pPr>
                    <w:keepNext w:val="0"/>
                    <w:keepLines w:val="0"/>
                    <w:widowControl/>
                    <w:numPr>
                      <w:ilvl w:val="0"/>
                      <w:numId w:val="0"/>
                    </w:numPr>
                    <w:suppressLineNumbers w:val="0"/>
                    <w:spacing w:before="0" w:beforeAutospacing="0" w:after="0" w:afterAutospacing="0" w:line="240" w:lineRule="auto"/>
                    <w:ind w:leftChars="0"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3、污水不能接管的项目、污水管网尚未敷设到位地块的开发建设。</w:t>
                  </w:r>
                </w:p>
              </w:tc>
              <w:tc>
                <w:tcPr>
                  <w:tcW w:w="2227"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本项目废水、废气外排量在如皋市内平衡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773" w:type="dxa"/>
                  <w:gridSpan w:val="2"/>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环境风险防控</w:t>
                  </w:r>
                </w:p>
              </w:tc>
              <w:tc>
                <w:tcPr>
                  <w:tcW w:w="3925" w:type="dxa"/>
                  <w:tcBorders>
                    <w:tl2br w:val="nil"/>
                    <w:tr2bl w:val="nil"/>
                  </w:tcBorders>
                  <w:vAlign w:val="center"/>
                </w:tcPr>
                <w:p>
                  <w:pPr>
                    <w:keepNext w:val="0"/>
                    <w:keepLines w:val="0"/>
                    <w:widowControl/>
                    <w:numPr>
                      <w:ilvl w:val="0"/>
                      <w:numId w:val="4"/>
                    </w:numPr>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禁止硫酸、盐酸、硝酸、甲苯、二甲苯等泄露环境风险值大于10</w:t>
                  </w:r>
                  <w:r>
                    <w:rPr>
                      <w:rFonts w:hint="eastAsia" w:ascii="Times New Roman" w:hAnsi="Times New Roman" w:cs="Times New Roman"/>
                      <w:color w:val="auto"/>
                      <w:sz w:val="21"/>
                      <w:szCs w:val="21"/>
                      <w:highlight w:val="none"/>
                      <w:vertAlign w:val="superscript"/>
                      <w:lang w:val="en-US" w:eastAsia="zh-CN"/>
                    </w:rPr>
                    <w:t>-6</w:t>
                  </w:r>
                  <w:r>
                    <w:rPr>
                      <w:rFonts w:hint="eastAsia" w:ascii="Times New Roman" w:hAnsi="Times New Roman" w:cs="Times New Roman"/>
                      <w:color w:val="auto"/>
                      <w:sz w:val="21"/>
                      <w:szCs w:val="21"/>
                      <w:highlight w:val="none"/>
                      <w:lang w:val="en-US" w:eastAsia="zh-CN"/>
                    </w:rPr>
                    <w:t>的项目；</w:t>
                  </w:r>
                </w:p>
                <w:p>
                  <w:pPr>
                    <w:keepNext w:val="0"/>
                    <w:keepLines w:val="0"/>
                    <w:widowControl/>
                    <w:numPr>
                      <w:ilvl w:val="0"/>
                      <w:numId w:val="0"/>
                    </w:numPr>
                    <w:suppressLineNumbers w:val="0"/>
                    <w:spacing w:before="0" w:beforeAutospacing="0" w:after="0" w:afterAutospacing="0" w:line="240" w:lineRule="auto"/>
                    <w:ind w:leftChars="0"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2、禁止风险情况下，最大影响浓度大于污染物半致死浓度的项目；</w:t>
                  </w:r>
                </w:p>
                <w:p>
                  <w:pPr>
                    <w:keepNext w:val="0"/>
                    <w:keepLines w:val="0"/>
                    <w:widowControl/>
                    <w:numPr>
                      <w:ilvl w:val="0"/>
                      <w:numId w:val="0"/>
                    </w:numPr>
                    <w:suppressLineNumbers w:val="0"/>
                    <w:spacing w:before="0" w:beforeAutospacing="0" w:after="0" w:afterAutospacing="0" w:line="240" w:lineRule="auto"/>
                    <w:ind w:leftChars="0"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3、禁止防渗防漏措施不到位易造成地下水、土壤环境污染的项目</w:t>
                  </w:r>
                </w:p>
              </w:tc>
              <w:tc>
                <w:tcPr>
                  <w:tcW w:w="2227"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本项目不涉及</w:t>
                  </w:r>
                  <w:r>
                    <w:rPr>
                      <w:rFonts w:hint="eastAsia" w:ascii="Times New Roman" w:hAnsi="Times New Roman" w:cs="Times New Roman"/>
                      <w:color w:val="auto"/>
                      <w:sz w:val="21"/>
                      <w:szCs w:val="21"/>
                      <w:highlight w:val="none"/>
                      <w:lang w:val="en-US" w:eastAsia="zh-CN"/>
                    </w:rPr>
                    <w:t>硫酸、盐酸、硝酸、甲苯、二甲苯</w:t>
                  </w:r>
                  <w:r>
                    <w:rPr>
                      <w:rFonts w:hint="eastAsia" w:cs="Times New Roman"/>
                      <w:color w:val="auto"/>
                      <w:sz w:val="21"/>
                      <w:szCs w:val="21"/>
                      <w:highlight w:val="none"/>
                      <w:lang w:val="en-US" w:eastAsia="zh-CN"/>
                    </w:rPr>
                    <w:t>等环境风险物质，风险情况下，最大影响浓度小于污染物半数致死浓度，地下水、土壤防渗防漏措施到位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773" w:type="dxa"/>
                  <w:gridSpan w:val="2"/>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资源开发效率要求</w:t>
                  </w:r>
                </w:p>
              </w:tc>
              <w:tc>
                <w:tcPr>
                  <w:tcW w:w="3925" w:type="dxa"/>
                  <w:tcBorders>
                    <w:tl2br w:val="nil"/>
                    <w:tr2bl w:val="nil"/>
                  </w:tcBorders>
                  <w:vAlign w:val="center"/>
                </w:tcPr>
                <w:p>
                  <w:pPr>
                    <w:keepNext w:val="0"/>
                    <w:keepLines w:val="0"/>
                    <w:widowControl/>
                    <w:numPr>
                      <w:ilvl w:val="0"/>
                      <w:numId w:val="5"/>
                    </w:numPr>
                    <w:suppressLineNumbers w:val="0"/>
                    <w:spacing w:before="0" w:beforeAutospacing="0" w:after="0" w:afterAutospacing="0" w:line="240" w:lineRule="auto"/>
                    <w:ind w:left="0" w:right="0" w:firstLine="0" w:firstLineChars="0"/>
                    <w:jc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禁止建设占用永久基本农田的项目；</w:t>
                  </w:r>
                </w:p>
                <w:p>
                  <w:pPr>
                    <w:keepNext w:val="0"/>
                    <w:keepLines w:val="0"/>
                    <w:widowControl/>
                    <w:numPr>
                      <w:ilvl w:val="0"/>
                      <w:numId w:val="5"/>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禁止建设单位工业用地工业增加值近期≤18.69亿元/km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、远期≤23.44亿元/km</w:t>
                  </w:r>
                  <w:r>
                    <w:rPr>
                      <w:rFonts w:hint="eastAsia" w:ascii="Times New Roman" w:hAnsi="Times New Roman" w:cs="Times New Roman"/>
                      <w:color w:val="auto"/>
                      <w:sz w:val="21"/>
                      <w:szCs w:val="21"/>
                      <w:highlight w:val="none"/>
                      <w:vertAlign w:val="superscript"/>
                      <w:lang w:val="en-US" w:eastAsia="zh-CN"/>
                    </w:rPr>
                    <w:t>2</w:t>
                  </w:r>
                  <w:r>
                    <w:rPr>
                      <w:rFonts w:hint="eastAsia" w:ascii="Times New Roman" w:hAnsi="Times New Roman" w:cs="Times New Roman"/>
                      <w:color w:val="auto"/>
                      <w:sz w:val="21"/>
                      <w:szCs w:val="21"/>
                      <w:highlight w:val="none"/>
                      <w:lang w:val="en-US" w:eastAsia="zh-CN"/>
                    </w:rPr>
                    <w:t>、单位工业增加值新鲜水耗近期≥3.89m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/万元、远期≥2.75m</w:t>
                  </w:r>
                  <w:r>
                    <w:rPr>
                      <w:rFonts w:hint="eastAsia" w:ascii="Times New Roman" w:hAnsi="Times New Roman" w:cs="Times New Roman"/>
                      <w:color w:val="auto"/>
                      <w:sz w:val="21"/>
                      <w:szCs w:val="21"/>
                      <w:highlight w:val="none"/>
                      <w:vertAlign w:val="superscript"/>
                      <w:lang w:val="en-US" w:eastAsia="zh-CN"/>
                    </w:rPr>
                    <w:t>3</w:t>
                  </w:r>
                  <w:r>
                    <w:rPr>
                      <w:rFonts w:hint="eastAsia" w:ascii="Times New Roman" w:hAnsi="Times New Roman" w:cs="Times New Roman"/>
                      <w:color w:val="auto"/>
                      <w:sz w:val="21"/>
                      <w:szCs w:val="21"/>
                      <w:highlight w:val="none"/>
                      <w:lang w:val="en-US" w:eastAsia="zh-CN"/>
                    </w:rPr>
                    <w:t>/万元、单位工业增加值综合能耗近期≥≤0.161吨标煤/万元、远期≥0.111吨标煤/万元、工业用水重复利用率近期≤86.25%、远期≤88.5%的项目；</w:t>
                  </w:r>
                </w:p>
                <w:p>
                  <w:pPr>
                    <w:keepNext w:val="0"/>
                    <w:keepLines w:val="0"/>
                    <w:widowControl/>
                    <w:numPr>
                      <w:ilvl w:val="0"/>
                      <w:numId w:val="5"/>
                    </w:numPr>
                    <w:suppressLineNumbers w:val="0"/>
                    <w:spacing w:before="0" w:beforeAutospacing="0" w:after="0" w:afterAutospacing="0" w:line="240" w:lineRule="auto"/>
                    <w:ind w:left="0" w:leftChars="0" w:right="0" w:rightChars="0" w:firstLine="0" w:firstLine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建设用地总量近期不超过3390.07ha，远期不超过4310.77ha；工业用水近期不超过916万t/a、远期不超过1098t/a；工业用标煤近期不超过38.25万t/a、远期不超过44.16万t/a；</w:t>
                  </w:r>
                </w:p>
                <w:p>
                  <w:pPr>
                    <w:keepNext w:val="0"/>
                    <w:keepLines w:val="0"/>
                    <w:widowControl/>
                    <w:numPr>
                      <w:ilvl w:val="0"/>
                      <w:numId w:val="0"/>
                    </w:numPr>
                    <w:suppressLineNumbers w:val="0"/>
                    <w:spacing w:before="0" w:beforeAutospacing="0" w:after="0" w:afterAutospacing="0" w:line="240" w:lineRule="auto"/>
                    <w:ind w:leftChars="0" w:right="0" w:rightChars="0"/>
                    <w:jc w:val="both"/>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4、禁止需自建燃煤设施的项目。</w:t>
                  </w:r>
                </w:p>
              </w:tc>
              <w:tc>
                <w:tcPr>
                  <w:tcW w:w="2227" w:type="dxa"/>
                  <w:tcBorders>
                    <w:tl2br w:val="nil"/>
                    <w:tr2bl w:val="nil"/>
                  </w:tcBorders>
                  <w:vAlign w:val="center"/>
                </w:tcPr>
                <w:p>
                  <w:pPr>
                    <w:keepNext w:val="0"/>
                    <w:keepLines w:val="0"/>
                    <w:widowControl/>
                    <w:suppressLineNumbers w:val="0"/>
                    <w:spacing w:before="0" w:beforeAutospacing="0" w:after="0" w:afterAutospacing="0" w:line="240" w:lineRule="auto"/>
                    <w:ind w:left="0" w:right="0" w:firstLine="0" w:firstLineChars="0"/>
                    <w:jc w:val="center"/>
                    <w:rPr>
                      <w:rFonts w:hint="default" w:ascii="Times New Roman" w:hAnsi="Times New Roman" w:cs="Times New Roman"/>
                      <w:color w:val="auto"/>
                      <w:sz w:val="21"/>
                      <w:szCs w:val="21"/>
                      <w:highlight w:val="none"/>
                      <w:lang w:val="en-US" w:eastAsia="zh-CN"/>
                    </w:rPr>
                  </w:pPr>
                  <w:r>
                    <w:rPr>
                      <w:rFonts w:hint="eastAsia" w:cs="Times New Roman"/>
                      <w:color w:val="auto"/>
                      <w:sz w:val="21"/>
                      <w:szCs w:val="21"/>
                      <w:highlight w:val="none"/>
                      <w:lang w:val="en-US" w:eastAsia="zh-CN"/>
                    </w:rPr>
                    <w:t>本项目利用现有厂房，用地为工业用地，不占用基本农田，不涉及燃煤设施</w:t>
                  </w:r>
                </w:p>
              </w:tc>
            </w:tr>
          </w:tbl>
          <w:p>
            <w:pPr>
              <w:autoSpaceDE w:val="0"/>
              <w:autoSpaceDN w:val="0"/>
              <w:adjustRightInd w:val="0"/>
              <w:snapToGrid w:val="0"/>
              <w:spacing w:line="360" w:lineRule="auto"/>
              <w:ind w:firstLine="480" w:firstLineChars="200"/>
              <w:jc w:val="left"/>
              <w:rPr>
                <w:rFonts w:hint="default" w:ascii="Times New Roman" w:hAnsi="Times New Roman" w:cs="Times New Roman"/>
                <w:color w:val="auto"/>
                <w:sz w:val="24"/>
                <w:szCs w:val="32"/>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021" w:hRule="atLeast"/>
        </w:trPr>
        <w:tc>
          <w:tcPr>
            <w:tcW w:w="1025" w:type="dxa"/>
            <w:gridSpan w:val="2"/>
            <w:vAlign w:val="center"/>
          </w:tcPr>
          <w:p>
            <w:pPr>
              <w:autoSpaceDE w:val="0"/>
              <w:autoSpaceDN w:val="0"/>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其他符合性分析</w:t>
            </w:r>
          </w:p>
        </w:tc>
        <w:tc>
          <w:tcPr>
            <w:tcW w:w="8113" w:type="dxa"/>
            <w:gridSpan w:val="4"/>
            <w:vAlign w:val="center"/>
          </w:tcPr>
          <w:p>
            <w:pPr>
              <w:adjustRightInd w:val="0"/>
              <w:snapToGrid w:val="0"/>
              <w:spacing w:line="360" w:lineRule="auto"/>
              <w:ind w:firstLine="482"/>
              <w:rPr>
                <w:rFonts w:hint="default" w:ascii="Times New Roman" w:hAnsi="Times New Roman" w:cs="Times New Roman"/>
                <w:b/>
                <w:color w:val="auto"/>
                <w:sz w:val="24"/>
                <w:szCs w:val="28"/>
                <w:highlight w:val="none"/>
                <w:lang w:val="en-US"/>
              </w:rPr>
            </w:pPr>
            <w:r>
              <w:rPr>
                <w:rFonts w:hint="default" w:ascii="Times New Roman" w:hAnsi="Times New Roman" w:cs="Times New Roman"/>
                <w:b/>
                <w:color w:val="auto"/>
                <w:sz w:val="24"/>
                <w:szCs w:val="28"/>
                <w:highlight w:val="none"/>
              </w:rPr>
              <w:t>一、产业政策相符性</w:t>
            </w:r>
          </w:p>
          <w:p>
            <w:pPr>
              <w:adjustRightInd w:val="0"/>
              <w:snapToGrid w:val="0"/>
              <w:spacing w:line="360" w:lineRule="auto"/>
              <w:ind w:firstLine="482"/>
              <w:rPr>
                <w:rFonts w:hint="eastAsia" w:cs="Times New Roman"/>
                <w:color w:val="auto"/>
                <w:sz w:val="24"/>
                <w:szCs w:val="28"/>
                <w:highlight w:val="none"/>
                <w:lang w:eastAsia="zh-CN"/>
              </w:rPr>
            </w:pPr>
            <w:r>
              <w:rPr>
                <w:rFonts w:hint="default" w:ascii="Times New Roman" w:hAnsi="Times New Roman" w:cs="Times New Roman"/>
                <w:color w:val="auto"/>
                <w:sz w:val="24"/>
                <w:szCs w:val="28"/>
                <w:highlight w:val="none"/>
                <w:lang w:val="en-US" w:eastAsia="zh-CN"/>
              </w:rPr>
              <w:t>本</w:t>
            </w:r>
            <w:r>
              <w:rPr>
                <w:rFonts w:hint="default" w:ascii="Times New Roman" w:hAnsi="Times New Roman" w:eastAsia="宋体" w:cs="Times New Roman"/>
                <w:color w:val="auto"/>
                <w:sz w:val="24"/>
                <w:szCs w:val="28"/>
                <w:highlight w:val="none"/>
                <w:lang w:val="en-US" w:eastAsia="zh-CN"/>
              </w:rPr>
              <w:t>项目为</w:t>
            </w:r>
            <w:r>
              <w:rPr>
                <w:rFonts w:hint="eastAsia" w:ascii="Times New Roman" w:hAnsi="Times New Roman" w:eastAsia="宋体" w:cs="Times New Roman"/>
                <w:color w:val="auto"/>
                <w:sz w:val="24"/>
                <w:szCs w:val="28"/>
                <w:highlight w:val="none"/>
                <w:lang w:val="en-US" w:eastAsia="zh-CN"/>
              </w:rPr>
              <w:t>C4111鬃毛加工、制刷及清扫工具制造</w:t>
            </w:r>
            <w:r>
              <w:rPr>
                <w:rFonts w:hint="default" w:ascii="Times New Roman" w:hAnsi="Times New Roman" w:eastAsia="宋体" w:cs="Times New Roman"/>
                <w:color w:val="auto"/>
                <w:sz w:val="24"/>
                <w:szCs w:val="28"/>
                <w:highlight w:val="none"/>
                <w:lang w:val="en-US" w:eastAsia="zh-CN"/>
              </w:rPr>
              <w:t>，</w:t>
            </w:r>
            <w:r>
              <w:rPr>
                <w:rFonts w:hint="default" w:ascii="Times New Roman" w:hAnsi="Times New Roman" w:cs="Times New Roman"/>
                <w:color w:val="auto"/>
                <w:sz w:val="24"/>
                <w:szCs w:val="28"/>
                <w:highlight w:val="none"/>
              </w:rPr>
              <w:t>对照《产业结构调整指导目录》（</w:t>
            </w:r>
            <w:r>
              <w:rPr>
                <w:rFonts w:hint="eastAsia" w:cs="Times New Roman"/>
                <w:color w:val="auto"/>
                <w:sz w:val="24"/>
                <w:szCs w:val="28"/>
                <w:highlight w:val="none"/>
                <w:lang w:val="en-US" w:eastAsia="zh-CN"/>
              </w:rPr>
              <w:t>2024年版</w:t>
            </w:r>
            <w:r>
              <w:rPr>
                <w:rFonts w:hint="default" w:ascii="Times New Roman" w:hAnsi="Times New Roman" w:cs="Times New Roman"/>
                <w:color w:val="auto"/>
                <w:sz w:val="24"/>
                <w:szCs w:val="28"/>
                <w:highlight w:val="none"/>
              </w:rPr>
              <w:t>），本项目不属于其中的限制类或淘汰类，为允许类；</w:t>
            </w:r>
            <w:r>
              <w:rPr>
                <w:rFonts w:hint="eastAsia" w:cs="Times New Roman"/>
                <w:color w:val="auto"/>
                <w:sz w:val="24"/>
                <w:szCs w:val="28"/>
                <w:highlight w:val="none"/>
                <w:lang w:val="en-US" w:eastAsia="zh-CN"/>
              </w:rPr>
              <w:t>对照《江苏省产业结构调整限制、淘汰和禁止项目》（苏政发[2018]32号），本项目不属于其中的限制、淘汰和禁止类</w:t>
            </w:r>
            <w:r>
              <w:rPr>
                <w:rFonts w:hint="eastAsia" w:cs="Times New Roman"/>
                <w:color w:val="auto"/>
                <w:sz w:val="24"/>
                <w:szCs w:val="28"/>
                <w:highlight w:val="none"/>
                <w:lang w:eastAsia="zh-CN"/>
              </w:rPr>
              <w:t>。</w:t>
            </w:r>
          </w:p>
          <w:p>
            <w:pPr>
              <w:adjustRightInd w:val="0"/>
              <w:snapToGrid w:val="0"/>
              <w:spacing w:line="360" w:lineRule="auto"/>
              <w:ind w:firstLine="482"/>
              <w:rPr>
                <w:rFonts w:hint="default" w:ascii="Times New Roman" w:hAnsi="Times New Roman" w:cs="Times New Roman"/>
                <w:color w:val="auto"/>
                <w:sz w:val="24"/>
                <w:szCs w:val="28"/>
                <w:highlight w:val="none"/>
                <w:lang w:val="en-US" w:eastAsia="zh-CN"/>
              </w:rPr>
            </w:pPr>
            <w:r>
              <w:rPr>
                <w:rFonts w:hint="eastAsia" w:ascii="Times New Roman" w:hAnsi="Times New Roman" w:cs="Times New Roman"/>
                <w:color w:val="auto"/>
                <w:sz w:val="24"/>
                <w:szCs w:val="28"/>
                <w:highlight w:val="none"/>
                <w:lang w:val="en-US" w:eastAsia="zh-CN"/>
              </w:rPr>
              <w:t>对照《外商投资准入特别管理措施（负面清单）（2024 年版）》</w:t>
            </w:r>
            <w:r>
              <w:rPr>
                <w:rFonts w:hint="eastAsia" w:cs="Times New Roman"/>
                <w:color w:val="auto"/>
                <w:sz w:val="24"/>
                <w:szCs w:val="28"/>
                <w:highlight w:val="none"/>
                <w:lang w:val="en-US" w:eastAsia="zh-CN"/>
              </w:rPr>
              <w:t>，本项目不在负面清单范围内，对照《外商投资产业指导目录》（2017年修订）、《鼓励外商投资产业目录》（2025年版），本项目为允许类。</w:t>
            </w:r>
          </w:p>
          <w:p>
            <w:pPr>
              <w:adjustRightInd w:val="0"/>
              <w:snapToGrid w:val="0"/>
              <w:spacing w:line="360" w:lineRule="auto"/>
              <w:ind w:firstLine="482"/>
              <w:rPr>
                <w:rFonts w:hint="default" w:ascii="Times New Roman" w:hAnsi="Times New Roman" w:eastAsia="宋体" w:cs="Times New Roman"/>
                <w:color w:val="auto"/>
                <w:sz w:val="24"/>
                <w:szCs w:val="28"/>
                <w:highlight w:val="none"/>
                <w:lang w:val="en-US" w:eastAsia="zh-CN"/>
              </w:rPr>
            </w:pPr>
            <w:r>
              <w:rPr>
                <w:rFonts w:hint="default" w:ascii="Times New Roman" w:hAnsi="Times New Roman" w:cs="Times New Roman"/>
                <w:color w:val="auto"/>
                <w:sz w:val="24"/>
                <w:szCs w:val="28"/>
                <w:highlight w:val="none"/>
              </w:rPr>
              <w:t>对照</w:t>
            </w:r>
            <w:r>
              <w:rPr>
                <w:rFonts w:hint="eastAsia" w:cs="Times New Roman"/>
                <w:color w:val="auto"/>
                <w:sz w:val="24"/>
                <w:szCs w:val="28"/>
                <w:highlight w:val="none"/>
                <w:lang w:val="en-US" w:eastAsia="zh-CN"/>
              </w:rPr>
              <w:t>关于《江苏省“两高”项目管理目录（2025年版）》的通知（苏发改委[2025]4号）</w:t>
            </w:r>
            <w:r>
              <w:rPr>
                <w:rFonts w:hint="default" w:ascii="Times New Roman" w:hAnsi="Times New Roman" w:cs="Times New Roman"/>
                <w:color w:val="auto"/>
                <w:sz w:val="24"/>
                <w:szCs w:val="28"/>
                <w:highlight w:val="none"/>
              </w:rPr>
              <w:t>，本项目不在“高污染、高环境风险”产品名录内。</w:t>
            </w:r>
            <w:r>
              <w:rPr>
                <w:rFonts w:hint="eastAsia" w:cs="Times New Roman"/>
                <w:color w:val="auto"/>
                <w:sz w:val="24"/>
                <w:szCs w:val="28"/>
                <w:highlight w:val="none"/>
                <w:lang w:val="en-US" w:eastAsia="zh-CN"/>
              </w:rPr>
              <w:t>对照《省生态环境厅关于报送高能耗、高排放项目清单的通知》（苏环便函[2021]903号），本项目不属于高排放、高耗能行业。对照《南通市关于加大污染减排力度推进重点行业绿色发展的指导意见》（通办[2021]59号），本项目不属于高排放、高耗能行业。</w:t>
            </w:r>
          </w:p>
          <w:p>
            <w:pPr>
              <w:adjustRightInd w:val="0"/>
              <w:snapToGrid w:val="0"/>
              <w:spacing w:line="360" w:lineRule="auto"/>
              <w:ind w:firstLine="482"/>
              <w:rPr>
                <w:rFonts w:hint="default" w:ascii="Times New Roman" w:hAnsi="Times New Roman" w:cs="Times New Roman"/>
                <w:b/>
                <w:color w:val="auto"/>
                <w:sz w:val="24"/>
                <w:szCs w:val="28"/>
                <w:highlight w:val="none"/>
              </w:rPr>
            </w:pPr>
            <w:r>
              <w:rPr>
                <w:rFonts w:hint="default" w:ascii="Times New Roman" w:hAnsi="Times New Roman" w:cs="Times New Roman"/>
                <w:b/>
                <w:color w:val="auto"/>
                <w:sz w:val="24"/>
                <w:szCs w:val="28"/>
                <w:highlight w:val="none"/>
              </w:rPr>
              <w:t>二、</w:t>
            </w:r>
            <w:r>
              <w:rPr>
                <w:rFonts w:hint="eastAsia" w:cs="Times New Roman"/>
                <w:b/>
                <w:color w:val="auto"/>
                <w:sz w:val="24"/>
                <w:szCs w:val="28"/>
                <w:highlight w:val="none"/>
                <w:lang w:val="en-US" w:eastAsia="zh-CN"/>
              </w:rPr>
              <w:t>生态环境分区管控</w:t>
            </w:r>
            <w:r>
              <w:rPr>
                <w:rFonts w:hint="default" w:ascii="Times New Roman" w:hAnsi="Times New Roman" w:cs="Times New Roman"/>
                <w:b/>
                <w:color w:val="auto"/>
                <w:sz w:val="24"/>
                <w:szCs w:val="28"/>
                <w:highlight w:val="none"/>
              </w:rPr>
              <w:t>相符性分析</w:t>
            </w:r>
          </w:p>
          <w:p>
            <w:pPr>
              <w:adjustRightInd w:val="0"/>
              <w:snapToGrid w:val="0"/>
              <w:spacing w:line="360" w:lineRule="auto"/>
              <w:ind w:firstLine="482"/>
              <w:rPr>
                <w:rFonts w:hint="default" w:ascii="Times New Roman" w:hAnsi="Times New Roman" w:cs="Times New Roman"/>
                <w:color w:val="auto"/>
                <w:sz w:val="24"/>
                <w:szCs w:val="28"/>
                <w:highlight w:val="none"/>
              </w:rPr>
            </w:pPr>
            <w:r>
              <w:rPr>
                <w:rFonts w:hint="default" w:ascii="Times New Roman" w:hAnsi="Times New Roman" w:cs="Times New Roman"/>
                <w:color w:val="auto"/>
                <w:sz w:val="24"/>
                <w:szCs w:val="28"/>
                <w:highlight w:val="none"/>
              </w:rPr>
              <w:t>与《关于进一步深化生态环境分区管控制度改革及应用三年工作方案</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2025-2027年</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《江苏省生态环境分区管控实施方案》</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苏政办发[2026]1号</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、《南通市生态环境分区管控管理办法》</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通政办规[2025]5号</w:t>
            </w:r>
            <w:r>
              <w:rPr>
                <w:rFonts w:hint="eastAsia" w:cs="Times New Roman"/>
                <w:color w:val="auto"/>
                <w:sz w:val="24"/>
                <w:szCs w:val="28"/>
                <w:highlight w:val="none"/>
                <w:lang w:eastAsia="zh-CN"/>
              </w:rPr>
              <w:t>）</w:t>
            </w:r>
            <w:r>
              <w:rPr>
                <w:rFonts w:hint="default" w:ascii="Times New Roman" w:hAnsi="Times New Roman" w:cs="Times New Roman"/>
                <w:color w:val="auto"/>
                <w:sz w:val="24"/>
                <w:szCs w:val="28"/>
                <w:highlight w:val="none"/>
              </w:rPr>
              <w:t>相符性分析</w:t>
            </w:r>
          </w:p>
          <w:p>
            <w:pPr>
              <w:adjustRightInd w:val="0"/>
              <w:snapToGrid w:val="0"/>
              <w:spacing w:line="360" w:lineRule="auto"/>
              <w:ind w:firstLine="482"/>
              <w:rPr>
                <w:rFonts w:hint="default" w:ascii="Times New Roman" w:hAnsi="Times New Roman" w:eastAsia="宋体" w:cs="Times New Roman"/>
                <w:color w:val="auto"/>
                <w:sz w:val="24"/>
                <w:szCs w:val="28"/>
                <w:highlight w:val="none"/>
                <w:lang w:val="en-US" w:eastAsia="zh-CN"/>
              </w:rPr>
            </w:pPr>
            <w:r>
              <w:rPr>
                <w:rFonts w:hint="eastAsia" w:cs="Times New Roman"/>
                <w:color w:val="auto"/>
                <w:sz w:val="24"/>
                <w:szCs w:val="28"/>
                <w:highlight w:val="none"/>
                <w:lang w:eastAsia="zh-CN"/>
              </w:rPr>
              <w:t>（</w:t>
            </w:r>
            <w:r>
              <w:rPr>
                <w:rFonts w:hint="eastAsia" w:cs="Times New Roman"/>
                <w:color w:val="auto"/>
                <w:sz w:val="24"/>
                <w:szCs w:val="28"/>
                <w:highlight w:val="none"/>
                <w:lang w:val="en-US" w:eastAsia="zh-CN"/>
              </w:rPr>
              <w:t>1）项目与管控单元的符合性分析</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①国家级生态保护红线：</w:t>
            </w:r>
          </w:p>
          <w:p>
            <w:pPr>
              <w:adjustRightInd w:val="0"/>
              <w:snapToGrid w:val="0"/>
              <w:spacing w:line="360" w:lineRule="auto"/>
              <w:ind w:firstLine="482"/>
              <w:rPr>
                <w:rFonts w:hint="default" w:ascii="Times New Roman" w:hAnsi="Times New Roman" w:eastAsia="宋体" w:cs="Times New Roman"/>
                <w:color w:val="auto"/>
                <w:sz w:val="24"/>
                <w:szCs w:val="32"/>
                <w:highlight w:val="none"/>
                <w:lang w:val="en-US" w:eastAsia="zh-CN"/>
              </w:rPr>
            </w:pPr>
            <w:r>
              <w:rPr>
                <w:rFonts w:hint="default" w:ascii="Times New Roman" w:hAnsi="Times New Roman" w:cs="Times New Roman"/>
                <w:color w:val="auto"/>
                <w:sz w:val="24"/>
                <w:szCs w:val="28"/>
                <w:highlight w:val="none"/>
              </w:rPr>
              <w:t>根据《自然资源部 生态环境部 国家林业和草原局关于加强生态保护红线管理的通知（试行）》（自然资发〔2022〕142 号）、《自然资源部办公厅发文同意江苏省正式启用“三区三线”划定成果》（自然资办函[2022]2207号），对照《如皋市国土空间总体规划》（2021-2035 年），</w:t>
            </w:r>
            <w:r>
              <w:rPr>
                <w:rFonts w:hint="default" w:ascii="Times New Roman" w:hAnsi="Times New Roman" w:cs="Times New Roman"/>
                <w:color w:val="auto"/>
                <w:sz w:val="24"/>
                <w:szCs w:val="32"/>
                <w:highlight w:val="none"/>
              </w:rPr>
              <w:t>如皋市境内生态保护红线为长江长青沙饮用水水源保护区、长青沙应急水源保护区、长江如皋段刀鲚国家级水产种质资源保护区、如海运河如城饮用水水源保护区。</w:t>
            </w:r>
            <w:r>
              <w:rPr>
                <w:rFonts w:hint="default" w:ascii="Times New Roman" w:hAnsi="Times New Roman" w:cs="Times New Roman"/>
                <w:color w:val="auto"/>
                <w:sz w:val="24"/>
                <w:szCs w:val="32"/>
                <w:highlight w:val="none"/>
                <w:lang w:val="en-US" w:eastAsia="zh-CN"/>
              </w:rPr>
              <w:t>本项目位于如皋市城北街道起凤西路118号</w:t>
            </w:r>
            <w:r>
              <w:rPr>
                <w:rFonts w:hint="default" w:ascii="Times New Roman" w:hAnsi="Times New Roman" w:cs="Times New Roman"/>
                <w:color w:val="auto"/>
                <w:sz w:val="24"/>
                <w:szCs w:val="24"/>
                <w:highlight w:val="none"/>
                <w:u w:val="none"/>
                <w:lang w:val="en-US" w:eastAsia="zh-CN"/>
              </w:rPr>
              <w:t>，</w:t>
            </w:r>
            <w:r>
              <w:rPr>
                <w:rFonts w:hint="default" w:ascii="Times New Roman" w:hAnsi="Times New Roman" w:cs="Times New Roman"/>
                <w:color w:val="auto"/>
                <w:sz w:val="24"/>
                <w:szCs w:val="24"/>
                <w:highlight w:val="none"/>
              </w:rPr>
              <w:t>不涉及上述生态保护红线，符合《江苏省国家级生态保护红线规划》。</w:t>
            </w:r>
          </w:p>
          <w:p>
            <w:pPr>
              <w:adjustRightInd w:val="0"/>
              <w:snapToGrid w:val="0"/>
              <w:spacing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②生态空间管控区域：</w:t>
            </w:r>
          </w:p>
          <w:p>
            <w:pPr>
              <w:adjustRightInd w:val="0"/>
              <w:snapToGrid w:val="0"/>
              <w:spacing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根据《省政府关于印发江苏省生态空间管控区域规划的通知》（苏政发〔2020〕1号）、《江苏省自然资源厅关于如皋市生态空间管控区域调整方案的复函》（苏自然资函〔2021〕1588号）、</w:t>
            </w:r>
            <w:r>
              <w:rPr>
                <w:rFonts w:hint="default" w:ascii="Times New Roman" w:hAnsi="Times New Roman" w:cs="Times New Roman"/>
                <w:color w:val="auto"/>
                <w:sz w:val="24"/>
                <w:szCs w:val="32"/>
                <w:highlight w:val="none"/>
              </w:rPr>
              <w:t>《如皋市生态空间管控区域调整方案》，</w:t>
            </w:r>
            <w:r>
              <w:rPr>
                <w:rFonts w:hint="default" w:ascii="Times New Roman" w:hAnsi="Times New Roman" w:cs="Times New Roman"/>
                <w:color w:val="auto"/>
                <w:sz w:val="24"/>
                <w:szCs w:val="24"/>
                <w:highlight w:val="none"/>
              </w:rPr>
              <w:t>生态空间保护区域实行分级管理。具体见表1-</w:t>
            </w:r>
            <w:r>
              <w:rPr>
                <w:rFonts w:hint="eastAsia" w:cs="Times New Roman"/>
                <w:color w:val="auto"/>
                <w:sz w:val="24"/>
                <w:szCs w:val="24"/>
                <w:highlight w:val="none"/>
                <w:lang w:val="en-US" w:eastAsia="zh-CN"/>
              </w:rPr>
              <w:t>5</w:t>
            </w:r>
            <w:r>
              <w:rPr>
                <w:rFonts w:hint="default" w:ascii="Times New Roman" w:hAnsi="Times New Roman" w:cs="Times New Roman"/>
                <w:color w:val="auto"/>
                <w:sz w:val="24"/>
                <w:szCs w:val="24"/>
                <w:highlight w:val="none"/>
              </w:rPr>
              <w:t>。</w:t>
            </w:r>
          </w:p>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inorEastAsia"/>
                <w:b/>
                <w:color w:val="auto"/>
                <w:sz w:val="24"/>
                <w:szCs w:val="24"/>
                <w:highlight w:val="none"/>
              </w:rPr>
            </w:pPr>
            <w:r>
              <w:rPr>
                <w:rFonts w:hint="default" w:ascii="Times New Roman" w:hAnsi="Times New Roman" w:cs="Times New Roman" w:eastAsiaTheme="minorEastAsia"/>
                <w:b/>
                <w:color w:val="auto"/>
                <w:sz w:val="24"/>
                <w:szCs w:val="24"/>
                <w:highlight w:val="none"/>
              </w:rPr>
              <w:t>表1-</w:t>
            </w:r>
            <w:r>
              <w:rPr>
                <w:rFonts w:hint="eastAsia" w:cs="Times New Roman" w:eastAsiaTheme="minorEastAsia"/>
                <w:b/>
                <w:color w:val="auto"/>
                <w:sz w:val="24"/>
                <w:szCs w:val="24"/>
                <w:highlight w:val="none"/>
                <w:lang w:val="en-US" w:eastAsia="zh-CN"/>
              </w:rPr>
              <w:t>5</w:t>
            </w:r>
            <w:r>
              <w:rPr>
                <w:rFonts w:hint="default" w:ascii="Times New Roman" w:hAnsi="Times New Roman" w:cs="Times New Roman" w:eastAsiaTheme="minorEastAsia"/>
                <w:b/>
                <w:color w:val="auto"/>
                <w:sz w:val="24"/>
                <w:szCs w:val="24"/>
                <w:highlight w:val="none"/>
              </w:rPr>
              <w:t>江苏省生态管控空间管控区</w:t>
            </w:r>
          </w:p>
          <w:tbl>
            <w:tblPr>
              <w:tblStyle w:val="25"/>
              <w:tblW w:w="7897" w:type="dxa"/>
              <w:tblInd w:w="5"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09"/>
              <w:gridCol w:w="1272"/>
              <w:gridCol w:w="826"/>
              <w:gridCol w:w="1126"/>
              <w:gridCol w:w="1375"/>
              <w:gridCol w:w="891"/>
              <w:gridCol w:w="850"/>
              <w:gridCol w:w="848"/>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327" w:hRule="atLeast"/>
              </w:trPr>
              <w:tc>
                <w:tcPr>
                  <w:tcW w:w="709" w:type="dxa"/>
                  <w:vMerge w:val="restart"/>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序号</w:t>
                  </w:r>
                </w:p>
              </w:tc>
              <w:tc>
                <w:tcPr>
                  <w:tcW w:w="1272" w:type="dxa"/>
                  <w:vMerge w:val="restart"/>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生态空间保护区域名称</w:t>
                  </w:r>
                </w:p>
              </w:tc>
              <w:tc>
                <w:tcPr>
                  <w:tcW w:w="826" w:type="dxa"/>
                  <w:vMerge w:val="restart"/>
                  <w:tcBorders>
                    <w:tl2br w:val="nil"/>
                    <w:tr2bl w:val="nil"/>
                  </w:tcBorders>
                  <w:vAlign w:val="center"/>
                </w:tcPr>
                <w:p>
                  <w:pPr>
                    <w:adjustRightInd w:val="0"/>
                    <w:snapToGrid w:val="0"/>
                    <w:ind w:firstLine="105" w:firstLineChars="5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主导生态功能</w:t>
                  </w:r>
                </w:p>
              </w:tc>
              <w:tc>
                <w:tcPr>
                  <w:tcW w:w="2501" w:type="dxa"/>
                  <w:gridSpan w:val="2"/>
                  <w:tcBorders>
                    <w:tl2br w:val="nil"/>
                    <w:tr2bl w:val="nil"/>
                  </w:tcBorders>
                  <w:vAlign w:val="center"/>
                </w:tcPr>
                <w:p>
                  <w:pPr>
                    <w:adjustRightInd w:val="0"/>
                    <w:snapToGrid w:val="0"/>
                    <w:ind w:firstLine="211" w:firstLineChars="10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范围</w:t>
                  </w:r>
                </w:p>
              </w:tc>
              <w:tc>
                <w:tcPr>
                  <w:tcW w:w="2589" w:type="dxa"/>
                  <w:gridSpan w:val="3"/>
                  <w:tcBorders>
                    <w:tl2br w:val="nil"/>
                    <w:tr2bl w:val="nil"/>
                  </w:tcBorders>
                  <w:vAlign w:val="center"/>
                </w:tcPr>
                <w:p>
                  <w:pPr>
                    <w:adjustRightInd w:val="0"/>
                    <w:snapToGrid w:val="0"/>
                    <w:ind w:firstLine="316" w:firstLineChars="15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面积（平方公里）</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687" w:hRule="atLeast"/>
              </w:trPr>
              <w:tc>
                <w:tcPr>
                  <w:tcW w:w="709" w:type="dxa"/>
                  <w:vMerge w:val="continue"/>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p>
              </w:tc>
              <w:tc>
                <w:tcPr>
                  <w:tcW w:w="1272" w:type="dxa"/>
                  <w:vMerge w:val="continue"/>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p>
              </w:tc>
              <w:tc>
                <w:tcPr>
                  <w:tcW w:w="826" w:type="dxa"/>
                  <w:vMerge w:val="continue"/>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p>
              </w:tc>
              <w:tc>
                <w:tcPr>
                  <w:tcW w:w="1126" w:type="dxa"/>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国家级生态保护红线范围</w:t>
                  </w:r>
                </w:p>
              </w:tc>
              <w:tc>
                <w:tcPr>
                  <w:tcW w:w="1375" w:type="dxa"/>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生态空间管控区域范围</w:t>
                  </w:r>
                </w:p>
              </w:tc>
              <w:tc>
                <w:tcPr>
                  <w:tcW w:w="891" w:type="dxa"/>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国家级生态保护红线面积</w:t>
                  </w:r>
                </w:p>
              </w:tc>
              <w:tc>
                <w:tcPr>
                  <w:tcW w:w="850" w:type="dxa"/>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生态空间管控区域面积</w:t>
                  </w:r>
                </w:p>
              </w:tc>
              <w:tc>
                <w:tcPr>
                  <w:tcW w:w="848" w:type="dxa"/>
                  <w:tcBorders>
                    <w:tl2br w:val="nil"/>
                    <w:tr2bl w:val="nil"/>
                  </w:tcBorders>
                  <w:vAlign w:val="center"/>
                </w:tcPr>
                <w:p>
                  <w:pPr>
                    <w:adjustRightInd w:val="0"/>
                    <w:snapToGrid w:val="0"/>
                    <w:jc w:val="center"/>
                    <w:rPr>
                      <w:rFonts w:hint="default" w:ascii="Times New Roman" w:hAnsi="Times New Roman" w:cs="Times New Roman" w:eastAsiaTheme="minorEastAsia"/>
                      <w:b/>
                      <w:bCs/>
                      <w:color w:val="auto"/>
                      <w:sz w:val="21"/>
                      <w:szCs w:val="21"/>
                      <w:highlight w:val="none"/>
                    </w:rPr>
                  </w:pPr>
                  <w:r>
                    <w:rPr>
                      <w:rFonts w:hint="default" w:ascii="Times New Roman" w:hAnsi="Times New Roman" w:cs="Times New Roman" w:eastAsiaTheme="minorEastAsia"/>
                      <w:b/>
                      <w:bCs/>
                      <w:color w:val="auto"/>
                      <w:sz w:val="21"/>
                      <w:szCs w:val="21"/>
                      <w:highlight w:val="none"/>
                    </w:rPr>
                    <w:t>总面积</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trHeight w:val="70" w:hRule="atLeast"/>
              </w:trPr>
              <w:tc>
                <w:tcPr>
                  <w:tcW w:w="709" w:type="dxa"/>
                  <w:tcBorders>
                    <w:tl2br w:val="nil"/>
                    <w:tr2bl w:val="nil"/>
                  </w:tcBorders>
                  <w:vAlign w:val="center"/>
                </w:tcPr>
                <w:p>
                  <w:pPr>
                    <w:autoSpaceDE w:val="0"/>
                    <w:autoSpaceDN w:val="0"/>
                    <w:adjustRightInd w:val="0"/>
                    <w:jc w:val="center"/>
                    <w:rPr>
                      <w:rFonts w:hint="default" w:ascii="Times New Roman" w:hAnsi="Times New Roman" w:cs="Times New Roman" w:eastAsiaTheme="minorEastAsia"/>
                      <w:color w:val="auto"/>
                      <w:sz w:val="21"/>
                      <w:szCs w:val="21"/>
                      <w:highlight w:val="none"/>
                      <w:lang w:val="en-US" w:eastAsia="zh-CN"/>
                    </w:rPr>
                  </w:pPr>
                  <w:r>
                    <w:rPr>
                      <w:rFonts w:hint="default" w:ascii="Times New Roman" w:hAnsi="Times New Roman" w:cs="Times New Roman" w:eastAsiaTheme="minorEastAsia"/>
                      <w:color w:val="auto"/>
                      <w:sz w:val="21"/>
                      <w:szCs w:val="21"/>
                      <w:highlight w:val="none"/>
                      <w:lang w:val="en-US" w:eastAsia="zh-CN"/>
                    </w:rPr>
                    <w:t>1</w:t>
                  </w:r>
                </w:p>
              </w:tc>
              <w:tc>
                <w:tcPr>
                  <w:tcW w:w="1272" w:type="dxa"/>
                  <w:tcBorders>
                    <w:tl2br w:val="nil"/>
                    <w:tr2bl w:val="nil"/>
                  </w:tcBorders>
                  <w:vAlign w:val="center"/>
                </w:tcPr>
                <w:p>
                  <w:pPr>
                    <w:autoSpaceDE w:val="0"/>
                    <w:autoSpaceDN w:val="0"/>
                    <w:adjustRightInd w:val="0"/>
                    <w:jc w:val="center"/>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color w:val="auto"/>
                      <w:lang w:eastAsia="zh-CN"/>
                    </w:rPr>
                    <w:t>如泰运河（如皋市）清水通道维护区</w:t>
                  </w:r>
                </w:p>
              </w:tc>
              <w:tc>
                <w:tcPr>
                  <w:tcW w:w="826" w:type="dxa"/>
                  <w:tcBorders>
                    <w:tl2br w:val="nil"/>
                    <w:tr2bl w:val="nil"/>
                  </w:tcBorders>
                  <w:vAlign w:val="center"/>
                </w:tcPr>
                <w:p>
                  <w:pPr>
                    <w:widowControl/>
                    <w:jc w:val="center"/>
                    <w:textAlignment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水源水质保护</w:t>
                  </w:r>
                </w:p>
              </w:tc>
              <w:tc>
                <w:tcPr>
                  <w:tcW w:w="1126" w:type="dxa"/>
                  <w:tcBorders>
                    <w:tl2br w:val="nil"/>
                    <w:tr2bl w:val="nil"/>
                  </w:tcBorders>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w:t>
                  </w:r>
                </w:p>
              </w:tc>
              <w:tc>
                <w:tcPr>
                  <w:tcW w:w="1375" w:type="dxa"/>
                  <w:tcBorders>
                    <w:tl2br w:val="nil"/>
                    <w:tr2bl w:val="nil"/>
                  </w:tcBorders>
                  <w:vAlign w:val="center"/>
                </w:tcPr>
                <w:p>
                  <w:pPr>
                    <w:autoSpaceDE w:val="0"/>
                    <w:autoSpaceDN w:val="0"/>
                    <w:adjustRightInd w:val="0"/>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如泰运河（焦港河至如海运河段）及两岸各1000米</w:t>
                  </w:r>
                </w:p>
              </w:tc>
              <w:tc>
                <w:tcPr>
                  <w:tcW w:w="891" w:type="dxa"/>
                  <w:tcBorders>
                    <w:tl2br w:val="nil"/>
                    <w:tr2bl w:val="nil"/>
                  </w:tcBorders>
                  <w:vAlign w:val="center"/>
                </w:tcPr>
                <w:p>
                  <w:pPr>
                    <w:jc w:val="center"/>
                    <w:rPr>
                      <w:rFonts w:hint="default" w:ascii="Times New Roman" w:hAnsi="Times New Roman" w:eastAsia="TimesNewRomanPSMT" w:cs="Times New Roman"/>
                      <w:color w:val="auto"/>
                      <w:kern w:val="0"/>
                      <w:sz w:val="21"/>
                      <w:szCs w:val="21"/>
                      <w:highlight w:val="none"/>
                    </w:rPr>
                  </w:pPr>
                  <w:r>
                    <w:rPr>
                      <w:rFonts w:hint="default" w:ascii="Times New Roman" w:hAnsi="Times New Roman" w:eastAsia="TimesNewRomanPSMT" w:cs="Times New Roman"/>
                      <w:color w:val="auto"/>
                      <w:kern w:val="0"/>
                      <w:sz w:val="21"/>
                      <w:szCs w:val="21"/>
                      <w:highlight w:val="none"/>
                    </w:rPr>
                    <w:t>/</w:t>
                  </w:r>
                </w:p>
              </w:tc>
              <w:tc>
                <w:tcPr>
                  <w:tcW w:w="850" w:type="dxa"/>
                  <w:tcBorders>
                    <w:tl2br w:val="nil"/>
                    <w:tr2bl w:val="nil"/>
                  </w:tcBorders>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22.33</w:t>
                  </w:r>
                </w:p>
              </w:tc>
              <w:tc>
                <w:tcPr>
                  <w:tcW w:w="848" w:type="dxa"/>
                  <w:tcBorders>
                    <w:tl2br w:val="nil"/>
                    <w:tr2bl w:val="nil"/>
                  </w:tcBorders>
                  <w:vAlign w:val="center"/>
                </w:tcPr>
                <w:p>
                  <w:pPr>
                    <w:widowControl/>
                    <w:spacing w:line="280" w:lineRule="atLeast"/>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22.33</w:t>
                  </w:r>
                </w:p>
              </w:tc>
            </w:tr>
          </w:tbl>
          <w:p>
            <w:pPr>
              <w:adjustRightInd w:val="0"/>
              <w:snapToGrid w:val="0"/>
              <w:spacing w:line="360" w:lineRule="auto"/>
              <w:ind w:firstLine="439" w:firstLineChars="18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32"/>
                <w:highlight w:val="none"/>
              </w:rPr>
              <w:t>与本项目最近的生态空间保护区域为如泰运河（如皋市）清水通道维护区，</w:t>
            </w:r>
            <w:r>
              <w:rPr>
                <w:rFonts w:hint="default" w:ascii="Times New Roman" w:hAnsi="Times New Roman" w:cs="Times New Roman"/>
                <w:color w:val="auto"/>
                <w:sz w:val="24"/>
                <w:szCs w:val="32"/>
                <w:highlight w:val="none"/>
                <w:lang w:val="en-US" w:eastAsia="zh-CN"/>
              </w:rPr>
              <w:t>本项目距离如泰运河（如皋市）清水通道维护区</w:t>
            </w:r>
            <w:r>
              <w:rPr>
                <w:rFonts w:hint="eastAsia" w:cs="Times New Roman"/>
                <w:color w:val="auto"/>
                <w:sz w:val="24"/>
                <w:szCs w:val="32"/>
                <w:highlight w:val="none"/>
                <w:lang w:val="en-US" w:eastAsia="zh-CN"/>
              </w:rPr>
              <w:t>172</w:t>
            </w:r>
            <w:r>
              <w:rPr>
                <w:rFonts w:hint="default" w:ascii="Times New Roman" w:hAnsi="Times New Roman" w:cs="Times New Roman"/>
                <w:color w:val="auto"/>
                <w:sz w:val="24"/>
                <w:szCs w:val="32"/>
                <w:highlight w:val="none"/>
                <w:lang w:val="en-US" w:eastAsia="zh-CN"/>
              </w:rPr>
              <w:t>0m，不在其生态空间管控区域范围内，</w:t>
            </w:r>
            <w:r>
              <w:rPr>
                <w:rFonts w:hint="default" w:ascii="Times New Roman" w:hAnsi="Times New Roman" w:cs="Times New Roman"/>
                <w:color w:val="auto"/>
                <w:sz w:val="24"/>
                <w:szCs w:val="32"/>
                <w:highlight w:val="none"/>
              </w:rPr>
              <w:t>不会导致如皋市生态空间管控区域生态服务功能下降，符合《江苏省生态空间管控区域规划》（苏政发〔2020〕1号）等相关文件要求。</w:t>
            </w:r>
          </w:p>
          <w:p>
            <w:pPr>
              <w:adjustRightInd w:val="0"/>
              <w:snapToGrid w:val="0"/>
              <w:spacing w:line="360" w:lineRule="auto"/>
              <w:ind w:firstLine="482"/>
              <w:rPr>
                <w:rFonts w:hint="eastAsia"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③</w:t>
            </w:r>
            <w:r>
              <w:rPr>
                <w:rFonts w:hint="eastAsia"/>
                <w:color w:val="auto"/>
                <w:sz w:val="24"/>
                <w:szCs w:val="24"/>
              </w:rPr>
              <w:t>与《江苏2023年生态环境分区管控动态更新成果》相符性分析</w:t>
            </w:r>
          </w:p>
          <w:p>
            <w:pPr>
              <w:autoSpaceDE w:val="0"/>
              <w:autoSpaceDN w:val="0"/>
              <w:adjustRightInd w:val="0"/>
              <w:snapToGrid w:val="0"/>
              <w:spacing w:line="360" w:lineRule="auto"/>
              <w:ind w:firstLine="472" w:firstLineChars="200"/>
              <w:rPr>
                <w:rFonts w:hint="eastAsia" w:ascii="Times New Roman" w:hAnsi="Times New Roman" w:eastAsia="宋体" w:cs="Times New Roman"/>
                <w:color w:val="auto"/>
                <w:sz w:val="24"/>
                <w:szCs w:val="24"/>
                <w:lang w:eastAsia="zh-CN"/>
              </w:rPr>
            </w:pPr>
            <w:r>
              <w:rPr>
                <w:rFonts w:hint="eastAsia" w:ascii="Times New Roman" w:hAnsi="Times New Roman" w:eastAsia="宋体" w:cs="Times New Roman"/>
                <w:color w:val="auto"/>
                <w:spacing w:val="-2"/>
                <w:sz w:val="24"/>
                <w:szCs w:val="24"/>
              </w:rPr>
              <w:t>本项目位于</w:t>
            </w:r>
            <w:r>
              <w:rPr>
                <w:rFonts w:hint="eastAsia" w:cs="Times New Roman"/>
                <w:color w:val="auto"/>
                <w:kern w:val="0"/>
                <w:sz w:val="24"/>
                <w:szCs w:val="24"/>
                <w:lang w:val="en-US" w:eastAsia="zh-CN"/>
              </w:rPr>
              <w:t>如皋市城北街道起凤西路118号</w:t>
            </w:r>
            <w:r>
              <w:rPr>
                <w:rFonts w:hint="eastAsia" w:ascii="Times New Roman" w:hAnsi="Times New Roman" w:eastAsia="宋体" w:cs="Times New Roman"/>
                <w:color w:val="auto"/>
                <w:spacing w:val="-2"/>
                <w:sz w:val="24"/>
                <w:szCs w:val="24"/>
              </w:rPr>
              <w:t>，属于《江苏省2023年度生态环境分区管控动态更新成果》中长江流域、淮河流域、沿海地区、如皋经济技术开发区（</w:t>
            </w:r>
            <w:r>
              <w:rPr>
                <w:rFonts w:hint="eastAsia" w:ascii="Times New Roman" w:hAnsi="Times New Roman" w:eastAsia="宋体" w:cs="Times New Roman"/>
                <w:color w:val="auto"/>
                <w:spacing w:val="-2"/>
                <w:sz w:val="24"/>
                <w:szCs w:val="24"/>
                <w:lang w:val="en-US" w:eastAsia="zh-CN"/>
              </w:rPr>
              <w:t>重点</w:t>
            </w:r>
            <w:r>
              <w:rPr>
                <w:rFonts w:hint="eastAsia" w:ascii="Times New Roman" w:hAnsi="Times New Roman" w:eastAsia="宋体" w:cs="Times New Roman"/>
                <w:color w:val="auto"/>
                <w:spacing w:val="-2"/>
                <w:sz w:val="24"/>
                <w:szCs w:val="24"/>
              </w:rPr>
              <w:t>管控单元）</w:t>
            </w:r>
            <w:r>
              <w:rPr>
                <w:rFonts w:ascii="Times New Roman" w:hAnsi="Times New Roman" w:eastAsia="宋体" w:cs="Times New Roman"/>
                <w:color w:val="auto"/>
                <w:sz w:val="24"/>
                <w:szCs w:val="24"/>
              </w:rPr>
              <w:t>，具体分析如下表</w:t>
            </w:r>
            <w:r>
              <w:rPr>
                <w:rFonts w:hint="eastAsia" w:ascii="Times New Roman" w:hAnsi="Times New Roman" w:eastAsia="宋体" w:cs="Times New Roman"/>
                <w:color w:val="auto"/>
                <w:sz w:val="24"/>
                <w:szCs w:val="24"/>
              </w:rPr>
              <w:t>。本项目与江苏省生态环境分区管控动态更新成果位置关系见附图</w:t>
            </w:r>
            <w:r>
              <w:rPr>
                <w:rFonts w:hint="eastAsia" w:cs="Times New Roman"/>
                <w:color w:val="auto"/>
                <w:sz w:val="24"/>
                <w:szCs w:val="24"/>
                <w:lang w:val="en-US" w:eastAsia="zh-CN"/>
              </w:rPr>
              <w:t>3</w:t>
            </w:r>
            <w:r>
              <w:rPr>
                <w:rFonts w:hint="eastAsia" w:cs="Times New Roman"/>
                <w:color w:val="auto"/>
                <w:sz w:val="24"/>
                <w:szCs w:val="24"/>
                <w:lang w:eastAsia="zh-CN"/>
              </w:rPr>
              <w:t>。</w:t>
            </w:r>
          </w:p>
          <w:p>
            <w:pPr>
              <w:adjustRightInd w:val="0"/>
              <w:spacing w:line="240" w:lineRule="auto"/>
              <w:jc w:val="center"/>
              <w:rPr>
                <w:rFonts w:ascii="Times New Roman" w:hAnsi="Times New Roman" w:eastAsia="宋体" w:cs="Times New Roman"/>
                <w:color w:val="auto"/>
                <w:sz w:val="24"/>
                <w:szCs w:val="24"/>
              </w:rPr>
            </w:pPr>
            <w:r>
              <w:rPr>
                <w:rFonts w:hint="eastAsia" w:ascii="Times New Roman" w:hAnsi="Times New Roman" w:eastAsia="宋体" w:cs="Times New Roman"/>
                <w:b/>
                <w:bCs/>
                <w:color w:val="auto"/>
                <w:sz w:val="24"/>
                <w:szCs w:val="24"/>
              </w:rPr>
              <w:t>表1-</w:t>
            </w:r>
            <w:r>
              <w:rPr>
                <w:rFonts w:hint="eastAsia" w:eastAsia="宋体" w:cs="Times New Roman"/>
                <w:b/>
                <w:bCs/>
                <w:color w:val="auto"/>
                <w:sz w:val="24"/>
                <w:szCs w:val="24"/>
                <w:lang w:val="en-US" w:eastAsia="zh-CN"/>
              </w:rPr>
              <w:t>6</w:t>
            </w:r>
            <w:r>
              <w:rPr>
                <w:rFonts w:hint="eastAsia" w:ascii="Times New Roman" w:hAnsi="Times New Roman" w:eastAsia="宋体" w:cs="Times New Roman"/>
                <w:b/>
                <w:bCs/>
                <w:color w:val="auto"/>
                <w:sz w:val="24"/>
                <w:szCs w:val="24"/>
              </w:rPr>
              <w:t xml:space="preserve"> 与《江苏省2023年度生态环境分区管控动态更新成果》相符性分析</w:t>
            </w:r>
          </w:p>
          <w:tbl>
            <w:tblPr>
              <w:tblStyle w:val="26"/>
              <w:tblW w:w="7897"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22"/>
              <w:gridCol w:w="4466"/>
              <w:gridCol w:w="2245"/>
              <w:gridCol w:w="46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管控类别</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管控要求</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本项目情况</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eastAsia" w:ascii="Times New Roman" w:hAnsi="Times New Roman" w:eastAsia="宋体" w:cs="Times New Roman"/>
                      <w:b/>
                      <w:bCs/>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相符性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97" w:type="dxa"/>
                  <w:gridSpan w:val="4"/>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长江流域生态环境准入清单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空间布局约束</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始终把长江生态修复放在首位，坚持共抓大保护、不搞大开发，引导长江流域产业转型升级和布局优化调整，实现科学发展、有序发展、高质量发展。2.加强生态空间保护，禁止在国家确定的生态保护红线和永久基本农田范围内，投资建设除国家重大战略资源勘查项目、生态保护修复和地质灾害治理项目、重大基础设施项目、军事国防项目以及农民基本生产生活等必要的民生项目以外的项目。3.禁止在沿江地区新建或扩建化学工业园区，禁止新建或扩建以大宗进口油气资源为原料 的石油加工、石油化工、基础有机无机化工、煤化工项目；禁止在长江干流和主要支流岸线1公里范围内新建危化品码头。4.强化港口布局优化，禁止建设不符合国家港</w:t>
                  </w:r>
                  <w:r>
                    <w:rPr>
                      <w:rFonts w:hint="eastAsia" w:ascii="Times New Roman" w:hAnsi="Times New Roman" w:eastAsia="宋体" w:cs="Times New Roman"/>
                      <w:color w:val="auto"/>
                      <w:kern w:val="0"/>
                      <w:sz w:val="21"/>
                      <w:szCs w:val="21"/>
                      <w:highlight w:val="none"/>
                      <w:lang w:val="en-US" w:eastAsia="zh-CN" w:bidi="ar-SA"/>
                    </w:rPr>
                    <w:t>口布局规划和《江苏省沿江沿海港口布局规划 （2015-2030年）》《江苏省内河港口布局规划（2017-2035年）》的码头项目，禁止建设未纳入《长江干线过江通道布局规划》的过江干线通道项目。5.禁止新建独立焦化项目。</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本项目不在国家确定的生态保护红线和永久基本农田范围内，不属于长江流域内禁止建设类项目，不属于化工行业，不涉及港口码头，不涉及焦化。</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污染物排放管</w:t>
                  </w:r>
                </w:p>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根据《江苏省长江水污染防治条例》实施污染物总量控制制度。2.全面加强和规范长江入河排污口管理，有效管控入河污染物排放，形成权责清晰、监控到位、管理规范的长江入河排污口监管体系，加快改善长江水环境质量。</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eastAsia" w:ascii="Times New Roman" w:hAnsi="Times New Roman" w:eastAsia="宋体" w:cs="Times New Roman"/>
                      <w:color w:val="auto"/>
                      <w:sz w:val="21"/>
                      <w:szCs w:val="21"/>
                    </w:rPr>
                    <w:t>本项目排污许可类别为登记管理，无需申请污染物排放总量</w:t>
                  </w:r>
                  <w:r>
                    <w:rPr>
                      <w:rFonts w:hint="default" w:ascii="Times New Roman" w:hAnsi="Times New Roman" w:eastAsia="宋体" w:cs="Times New Roman"/>
                      <w:color w:val="auto"/>
                      <w:kern w:val="0"/>
                      <w:sz w:val="21"/>
                      <w:szCs w:val="21"/>
                      <w:highlight w:val="none"/>
                      <w:lang w:val="en-US" w:eastAsia="en-US" w:bidi="ar-SA"/>
                    </w:rPr>
                    <w:t>。</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环境风险防控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1. 防范沿江环境风险。深化沿江石化、化工、医药、纺织、印染、化纤、危化品和石油类仓储、涉重金属和危险废物处置等重点企业环境风险防控。</w:t>
                  </w:r>
                </w:p>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2.加强饮用水水源保护。优化水源保护区划定，推动饮用水水源地规范化建设。</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本项目不属于重点行业。不涉及饮用水水源保护地。符合要求。</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资源利用效率要求</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禁止在长江干支流岸线管控范围内新建、扩建化工园区和化工项目。禁止在长江干流岸线和重要支流岸线管控范围内新建、改建、扩建尾矿库，但是以提升安全、生态环境保护水平为目的的改建除外。</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不涉及</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97" w:type="dxa"/>
                  <w:gridSpan w:val="4"/>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淮河流域生态环境准入清单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空间布局约束</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禁止在淮河流域新建化学制浆造纸企业，禁止在淮河流域新建制革、化工、印染、电镀、酿造等污染严重的小型企业。2.落实《江苏省通榆河水污染防治条例》，在通榆河一级保护区、二级保护区，禁止新建、改建、扩建制浆、造纸、化工、制革、酿造、染料、印染、电镀、炼油、铅酸蓄电池和排放水污染物的黑色金属冶炼及压延加工项目、有色金属冶炼及压延加工项目、金属制品项目等 污染环境的项目。3.在通榆河一级保护区，禁止新建、扩建直接或者间接向水体排放污染物的项目，禁止建设工业固体废物集中贮存、利用、处置设施或者场所以及城市生活垃圾填埋场，禁止新建规模化畜禽养殖场。</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1.本项目不属于化学制浆造纸、制革、化工、印染、电镀、酿造行业； 2.本项目不在通榆河一级保护区、二级保护区范围内；</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color w:val="auto"/>
                      <w:kern w:val="0"/>
                      <w:sz w:val="21"/>
                      <w:szCs w:val="21"/>
                      <w:highlight w:val="none"/>
                      <w:lang w:val="en-US" w:eastAsia="zh-CN" w:bidi="ar-SA"/>
                    </w:rPr>
                    <w:t>污染物排放管</w:t>
                  </w:r>
                </w:p>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按照《淮河流域水污染防治暂行条例》实施排污总量控制制度。</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eastAsia" w:ascii="Times New Roman" w:hAnsi="Times New Roman" w:eastAsia="宋体" w:cs="Times New Roman"/>
                      <w:color w:val="auto"/>
                      <w:sz w:val="21"/>
                      <w:szCs w:val="21"/>
                    </w:rPr>
                    <w:t>本项目排污许可类别为登记管理，无需申请污染物排放总量</w:t>
                  </w:r>
                  <w:r>
                    <w:rPr>
                      <w:rFonts w:hint="default" w:ascii="Times New Roman" w:hAnsi="Times New Roman" w:eastAsia="宋体" w:cs="Times New Roman"/>
                      <w:color w:val="auto"/>
                      <w:kern w:val="0"/>
                      <w:sz w:val="21"/>
                      <w:szCs w:val="21"/>
                      <w:highlight w:val="none"/>
                      <w:lang w:val="en-US" w:eastAsia="en-US" w:bidi="ar-SA"/>
                    </w:rPr>
                    <w:t>。</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环境风险防控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禁止运输剧毒化学品以及国家规定禁止通过内河运输的其他危险化学品的船舶进入通榆河及主要供水河道。</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本项目不涉及剧毒化学品以及国家规定禁止通过内河运输的其他危险化学品。</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176" w:hRule="atLeast"/>
              </w:trPr>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资源利用效率要求</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限制缺水地区发展耗水型产业，调整缺水地区的产业结构，严格控制高耗水、高耗能和重污染的建设项目。</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本项目所在地不属于缺水地区，不属于高耗水、高耗能和重污染的建设项目。</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97" w:type="dxa"/>
                  <w:gridSpan w:val="4"/>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b/>
                      <w:bCs/>
                      <w:color w:val="auto"/>
                      <w:kern w:val="0"/>
                      <w:sz w:val="21"/>
                      <w:szCs w:val="21"/>
                      <w:highlight w:val="none"/>
                      <w:lang w:val="en-US" w:eastAsia="zh-CN" w:bidi="ar-SA"/>
                    </w:rPr>
                    <w:t>沿海地区生态环境准入清单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空间布局约束</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禁止在沿海陆域内新建不具备有效治理措施的化学制浆造纸、化工、印染、制革、电镀、酿造、炼油、岸边冲滩拆船以及其他严重污染海洋环境的工业生产项目。2.沿海地区严格控制新建医药、农药和染料中间体项目。</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不涉及</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污染物排放管控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按照《江苏省海洋环境保护条例》实施重点海域排污总量控制制度。</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eastAsia" w:ascii="Times New Roman" w:hAnsi="Times New Roman" w:eastAsia="宋体" w:cs="Times New Roman"/>
                      <w:color w:val="auto"/>
                      <w:sz w:val="21"/>
                      <w:szCs w:val="21"/>
                    </w:rPr>
                    <w:t>本项目排污许可类别为登记管理，无需申请污染物排放总量</w:t>
                  </w:r>
                  <w:r>
                    <w:rPr>
                      <w:rFonts w:hint="default" w:ascii="Times New Roman" w:hAnsi="Times New Roman" w:eastAsia="宋体" w:cs="Times New Roman"/>
                      <w:color w:val="auto"/>
                      <w:kern w:val="0"/>
                      <w:sz w:val="21"/>
                      <w:szCs w:val="21"/>
                      <w:highlight w:val="none"/>
                      <w:lang w:val="en-US" w:eastAsia="en-US" w:bidi="ar-SA"/>
                    </w:rPr>
                    <w:t>。</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环境风险防控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1.禁止向海洋倾倒汞及汞化合物、强放射性物质等国家规定的一类废弃物。2.加强对赤潮、浒苔绿潮、溢油、危险化学品泄漏及海洋核辐射等海上突发性海洋灾害事故的应急监视，防治突发性海洋环境灾害。3.沿海地区应加强危险货物运输风险、船舶污染事故风险应急管控。</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不涉及</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资源利用效率要求</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both"/>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至2025年，大陆自然岸线保有率不低于36.1%。</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不涉及</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97" w:type="dxa"/>
                  <w:gridSpan w:val="4"/>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eastAsia="宋体" w:cs="Times New Roman"/>
                      <w:b/>
                      <w:bCs/>
                      <w:color w:val="auto"/>
                      <w:kern w:val="0"/>
                      <w:sz w:val="21"/>
                      <w:szCs w:val="21"/>
                      <w:highlight w:val="none"/>
                      <w:lang w:val="en-US" w:eastAsia="zh-CN" w:bidi="ar-SA"/>
                    </w:rPr>
                    <w:t>如皋经济技术开发区生态环境准入清单</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空间布局约束</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en-US" w:bidi="ar-SA"/>
                    </w:rPr>
                    <w:t>1.重点发展电子电器、机械、轮胎汽配、特色食品、纺织服装、新能源新材料等产业。 2.纺织服饰禁止引入印染，新能源新材料禁止引入含化工工艺。</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本项目建设符合如皋经济技术开发区发展规划。本项目的建设符合国家、地方现行产业政策要求，项目建设不占用永久基本农田。</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污染物排放管控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en-US" w:bidi="ar-SA"/>
                    </w:rPr>
                    <w:t>1水环境污染物排放量：废水排水量、化学需氧量、氨氮、总磷分别不得超过：2069.55万吨/年、1088.43吨/年、121.36吨/年、11.24吨/年。 2.大气污染物排放量：二氧化硫、粉尘分别不得超过：660.98吨/年、23.09吨/年。3.落实工业园区（集中区）污染物排放限值限量管理要求，实行园区主要污染物排放浓度、排放总量双控。</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eastAsia" w:ascii="Times New Roman" w:hAnsi="Times New Roman" w:eastAsia="宋体" w:cs="Times New Roman"/>
                      <w:color w:val="auto"/>
                      <w:sz w:val="21"/>
                      <w:szCs w:val="21"/>
                    </w:rPr>
                    <w:t>本项目排污许可类别为登记管理，无需申请污染物排放总量</w:t>
                  </w:r>
                  <w:r>
                    <w:rPr>
                      <w:rFonts w:hint="default" w:ascii="Times New Roman" w:hAnsi="Times New Roman" w:eastAsia="宋体" w:cs="Times New Roman"/>
                      <w:color w:val="auto"/>
                      <w:kern w:val="0"/>
                      <w:sz w:val="21"/>
                      <w:szCs w:val="21"/>
                      <w:highlight w:val="none"/>
                      <w:lang w:val="en-US" w:eastAsia="en-US" w:bidi="ar-SA"/>
                    </w:rPr>
                    <w:t>。</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环境风险防控</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en-US" w:bidi="ar-SA"/>
                    </w:rPr>
                    <w:t>1.建立健全区域环境风险防范体系和生态安全保障体系，建立应急响应联动机制，完善应急预案，提升开发区环境风险防控和应急响应能力，保障区域环境安全。 2.建立完善包括环境空气、地表水、地下水、土壤、底泥等环境要素的监控体系，做好长期跟踪监测与管理。 3.按照相关管理要求申报、处置废弃危险化学品。强化对危险废物的收集、贮存和处置的监督管理，实现危险废物监管无盲区、无死角。 4.加强区内重要风险源以及危险化学品储运的管控。</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项目建成后，企业落实各项风险防范措施，完备应急物资，定期进行应急演练。</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22"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资源利用效率要求</w:t>
                  </w:r>
                </w:p>
              </w:tc>
              <w:tc>
                <w:tcPr>
                  <w:tcW w:w="4466"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en-US" w:bidi="ar-SA"/>
                    </w:rPr>
                    <w:t>1.严格园区产业环境准入，引进项目的生产工艺、设备、污染治理技术，以及单位产品能耗、物耗、污染物排放和资源利用率均需达到同行业国际先进水平。 2.严格执行《关于划定高污染燃料禁燃区的通知》（皋政发〔2013〕162号）的相关要求，落实相应的禁燃区管控要求。禁止销售使用燃料为“Ⅱ类”（较严），具体包括：除单台出力大于等于20蒸吨/小时锅炉以外燃用的煤炭及其制品；石油焦、油页岩、原油、重油、渣油、煤焦油。</w:t>
                  </w:r>
                </w:p>
              </w:tc>
              <w:tc>
                <w:tcPr>
                  <w:tcW w:w="2245"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本项目利用现有土地生产，不新增用地。</w:t>
                  </w:r>
                </w:p>
              </w:tc>
              <w:tc>
                <w:tcPr>
                  <w:tcW w:w="464" w:type="dxa"/>
                  <w:tcBorders>
                    <w:tl2br w:val="nil"/>
                    <w:tr2bl w:val="nil"/>
                  </w:tcBorders>
                  <w:noWrap w:val="0"/>
                  <w:vAlign w:val="center"/>
                </w:tcPr>
                <w:p>
                  <w:pPr>
                    <w:keepNext w:val="0"/>
                    <w:keepLines w:val="0"/>
                    <w:pageBreakBefore w:val="0"/>
                    <w:widowControl w:val="0"/>
                    <w:kinsoku/>
                    <w:wordWrap/>
                    <w:overflowPunct/>
                    <w:topLinePunct w:val="0"/>
                    <w:autoSpaceDE w:val="0"/>
                    <w:autoSpaceDN/>
                    <w:bidi w:val="0"/>
                    <w:adjustRightInd w:val="0"/>
                    <w:snapToGrid w:val="0"/>
                    <w:spacing w:beforeAutospacing="0" w:afterAutospacing="0" w:line="240" w:lineRule="auto"/>
                    <w:ind w:left="0" w:leftChars="0" w:right="0" w:rightChars="0"/>
                    <w:jc w:val="center"/>
                    <w:textAlignment w:val="auto"/>
                    <w:rPr>
                      <w:rFonts w:hint="default" w:ascii="Times New Roman" w:hAnsi="Times New Roman" w:eastAsia="宋体" w:cs="Times New Roman"/>
                      <w:color w:val="auto"/>
                      <w:kern w:val="0"/>
                      <w:sz w:val="21"/>
                      <w:szCs w:val="21"/>
                      <w:highlight w:val="none"/>
                      <w:lang w:val="en-US" w:eastAsia="en-US" w:bidi="ar-SA"/>
                    </w:rPr>
                  </w:pPr>
                  <w:r>
                    <w:rPr>
                      <w:rFonts w:hint="default" w:ascii="Times New Roman" w:hAnsi="Times New Roman" w:eastAsia="宋体" w:cs="Times New Roman"/>
                      <w:color w:val="auto"/>
                      <w:kern w:val="0"/>
                      <w:sz w:val="21"/>
                      <w:szCs w:val="21"/>
                      <w:highlight w:val="none"/>
                      <w:lang w:val="en-US" w:eastAsia="zh-CN" w:bidi="ar-SA"/>
                    </w:rPr>
                    <w:t>相符</w:t>
                  </w:r>
                </w:p>
              </w:tc>
            </w:tr>
          </w:tbl>
          <w:p>
            <w:pPr>
              <w:spacing w:line="360" w:lineRule="auto"/>
              <w:ind w:firstLine="420"/>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综上所述，本项目符合《江苏省2023年度生态环境分区管控动态更新成果》的要求。</w:t>
            </w:r>
          </w:p>
          <w:p>
            <w:pPr>
              <w:adjustRightInd w:val="0"/>
              <w:snapToGrid w:val="0"/>
              <w:spacing w:line="360" w:lineRule="auto"/>
              <w:ind w:firstLine="482"/>
              <w:rPr>
                <w:rFonts w:hint="default" w:ascii="Times New Roman" w:hAnsi="Times New Roman" w:cs="Times New Roman"/>
                <w:color w:val="auto"/>
                <w:sz w:val="24"/>
                <w:szCs w:val="24"/>
                <w:highlight w:val="none"/>
              </w:rPr>
            </w:pPr>
            <w:r>
              <w:rPr>
                <w:rFonts w:hint="eastAsia" w:cs="Times New Roman"/>
                <w:color w:val="auto"/>
                <w:sz w:val="24"/>
                <w:szCs w:val="24"/>
                <w:highlight w:val="none"/>
                <w:lang w:val="en-US" w:eastAsia="zh-CN"/>
              </w:rPr>
              <w:t>④</w:t>
            </w:r>
            <w:r>
              <w:rPr>
                <w:rFonts w:hint="default" w:ascii="Times New Roman" w:hAnsi="Times New Roman" w:cs="Times New Roman"/>
                <w:color w:val="auto"/>
                <w:sz w:val="24"/>
                <w:szCs w:val="24"/>
                <w:highlight w:val="none"/>
              </w:rPr>
              <w:t>与《省政府关于印发江苏省“三线一单”生态环境分区管控方案的通知》（苏政发</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2020</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49号）相符性分析</w:t>
            </w:r>
          </w:p>
          <w:p>
            <w:pPr>
              <w:adjustRightInd w:val="0"/>
              <w:snapToGrid w:val="0"/>
              <w:spacing w:line="360" w:lineRule="auto"/>
              <w:ind w:firstLine="439" w:firstLineChars="183"/>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根据《省政府关于印发江苏省“三线一单”生态环境分区管控方案的通知》（苏政发</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2020</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49号），项目位于长江流域，属于重点区域（流域），本项目建设符合《江苏省“三线一单”生态环境分区管控方案》的要求。具体分析如下表1-</w:t>
            </w:r>
            <w:r>
              <w:rPr>
                <w:rFonts w:hint="eastAsia" w:cs="Times New Roman"/>
                <w:color w:val="auto"/>
                <w:sz w:val="24"/>
                <w:szCs w:val="24"/>
                <w:highlight w:val="none"/>
                <w:lang w:val="en-US" w:eastAsia="zh-CN"/>
              </w:rPr>
              <w:t>7</w:t>
            </w:r>
            <w:r>
              <w:rPr>
                <w:rFonts w:hint="default" w:ascii="Times New Roman" w:hAnsi="Times New Roman" w:cs="Times New Roman"/>
                <w:color w:val="auto"/>
                <w:sz w:val="24"/>
                <w:szCs w:val="24"/>
                <w:highlight w:val="none"/>
              </w:rPr>
              <w:t>。</w:t>
            </w:r>
          </w:p>
          <w:p>
            <w:pPr>
              <w:pStyle w:val="42"/>
              <w:adjustRightInd w:val="0"/>
              <w:snapToGrid w:val="0"/>
              <w:ind w:firstLine="482"/>
              <w:rPr>
                <w:rFonts w:hint="default" w:ascii="Times New Roman" w:hAnsi="Times New Roman" w:cs="Times New Roman"/>
                <w:bCs/>
                <w:color w:val="auto"/>
                <w:sz w:val="24"/>
                <w:szCs w:val="32"/>
                <w:highlight w:val="none"/>
              </w:rPr>
            </w:pPr>
            <w:r>
              <w:rPr>
                <w:rFonts w:hint="default" w:ascii="Times New Roman" w:hAnsi="Times New Roman" w:cs="Times New Roman"/>
                <w:bCs/>
                <w:color w:val="auto"/>
                <w:sz w:val="24"/>
                <w:szCs w:val="32"/>
                <w:highlight w:val="none"/>
              </w:rPr>
              <w:t>表1</w:t>
            </w:r>
            <w:r>
              <w:rPr>
                <w:rFonts w:hint="default" w:ascii="Times New Roman" w:hAnsi="Times New Roman" w:cs="Times New Roman"/>
                <w:bCs/>
                <w:color w:val="auto"/>
                <w:sz w:val="24"/>
                <w:szCs w:val="32"/>
                <w:highlight w:val="none"/>
                <w:lang w:val="en-US" w:eastAsia="zh-CN"/>
              </w:rPr>
              <w:t>-</w:t>
            </w:r>
            <w:r>
              <w:rPr>
                <w:rFonts w:hint="eastAsia" w:cs="Times New Roman"/>
                <w:bCs/>
                <w:color w:val="auto"/>
                <w:sz w:val="24"/>
                <w:szCs w:val="32"/>
                <w:highlight w:val="none"/>
                <w:lang w:val="en-US" w:eastAsia="zh-CN"/>
              </w:rPr>
              <w:t>7</w:t>
            </w:r>
            <w:r>
              <w:rPr>
                <w:rFonts w:hint="default" w:ascii="Times New Roman" w:hAnsi="Times New Roman" w:cs="Times New Roman"/>
                <w:bCs/>
                <w:color w:val="auto"/>
                <w:sz w:val="24"/>
                <w:szCs w:val="32"/>
                <w:highlight w:val="none"/>
              </w:rPr>
              <w:t>与江苏省“三线一单”生态环境分区管控方案相符性</w:t>
            </w:r>
          </w:p>
          <w:tbl>
            <w:tblPr>
              <w:tblStyle w:val="25"/>
              <w:tblW w:w="7897" w:type="dxa"/>
              <w:jc w:val="center"/>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904"/>
              <w:gridCol w:w="4844"/>
              <w:gridCol w:w="2149"/>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904"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管控类别</w:t>
                  </w:r>
                </w:p>
              </w:tc>
              <w:tc>
                <w:tcPr>
                  <w:tcW w:w="4844"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重点管控要求</w:t>
                  </w:r>
                </w:p>
              </w:tc>
              <w:tc>
                <w:tcPr>
                  <w:tcW w:w="2149"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相符性分析</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90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空间布局约束</w:t>
                  </w:r>
                </w:p>
              </w:tc>
              <w:tc>
                <w:tcPr>
                  <w:tcW w:w="4844"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1、始终把长江生态修复放在首位，坚持共抓转型升级和布局优化调整，实现科学发展、有序发展、高质量发展。</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加强生态空间保护，禁止在国家确定的生态保护红线和永久基本农田范围内，投资建设除国家重大战略资源勘查项目、生态保护修复和地质灾害治理项目、重大基础设施项目、军事国防项目以及农民基本生产生活等必要的民生项目以外的项目。</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3、禁止在沿江地区新建或扩建化学工业园区，禁止新建或扩建以大宗进口油气资源为原料的石油加工、石油化工、基础有机无机化工、煤化工项目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禁止在长江干流和主要支流岸线1公里范围内新建危化品码头。</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4、强化港口布局优化，禁止建设不符合国家港口布局规划和《江苏省沿江沿海港口布局规划（2015</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2030年）》《江苏省内河港口布局规划（2017-2035）》的码头项目，禁止建设未纳入《长江干线过江通道布局规划》的过江干线通道项目。</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5、禁止新建独立焦化项目。</w:t>
                  </w:r>
                </w:p>
              </w:tc>
              <w:tc>
                <w:tcPr>
                  <w:tcW w:w="2149" w:type="dxa"/>
                  <w:tcBorders>
                    <w:tl2br w:val="nil"/>
                    <w:tr2bl w:val="nil"/>
                  </w:tcBorders>
                  <w:vAlign w:val="center"/>
                </w:tcPr>
                <w:p>
                  <w:pPr>
                    <w:autoSpaceDE w:val="0"/>
                    <w:autoSpaceDN w:val="0"/>
                    <w:adjustRightIn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本项目不涉及生态保护红线、永久基本农田</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本项目不属于化工园区、石油加工、石油化工、基础有机无机化工、煤化工、危化品码头项目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本项目不属于码头项目、过江干线通道项目</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本项目不属于独立焦化项目。</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90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污染物排放管控</w:t>
                  </w:r>
                </w:p>
              </w:tc>
              <w:tc>
                <w:tcPr>
                  <w:tcW w:w="4844"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1、根据《江苏省长江水污染防治条例》实施污染物总量控制制度。</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2、全面加强和规范长江入河排污口管理，有效管控入河污染物排放，形成权责清晰、监控到位、管理规范的长江入河排污口监管体系，加快改善长江水环境质量。</w:t>
                  </w:r>
                </w:p>
              </w:tc>
              <w:tc>
                <w:tcPr>
                  <w:tcW w:w="2149"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本项目总量在如皋市内平衡</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本项目不涉及长江入河排污口。</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90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环境风险防控</w:t>
                  </w:r>
                </w:p>
              </w:tc>
              <w:tc>
                <w:tcPr>
                  <w:tcW w:w="4844"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1、防范沿江环境风险。深化沿江石化、化工、</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医药、纺织、印染、化纤、危化品和石油类仓储、</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涉重金属和危险废物处置等重点企业环境风险防控。</w:t>
                  </w:r>
                </w:p>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2、加强饮用水水源保护。优化水源保护区划定，推动饮用水水源地规范化建设。</w:t>
                  </w:r>
                </w:p>
              </w:tc>
              <w:tc>
                <w:tcPr>
                  <w:tcW w:w="2149"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本项目不属于石化、化工、医药、纺织、印染、化纤、危化品和石油类仓储、涉重金属和危险废物处置。</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jc w:val="center"/>
              </w:trPr>
              <w:tc>
                <w:tcPr>
                  <w:tcW w:w="904"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资源利用效率要求</w:t>
                  </w:r>
                </w:p>
              </w:tc>
              <w:tc>
                <w:tcPr>
                  <w:tcW w:w="4844" w:type="dxa"/>
                  <w:tcBorders>
                    <w:tl2br w:val="nil"/>
                    <w:tr2bl w:val="nil"/>
                  </w:tcBorders>
                  <w:vAlign w:val="center"/>
                </w:tcPr>
                <w:p>
                  <w:pPr>
                    <w:autoSpaceDE w:val="0"/>
                    <w:autoSpaceDN w:val="0"/>
                    <w:adjustRightIn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到2020年长江干支流自然岸线保有率达到国家要求。</w:t>
                  </w:r>
                </w:p>
              </w:tc>
              <w:tc>
                <w:tcPr>
                  <w:tcW w:w="2149" w:type="dxa"/>
                  <w:tcBorders>
                    <w:tl2br w:val="nil"/>
                    <w:tr2bl w:val="nil"/>
                  </w:tcBorders>
                  <w:vAlign w:val="center"/>
                </w:tcPr>
                <w:p>
                  <w:pPr>
                    <w:autoSpaceDE w:val="0"/>
                    <w:autoSpaceDN w:val="0"/>
                    <w:adjustRightIn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本项目不在长江干支流岸线范围内。</w:t>
                  </w:r>
                </w:p>
              </w:tc>
            </w:tr>
          </w:tbl>
          <w:p>
            <w:pPr>
              <w:adjustRightInd w:val="0"/>
              <w:snapToGrid w:val="0"/>
              <w:spacing w:line="360" w:lineRule="auto"/>
              <w:ind w:firstLine="482"/>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⑤</w:t>
            </w:r>
            <w:r>
              <w:rPr>
                <w:rFonts w:hint="default" w:ascii="Times New Roman" w:hAnsi="Times New Roman" w:cs="Times New Roman"/>
                <w:color w:val="auto"/>
                <w:sz w:val="24"/>
                <w:szCs w:val="32"/>
                <w:highlight w:val="none"/>
              </w:rPr>
              <w:t>与《市政府办公室关于印发南通市“三线一单”生态环境分区管控实施方案的通知》（通政办规</w:t>
            </w:r>
            <w:r>
              <w:rPr>
                <w:rFonts w:hint="default" w:ascii="Times New Roman" w:hAnsi="Times New Roman" w:cs="Times New Roman"/>
                <w:color w:val="auto"/>
                <w:sz w:val="24"/>
                <w:szCs w:val="28"/>
                <w:highlight w:val="none"/>
              </w:rPr>
              <w:t>[2021]</w:t>
            </w:r>
            <w:r>
              <w:rPr>
                <w:rFonts w:hint="default" w:ascii="Times New Roman" w:hAnsi="Times New Roman" w:cs="Times New Roman"/>
                <w:color w:val="auto"/>
                <w:sz w:val="24"/>
                <w:szCs w:val="32"/>
                <w:highlight w:val="none"/>
              </w:rPr>
              <w:t>4号）</w:t>
            </w:r>
          </w:p>
          <w:p>
            <w:pPr>
              <w:adjustRightInd w:val="0"/>
              <w:snapToGrid w:val="0"/>
              <w:spacing w:line="360" w:lineRule="auto"/>
              <w:ind w:firstLine="439" w:firstLineChars="183"/>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根据文件中南通市域生态环境总体准入管控要求，具体分析如下表1-</w:t>
            </w:r>
            <w:r>
              <w:rPr>
                <w:rFonts w:hint="eastAsia" w:cs="Times New Roman"/>
                <w:color w:val="auto"/>
                <w:sz w:val="24"/>
                <w:szCs w:val="32"/>
                <w:highlight w:val="none"/>
                <w:lang w:val="en-US" w:eastAsia="zh-CN"/>
              </w:rPr>
              <w:t>7</w:t>
            </w:r>
            <w:r>
              <w:rPr>
                <w:rFonts w:hint="default" w:ascii="Times New Roman" w:hAnsi="Times New Roman" w:cs="Times New Roman"/>
                <w:color w:val="auto"/>
                <w:sz w:val="24"/>
                <w:szCs w:val="32"/>
                <w:highlight w:val="none"/>
              </w:rPr>
              <w:t>。</w:t>
            </w:r>
          </w:p>
          <w:p>
            <w:pPr>
              <w:adjustRightInd w:val="0"/>
              <w:snapToGrid w:val="0"/>
              <w:spacing w:line="360" w:lineRule="auto"/>
              <w:ind w:firstLine="439" w:firstLineChars="183"/>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本项目的建设符合《市政府办公室关于印发南通市“三线一单”生态环境分区管控实施方案的通知》（通政办规[2021]4号）的相关要求。</w:t>
            </w:r>
          </w:p>
          <w:p>
            <w:pPr>
              <w:pStyle w:val="42"/>
              <w:adjustRightInd w:val="0"/>
              <w:snapToGrid w:val="0"/>
              <w:ind w:firstLine="482"/>
              <w:rPr>
                <w:rFonts w:hint="default" w:ascii="Times New Roman" w:hAnsi="Times New Roman" w:cs="Times New Roman"/>
                <w:bCs/>
                <w:color w:val="auto"/>
                <w:sz w:val="24"/>
                <w:szCs w:val="32"/>
                <w:highlight w:val="none"/>
              </w:rPr>
            </w:pPr>
            <w:r>
              <w:rPr>
                <w:rFonts w:hint="default" w:ascii="Times New Roman" w:hAnsi="Times New Roman" w:cs="Times New Roman"/>
                <w:bCs/>
                <w:color w:val="auto"/>
                <w:sz w:val="24"/>
                <w:szCs w:val="32"/>
                <w:highlight w:val="none"/>
              </w:rPr>
              <w:t>表1-</w:t>
            </w:r>
            <w:r>
              <w:rPr>
                <w:rFonts w:hint="eastAsia" w:cs="Times New Roman"/>
                <w:bCs/>
                <w:color w:val="auto"/>
                <w:sz w:val="24"/>
                <w:szCs w:val="32"/>
                <w:highlight w:val="none"/>
                <w:lang w:val="en-US" w:eastAsia="zh-CN"/>
              </w:rPr>
              <w:t>7</w:t>
            </w:r>
            <w:r>
              <w:rPr>
                <w:rFonts w:hint="default" w:ascii="Times New Roman" w:hAnsi="Times New Roman" w:cs="Times New Roman"/>
                <w:bCs/>
                <w:color w:val="auto"/>
                <w:sz w:val="24"/>
                <w:szCs w:val="32"/>
                <w:highlight w:val="none"/>
              </w:rPr>
              <w:t>与南通市“三线一单”生态环境分区管控方案相符性</w:t>
            </w:r>
          </w:p>
          <w:tbl>
            <w:tblPr>
              <w:tblStyle w:val="25"/>
              <w:tblW w:w="789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6"/>
              <w:gridCol w:w="5673"/>
              <w:gridCol w:w="14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66"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管控类别</w:t>
                  </w:r>
                </w:p>
              </w:tc>
              <w:tc>
                <w:tcPr>
                  <w:tcW w:w="5673"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重点管控要求</w:t>
                  </w:r>
                </w:p>
              </w:tc>
              <w:tc>
                <w:tcPr>
                  <w:tcW w:w="1458"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相符性分析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66"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空间布局约束</w:t>
                  </w:r>
                </w:p>
              </w:tc>
              <w:tc>
                <w:tcPr>
                  <w:tcW w:w="5673" w:type="dxa"/>
                  <w:tcBorders>
                    <w:tl2br w:val="nil"/>
                    <w:tr2bl w:val="nil"/>
                  </w:tcBorders>
                  <w:vAlign w:val="center"/>
                </w:tcPr>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1.严格执行《南通市长江经济带生态环境保护实施规划》（通政办发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42号）、《南通市“两减六治三提升”专项行动实施方案》（通政办发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2017</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55号）、《南通市打赢蓝天保卫战三年行动计划实施方案（2018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2020年）》（通政发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63号）、《南通市土壤污染防治工作方案》（通政发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2017</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20号）、《南通市水污染防治工作方案》（通政发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2016</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35号）等文件要求。</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2.严格执行《（长江经济带发展负面清单指南）江苏省实施细则（试行）》</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禁止引进列入《南通市工业结构调整指导目录》淘汰类的产业、列入《南通市工业产业技术改造负面清单》严格禁止的技术改造工艺装备及产品。</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3.根据《南通市长江经济带生态环境保护实施规划》（通政办发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42号），沿江地区不再新布局石化项目。禁止在长江干流自然保护区、风景名胜区等重点区域新建工业类和污染类项目，现有高风险企业实施限期治理。自然保护区核心区及缓冲区内禁止新建码头工程，逐步拆除已有的各类生产设施以及危化品、石油类泊位。禁止向内河和江海直达船舶销售渣油、重油以及不符合标准的普通柴油，禁止海船使用不符合要求的燃油。</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4.根据《省政府关于加强全省化工园区化工集中区规范化管理的通知》（苏政发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94号）、《市政府关于印发南通市化工产业环保准入指导意见的通知》（通政发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2014</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10号），化工园区、化工集中区处于长江干流和主要支流岸线1公里范围（以下简称沿江1公里范围）内的区域不得新建、扩建化工企业和项目（安全、环保、节能、信息化智能化、提升产品品质技术改造项目除外）。禁止建设属于国家、省和我市禁止类、淘汰类生产工艺、产品的项目。从严控制农药、传统医药、染料化工项目审批，原则上不再新上医药中间体、农药中间体、染料中间体项目（具有自主知识产权的关键中间体及高产出、低污染项目除外，分别由科技部门和环保部门认定）。沿江化工园区不再新增农药、染料化工企业。</w:t>
                  </w:r>
                </w:p>
              </w:tc>
              <w:tc>
                <w:tcPr>
                  <w:tcW w:w="1458"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对照南通市环境管控单元图，项目位于</w:t>
                  </w:r>
                  <w:r>
                    <w:rPr>
                      <w:rFonts w:hint="default" w:ascii="Times New Roman" w:hAnsi="Times New Roman" w:cs="Times New Roman"/>
                      <w:color w:val="auto"/>
                      <w:sz w:val="21"/>
                      <w:szCs w:val="21"/>
                      <w:highlight w:val="none"/>
                      <w:u w:val="none"/>
                      <w:lang w:val="en-US" w:eastAsia="zh-CN"/>
                    </w:rPr>
                    <w:t>如皋经济技术开发区城北街道起凤西路118号</w:t>
                  </w:r>
                  <w:r>
                    <w:rPr>
                      <w:rFonts w:hint="default" w:ascii="Times New Roman" w:hAnsi="Times New Roman" w:cs="Times New Roman"/>
                      <w:color w:val="auto"/>
                      <w:sz w:val="21"/>
                      <w:szCs w:val="21"/>
                      <w:highlight w:val="none"/>
                    </w:rPr>
                    <w:t>，属于重点管控单元，本项目用地为工业用地，且不位于生态红线内，不涉及化工项目，符合通政办规〔2021〕4号相关要求。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66"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污染物排放管控</w:t>
                  </w:r>
                </w:p>
              </w:tc>
              <w:tc>
                <w:tcPr>
                  <w:tcW w:w="5673" w:type="dxa"/>
                  <w:tcBorders>
                    <w:tl2br w:val="nil"/>
                    <w:tr2bl w:val="nil"/>
                  </w:tcBorders>
                  <w:vAlign w:val="center"/>
                </w:tcPr>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严格落实污染物排放总量控制制度，把主要污染物排放总量指标作为建设项目环境影响评价审批的前置条件。排放主要污染物的建设项目，在环境影响评价文件（以下简称环评文件）审批前，须取得主要污染物排放总量指标。</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2.用于建设项目的“可替代总量指标”不得低于建设项目所需替代的主要污染物排放总量指标。上一年度环境空气质量年平均浓度不达标的地区、水环境质量未达到要求的地区，相关污染物应按照建设项目所需替代的主要污染物排放总量指标的2倍进行削减替代（燃煤发电机组大气污染物排放浓度基本达到燃气轮机组排放限值的除外）</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细颗粒物（PM</w:t>
                  </w:r>
                  <w:r>
                    <w:rPr>
                      <w:rFonts w:hint="default" w:ascii="Times New Roman" w:hAnsi="Times New Roman" w:cs="Times New Roman"/>
                      <w:color w:val="auto"/>
                      <w:sz w:val="21"/>
                      <w:szCs w:val="21"/>
                      <w:highlight w:val="none"/>
                      <w:vertAlign w:val="subscript"/>
                    </w:rPr>
                    <w:t>2.5</w:t>
                  </w:r>
                  <w:r>
                    <w:rPr>
                      <w:rFonts w:hint="default" w:ascii="Times New Roman" w:hAnsi="Times New Roman" w:cs="Times New Roman"/>
                      <w:color w:val="auto"/>
                      <w:sz w:val="21"/>
                      <w:szCs w:val="21"/>
                      <w:highlight w:val="none"/>
                    </w:rPr>
                    <w:t>）年平均浓度不达标的地区，二氧化硫、氮氧化物、烟粉尘、挥发性有机物四项污染物均需进行2倍削减替代（燃煤发电机组大气污染物排放浓度基本达到燃气轮机组排放限值的除外）。</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3.落实《省政府办公厅关于印发江苏省排污权有偿使用和交易管理暂行办法的通知》（苏政办发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2017</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115号）及配套的实施细则中，关于新、改扩建项目获得排污权指标的相关要求。</w:t>
                  </w:r>
                </w:p>
              </w:tc>
              <w:tc>
                <w:tcPr>
                  <w:tcW w:w="1458"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本项目建成后将严格落实污染物总量控制，大气污染物总量在如皋市范围内平衡，故不会突破生态环境承载力。</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66"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环境风险防控</w:t>
                  </w:r>
                </w:p>
              </w:tc>
              <w:tc>
                <w:tcPr>
                  <w:tcW w:w="5673" w:type="dxa"/>
                  <w:tcBorders>
                    <w:tl2br w:val="nil"/>
                    <w:tr2bl w:val="nil"/>
                  </w:tcBorders>
                  <w:vAlign w:val="center"/>
                </w:tcPr>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1.落实《南通市突发环境事件应急预案（2020年修订版）》（通政办发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46号）。</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2.根据《南通市化工产业安全环保整治提升三年行动计划（2019</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2021年）》（通政办发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2019</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102号），保留提升的化工生产企业必须制订整治提升实施方案。严格危险废物处置管理。企业须在环评报告中准确全面评价固体废物的种类、数量、属性及产生、贮存、利用或处置情况。在安评报告中对固体废物贮存、利用处置环节进行安全性评价，并按标准规范设计、建造或改建贮存、利用处置危险废物的设施设备。生产企业应按照相关管理要求申报、处置废弃危险化学品。强化对危险废物的收集、贮存和处置的监督管理，实现危险废物监管无盲区、无死角。</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3.根据《关于加快全省化工钢铁煤电行业转型升级高质量发展的实施意见》（苏办发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32号），钢铁行业企业总平面布置必须符合国家规范要求，有较大变更的必须进行安全风险分析和评估论证。企业必须按规定设计、设置和运行自动控制系统，按规定实施全流程自动控制改造，有条件的鼓励创建智能工厂（装置）。企业涉及重大危险源的设施设备与周边重要公共建筑安全距离须符合国家相关标准要求。坚决淘汰超期服役的高风险设备和设施。</w:t>
                  </w:r>
                </w:p>
              </w:tc>
              <w:tc>
                <w:tcPr>
                  <w:tcW w:w="1458"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本项目建成后将制定环境风险应急预案，同时企业内储备有足够的环境应急物资，实现环境风险联防联控，故能满足环境风险防控的相关要求。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66"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资源利用效率要求</w:t>
                  </w:r>
                </w:p>
              </w:tc>
              <w:tc>
                <w:tcPr>
                  <w:tcW w:w="5673" w:type="dxa"/>
                  <w:tcBorders>
                    <w:tl2br w:val="nil"/>
                    <w:tr2bl w:val="nil"/>
                  </w:tcBorders>
                  <w:vAlign w:val="center"/>
                </w:tcPr>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1.根据《中华人民共和国大气污染防治法》，禁燃区禁止新建、扩建燃用高污染燃料的项目和设施，已建成的应逐步或依法限期改用天然气、电或者其他清洁能源。</w:t>
                  </w:r>
                </w:p>
                <w:p>
                  <w:pPr>
                    <w:adjustRightInd w:val="0"/>
                    <w:snapToGrid w:val="0"/>
                    <w:ind w:firstLine="420" w:firstLineChars="200"/>
                    <w:rPr>
                      <w:rFonts w:hint="default" w:ascii="Times New Roman" w:hAnsi="Times New Roman" w:eastAsia="宋体" w:cs="Times New Roman"/>
                      <w:color w:val="auto"/>
                      <w:sz w:val="21"/>
                      <w:szCs w:val="21"/>
                      <w:highlight w:val="none"/>
                      <w:lang w:eastAsia="zh-CN"/>
                    </w:rPr>
                  </w:pPr>
                  <w:r>
                    <w:rPr>
                      <w:rFonts w:hint="default" w:ascii="Times New Roman" w:hAnsi="Times New Roman" w:cs="Times New Roman"/>
                      <w:color w:val="auto"/>
                      <w:sz w:val="21"/>
                      <w:szCs w:val="21"/>
                      <w:highlight w:val="none"/>
                    </w:rPr>
                    <w:t>2.化工行业新建化工项目须达到国内清洁生产先进水平或行业先进水平，生产过程连续化、密闭化、自动化、智能化</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钢铁行业沿海地区新建钢厂、其他地区钢厂改造升级项目必须符合《江苏省钢铁行业布局优化结构调整项目建设实施标准》要求。</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3.严格控制地下水开采。落实《江苏省地下水超采区划分方案》（苏政复</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2013</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59号），在海门区的海门城区、三厂、常乐等乡镇共计136.9平方公里，实施地下水禁采</w:t>
                  </w:r>
                  <w:r>
                    <w:rPr>
                      <w:rFonts w:hint="default"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在如东县的掘港及马塘、岔河、洋口、丰利等乡镇，海门区除三阳、海永外的大部分地区，启东市的汇龙、吕四、北新等乡镇，通州区的东社镇、二甲镇，通州湾的三余镇等地2095.8平方公里，实施地下水限采。</w:t>
                  </w:r>
                </w:p>
              </w:tc>
              <w:tc>
                <w:tcPr>
                  <w:tcW w:w="1458"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生产过程中使用电能，不使用高污染燃料。本项目不涉及化工，不涉及地下水开采。</w:t>
                  </w:r>
                </w:p>
              </w:tc>
            </w:tr>
          </w:tbl>
          <w:p>
            <w:pPr>
              <w:adjustRightInd w:val="0"/>
              <w:snapToGrid w:val="0"/>
              <w:spacing w:line="360" w:lineRule="auto"/>
              <w:ind w:firstLine="482"/>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⑥</w:t>
            </w:r>
            <w:r>
              <w:rPr>
                <w:rFonts w:hint="default" w:ascii="Times New Roman" w:hAnsi="Times New Roman" w:cs="Times New Roman"/>
                <w:color w:val="auto"/>
                <w:sz w:val="24"/>
                <w:szCs w:val="32"/>
                <w:highlight w:val="none"/>
              </w:rPr>
              <w:t>与《市政府办公室关于印发如皋市“三线一单”生态环境分区管控实施方案的通知》（皋政办发</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2021</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166号）</w:t>
            </w:r>
          </w:p>
          <w:p>
            <w:pPr>
              <w:adjustRightInd w:val="0"/>
              <w:snapToGrid w:val="0"/>
              <w:spacing w:line="360" w:lineRule="auto"/>
              <w:ind w:firstLine="439" w:firstLineChars="183"/>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根据文件中如皋市“三线一单”生态环境分区管控要求，具体分析如下表1-</w:t>
            </w:r>
            <w:r>
              <w:rPr>
                <w:rFonts w:hint="eastAsia" w:cs="Times New Roman"/>
                <w:color w:val="auto"/>
                <w:sz w:val="24"/>
                <w:szCs w:val="32"/>
                <w:highlight w:val="none"/>
                <w:lang w:val="en-US" w:eastAsia="zh-CN"/>
              </w:rPr>
              <w:t>8</w:t>
            </w:r>
            <w:r>
              <w:rPr>
                <w:rFonts w:hint="default" w:ascii="Times New Roman" w:hAnsi="Times New Roman" w:cs="Times New Roman"/>
                <w:color w:val="auto"/>
                <w:sz w:val="24"/>
                <w:szCs w:val="32"/>
                <w:highlight w:val="none"/>
              </w:rPr>
              <w:t>。</w:t>
            </w:r>
          </w:p>
          <w:p>
            <w:pPr>
              <w:adjustRightInd w:val="0"/>
              <w:snapToGrid w:val="0"/>
              <w:spacing w:line="360" w:lineRule="auto"/>
              <w:ind w:firstLine="439" w:firstLineChars="183"/>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本项目的建设符合《市政府办公室关于印发如皋市“三线一单”生态环境分区管控实施方案的通知》（皋政办发</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2021</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166号）的相关要求。</w:t>
            </w:r>
          </w:p>
          <w:p>
            <w:pPr>
              <w:jc w:val="center"/>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表1-</w:t>
            </w:r>
            <w:r>
              <w:rPr>
                <w:rFonts w:hint="eastAsia" w:cs="Times New Roman"/>
                <w:b/>
                <w:bCs/>
                <w:color w:val="auto"/>
                <w:sz w:val="24"/>
                <w:szCs w:val="32"/>
                <w:highlight w:val="none"/>
                <w:lang w:val="en-US" w:eastAsia="zh-CN"/>
              </w:rPr>
              <w:t>8</w:t>
            </w:r>
            <w:r>
              <w:rPr>
                <w:rFonts w:hint="default" w:ascii="Times New Roman" w:hAnsi="Times New Roman" w:cs="Times New Roman"/>
                <w:b/>
                <w:bCs/>
                <w:color w:val="auto"/>
                <w:sz w:val="24"/>
                <w:szCs w:val="32"/>
                <w:highlight w:val="none"/>
              </w:rPr>
              <w:t>与如皋市“三线一单”生态环境分区管控方案相符性</w:t>
            </w:r>
          </w:p>
          <w:tbl>
            <w:tblPr>
              <w:tblStyle w:val="25"/>
              <w:tblW w:w="7897"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10"/>
              <w:gridCol w:w="5573"/>
              <w:gridCol w:w="151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0"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管控类别</w:t>
                  </w:r>
                </w:p>
              </w:tc>
              <w:tc>
                <w:tcPr>
                  <w:tcW w:w="5573"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重点管控要求</w:t>
                  </w:r>
                </w:p>
              </w:tc>
              <w:tc>
                <w:tcPr>
                  <w:tcW w:w="1514"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相符性分析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0"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空间布局约束</w:t>
                  </w:r>
                </w:p>
              </w:tc>
              <w:tc>
                <w:tcPr>
                  <w:tcW w:w="5573" w:type="dxa"/>
                  <w:tcBorders>
                    <w:tl2br w:val="nil"/>
                    <w:tr2bl w:val="nil"/>
                  </w:tcBorders>
                  <w:vAlign w:val="center"/>
                </w:tcPr>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1.严格执行《江苏省“三线一单”生态环境分区管控方案》（苏政发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49号）、《南通市“三线一单”生态环境分区管控实施方案》（通政办规[2021]4号）、《南通市长江经济带生态环境保护实施规划》（通政办发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42号）、《2021年度如皋市深入打好污染防治攻坚战工作计划》（皋办</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31号）等文件中关于“空间布局约束”的相关要求。</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2.根据《省政府关于印发江苏省生态空间管控区域规划的通知》（苏政发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1号）、《省政府关于印发江苏省国家级生态保护红线规划的通知》（苏政发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2018</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74号）、《省政府办公厅关于印发江苏省生态空间管控区域调整管理办法的通知》（苏政办发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3号），按照“山水林田湖草”系统保护的要求，划定、调整生态空间管控区，实行最严格的生态空间管控制度，确保具有重要生态功能的区域、重要生态系统以及生物多样性得到有效保护，提高生态产品供给能力。</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严格执行《〈长江经济带负面清单指南〉江苏省实施细则（试行）》，禁止引进列入《南通市工业结构调整指导目录》淘汰类的产业、列入《南通市工业产业技术改造负面清单》严格禁止的技术改造工艺装备及产品。</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4.根据《省政府关于加强全省化工园区化工集中区规范化管理的通知》（苏政发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94号）、《市政府关于印发南通市化工产业环保准入指导意见的通知》（通政发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2014</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10号）、《如皋市化工产业环保整治提升行动工作方案》（通如皋环[2020]22号），强化生态环境保护硬约束，沿江地区不再新布局石化项目，严禁在长江干流及主要支流岸线1公里范围内新建化工园区和化工企业，禁止在长江干流自然保护区、风景名胜区、“四大家鱼”产卵场等管控重点区域新建工业类和污染类项目，现有高风险企业实施限期治理。自然保护区核心区及缓冲区内禁止新建码头工程，逐步拆除已有的各类生产设施以及危险化学品、石油类泊位。严禁新增危险化学品码头，加大长江沿岸现有危险化学品码头和储罐的清理整顿力度，加强沿江危险化学品码头运行管理。</w:t>
                  </w:r>
                </w:p>
              </w:tc>
              <w:tc>
                <w:tcPr>
                  <w:tcW w:w="1514"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对照如皋市环境分区管控图，项目位于</w:t>
                  </w:r>
                  <w:r>
                    <w:rPr>
                      <w:rFonts w:hint="default" w:ascii="Times New Roman" w:hAnsi="Times New Roman" w:cs="Times New Roman"/>
                      <w:color w:val="auto"/>
                      <w:sz w:val="21"/>
                      <w:szCs w:val="21"/>
                      <w:highlight w:val="none"/>
                      <w:u w:val="none"/>
                      <w:lang w:val="en-US" w:eastAsia="zh-CN"/>
                    </w:rPr>
                    <w:t>如皋经济技术开发区城北街道起凤西路118号</w:t>
                  </w:r>
                  <w:r>
                    <w:rPr>
                      <w:rFonts w:hint="default" w:ascii="Times New Roman" w:hAnsi="Times New Roman" w:cs="Times New Roman"/>
                      <w:color w:val="auto"/>
                      <w:sz w:val="21"/>
                      <w:szCs w:val="21"/>
                      <w:highlight w:val="none"/>
                    </w:rPr>
                    <w:t>，属于重点管控单元，项目建设严格执行并符合相关文件要求。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0"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污染物排放管控</w:t>
                  </w:r>
                </w:p>
              </w:tc>
              <w:tc>
                <w:tcPr>
                  <w:tcW w:w="5573" w:type="dxa"/>
                  <w:tcBorders>
                    <w:tl2br w:val="nil"/>
                    <w:tr2bl w:val="nil"/>
                  </w:tcBorders>
                  <w:vAlign w:val="center"/>
                </w:tcPr>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1.坚持生态环境质量“只能更好、不能变坏”的原则，实施污染物总量控制，以环境容量定产业、定项目、定规模，确保开发建设行为不突破生态环境承载力。</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2.落实《关于印发江苏省工业园区（集中区）污染物排放限值限量管理工作方案（试行）的通知》（苏污防攻坚指办</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56号）文件要求，全面推进工业园区（集中区）限值限量管理，制定主要污染物排放总量核算方案，确定工业园区主要污染物实际排放总量，严格工业园区限值限量管控措施。</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严格执行《关于加强高耗能、高排放建设项目生态环境源头防控的指导意见》（环环评[2021]45号）等文件要求，严格执行区域污染物排放总量控制和超低排放标准，对“两高”项目实行产能等量或减量置换，确保增产不增污。</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4.严格执行《南通市关于加大污染减排力度推进重点行业绿化发展的指导意见》（通办</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59号）等文件要求，到2023年，全市纺织印染、电子信息、化工、电力与热力供应等高排放、高耗能重点行业，主要污染物排放总量明显减少，碳排放强度合理优化。</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5.2025年污染物排放总量以“十四五”规划约束性目标为准。</w:t>
                  </w:r>
                </w:p>
              </w:tc>
              <w:tc>
                <w:tcPr>
                  <w:tcW w:w="1514"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本项目建成后将严格落实污染物总量控制，新增废气废水污染物总量在如皋市范围内平衡。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810"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环境风险防控</w:t>
                  </w:r>
                </w:p>
              </w:tc>
              <w:tc>
                <w:tcPr>
                  <w:tcW w:w="5573" w:type="dxa"/>
                  <w:tcBorders>
                    <w:tl2br w:val="nil"/>
                    <w:tr2bl w:val="nil"/>
                  </w:tcBorders>
                  <w:vAlign w:val="center"/>
                </w:tcPr>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1.落实《如皋市突发环境事件应急预案》（皋政办发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2019</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157号）、《市政府办公室关于印发如皋市“十四五”应急管理体系和能力建设规划的通知》（皋政办发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147号）等文件要求，建立健全环境风险防范体系，强化环境事故应急管理，防范化解重大风险。</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根据《如皋市化工产业环保整治提升行动工作方案》（通如皋环[2020]22号），全面整改环境风险隐患，加强对关闭退出化工企业风险管控，提升保留化工企业环境管理水平，提升化工园区环境管理能力。严格危险废物处置管理，企业须在环评报告中全面评价固体废物的种类、数量、属性及产生、贮存、利用或处置情况，强化对危险废物的收集、贮存和处置的监督管理，严厉打击危险废物非法转移、处置和倾倒行为。</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3.强化饮用水水源环境风险管控，建设应急水源工程。</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4.根据《如皋市重污染天气应急预案（2020年修订版</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》（皋政办发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2020</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31号），加强空气质量监测和大气污染源监控，建立统一的重污染天气应急指挥系统，积极预警、及时控制、消除隐患，提高应急处置能力。</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5.根据《如皋市污染地块环境管理联动实施方案（试行）》（皋政办发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130号），建立疑似污染地块名单，开展土壤污染状况调查、风险评估、风险管控或治理修复工作，加强污染地块环境风险防控，有效保障建设用地土壤环境安全。</w:t>
                  </w:r>
                </w:p>
              </w:tc>
              <w:tc>
                <w:tcPr>
                  <w:tcW w:w="1514"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本项目建成后将制定环境风险应急预案，同时企业内储备有足够的环境应急物资，实现环境风险联防联控，故能满足环境风险防控的相关要求。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810"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资源利用效率要求</w:t>
                  </w:r>
                </w:p>
              </w:tc>
              <w:tc>
                <w:tcPr>
                  <w:tcW w:w="5573" w:type="dxa"/>
                  <w:tcBorders>
                    <w:tl2br w:val="nil"/>
                    <w:tr2bl w:val="nil"/>
                  </w:tcBorders>
                  <w:vAlign w:val="center"/>
                </w:tcPr>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1.严格执行《关于划定高污染燃料禁燃区的通知》（皋政发</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2013</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162号）的相关要求，禁燃区内不得新（改、扩）建高污染燃料燃用设施（集中供热、电厂锅炉除外）。</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2.化工行业新建化工项目须达到国内清洁生产先进水平或行业先进水平，生产过程须连续化、密闭化、自动化、智能化。</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3.严格执行《南通市关于加大污染减排力度推进重点行业绿化发展的指导意见》（通办</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59号）等文件要求，到2023年，绿色发展水平显著提升，重点行业单位产值能耗、水耗、物耗持续下降，单位产值二氧化碳排放强度合理优化，初步建立产业链耦合共生、资源能源高效利用的绿色低碳循环体系。</w:t>
                  </w:r>
                </w:p>
                <w:p>
                  <w:pPr>
                    <w:adjustRightInd w:val="0"/>
                    <w:snapToGrid w:val="0"/>
                    <w:ind w:firstLine="420" w:firstLineChars="20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4.根据《江苏省自然资源厅关于同意南通市所辖县（市、区）国土空间规划近期实施方案的函》（苏自然资函</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2021</w:t>
                  </w:r>
                  <w:r>
                    <w:rPr>
                      <w:rFonts w:hint="eastAsia" w:cs="Times New Roman"/>
                      <w:color w:val="auto"/>
                      <w:sz w:val="21"/>
                      <w:szCs w:val="21"/>
                      <w:highlight w:val="none"/>
                      <w:lang w:eastAsia="zh-CN"/>
                    </w:rPr>
                    <w:t>〕</w:t>
                  </w:r>
                  <w:r>
                    <w:rPr>
                      <w:rFonts w:hint="default" w:ascii="Times New Roman" w:hAnsi="Times New Roman" w:cs="Times New Roman"/>
                      <w:color w:val="auto"/>
                      <w:sz w:val="21"/>
                      <w:szCs w:val="21"/>
                      <w:highlight w:val="none"/>
                    </w:rPr>
                    <w:t>521号）、《如皋市国土空间规划近期实施方案》等文件，到2035年，全市永久基本农田保持70473.0公顷不变。</w:t>
                  </w:r>
                </w:p>
              </w:tc>
              <w:tc>
                <w:tcPr>
                  <w:tcW w:w="1514"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生产过程中使用电能，不使用高污染燃料</w:t>
                  </w:r>
                </w:p>
              </w:tc>
            </w:tr>
          </w:tbl>
          <w:p>
            <w:pPr>
              <w:adjustRightInd w:val="0"/>
              <w:snapToGrid w:val="0"/>
              <w:spacing w:line="360" w:lineRule="auto"/>
              <w:ind w:firstLine="48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rPr>
              <w:t>三、与环境管理政策及要求的相符性分析</w:t>
            </w:r>
          </w:p>
          <w:p>
            <w:pPr>
              <w:adjustRightInd w:val="0"/>
              <w:snapToGrid w:val="0"/>
              <w:spacing w:line="360" w:lineRule="auto"/>
              <w:ind w:firstLine="482"/>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w:t>
            </w:r>
            <w:r>
              <w:rPr>
                <w:rFonts w:hint="eastAsia" w:cs="Times New Roman"/>
                <w:b/>
                <w:bCs/>
                <w:color w:val="auto"/>
                <w:sz w:val="24"/>
                <w:szCs w:val="24"/>
                <w:highlight w:val="none"/>
                <w:lang w:val="en-US" w:eastAsia="zh-CN"/>
              </w:rPr>
              <w:t>1</w:t>
            </w:r>
            <w:r>
              <w:rPr>
                <w:rFonts w:hint="default" w:ascii="Times New Roman" w:hAnsi="Times New Roman" w:cs="Times New Roman"/>
                <w:b/>
                <w:bCs/>
                <w:color w:val="auto"/>
                <w:sz w:val="24"/>
                <w:szCs w:val="24"/>
                <w:highlight w:val="none"/>
              </w:rPr>
              <w:t>）与《关于加强高耗能、高排放建设项目生态环境源头防控的指导意见》（环环评[2021]45号）相符性分析</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rPr>
              <w:t>表1-</w:t>
            </w:r>
            <w:r>
              <w:rPr>
                <w:rFonts w:hint="eastAsia" w:ascii="Times New Roman" w:hAnsi="Times New Roman" w:cs="Times New Roman"/>
                <w:b/>
                <w:bCs/>
                <w:color w:val="auto"/>
                <w:sz w:val="24"/>
                <w:szCs w:val="32"/>
                <w:highlight w:val="none"/>
                <w:lang w:val="en-US" w:eastAsia="zh-CN"/>
              </w:rPr>
              <w:t>9</w:t>
            </w:r>
            <w:r>
              <w:rPr>
                <w:rFonts w:hint="default" w:ascii="Times New Roman" w:hAnsi="Times New Roman" w:cs="Times New Roman"/>
                <w:b/>
                <w:bCs/>
                <w:color w:val="auto"/>
                <w:sz w:val="24"/>
                <w:szCs w:val="32"/>
                <w:highlight w:val="none"/>
              </w:rPr>
              <w:t>与（环环评〔2021〕45号）相符性</w:t>
            </w:r>
            <w:r>
              <w:rPr>
                <w:rFonts w:hint="default" w:ascii="Times New Roman" w:hAnsi="Times New Roman" w:cs="Times New Roman"/>
                <w:b/>
                <w:bCs/>
                <w:color w:val="auto"/>
                <w:sz w:val="24"/>
                <w:szCs w:val="32"/>
                <w:highlight w:val="none"/>
                <w:lang w:eastAsia="zh-CN"/>
              </w:rPr>
              <w:t>分析</w:t>
            </w:r>
          </w:p>
          <w:tbl>
            <w:tblPr>
              <w:tblStyle w:val="26"/>
              <w:tblW w:w="789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379"/>
              <w:gridCol w:w="1422"/>
              <w:gridCol w:w="109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379"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sz w:val="21"/>
                      <w:szCs w:val="21"/>
                      <w:vertAlign w:val="baseline"/>
                      <w:lang w:eastAsia="zh-CN"/>
                    </w:rPr>
                    <w:t>文件内容</w:t>
                  </w:r>
                </w:p>
              </w:tc>
              <w:tc>
                <w:tcPr>
                  <w:tcW w:w="1422"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sz w:val="21"/>
                      <w:szCs w:val="21"/>
                      <w:vertAlign w:val="baseline"/>
                      <w:lang w:eastAsia="zh-CN"/>
                    </w:rPr>
                    <w:t>本项目情况</w:t>
                  </w:r>
                </w:p>
              </w:tc>
              <w:tc>
                <w:tcPr>
                  <w:tcW w:w="1096"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center"/>
                    <w:textAlignment w:val="auto"/>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sz w:val="21"/>
                      <w:szCs w:val="21"/>
                      <w:vertAlign w:val="baseline"/>
                      <w:lang w:eastAsia="zh-CN"/>
                    </w:rPr>
                    <w:t>是否相符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7897" w:type="dxa"/>
                  <w:gridSpan w:val="3"/>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left"/>
                    <w:textAlignment w:val="auto"/>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sz w:val="21"/>
                      <w:szCs w:val="21"/>
                      <w:vertAlign w:val="baseline"/>
                      <w:lang w:eastAsia="zh-CN"/>
                    </w:rPr>
                    <w:t>一、加强生态环境分区管控和规划约束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37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一）深入实施“三线一单”。各级生态环境部门应加快推进“三线一单”成果在“两高”行业产业布局和结构调整、重大项目选址中的应用。地方生态环境部门组织“三线一单”地市落地细化及后续更新调整时，应在生态环境准入清单中深化“两高”项目环境准入及管控要求；承接钢铁、电解铝等产业转移地区应严格落实生态环境分区管控要求，将环境质量底线作为硬约束。</w:t>
                  </w:r>
                </w:p>
              </w:tc>
              <w:tc>
                <w:tcPr>
                  <w:tcW w:w="14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both"/>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本项目对照“三线一单”管控方案属于重点管控单元。本项目不属于两高行业。</w:t>
                  </w:r>
                </w:p>
              </w:tc>
              <w:tc>
                <w:tcPr>
                  <w:tcW w:w="109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jc w:val="center"/>
              </w:trPr>
              <w:tc>
                <w:tcPr>
                  <w:tcW w:w="7897" w:type="dxa"/>
                  <w:gridSpan w:val="3"/>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auto"/>
                    <w:rPr>
                      <w:rFonts w:hint="eastAsia" w:ascii="宋体" w:hAnsi="宋体" w:eastAsia="宋体" w:cs="宋体"/>
                      <w:b/>
                      <w:bCs/>
                      <w:color w:val="auto"/>
                      <w:sz w:val="21"/>
                      <w:szCs w:val="21"/>
                      <w:vertAlign w:val="baseline"/>
                      <w:lang w:eastAsia="zh-CN"/>
                    </w:rPr>
                  </w:pPr>
                  <w:r>
                    <w:rPr>
                      <w:rFonts w:hint="eastAsia" w:ascii="宋体" w:hAnsi="宋体" w:eastAsia="宋体" w:cs="宋体"/>
                      <w:b/>
                      <w:bCs/>
                      <w:color w:val="auto"/>
                      <w:kern w:val="0"/>
                      <w:sz w:val="21"/>
                      <w:szCs w:val="21"/>
                      <w:lang w:val="en-US" w:eastAsia="zh-CN" w:bidi="ar"/>
                    </w:rPr>
                    <w:t>二、严格“两高”项目环评审批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jc w:val="center"/>
              </w:trPr>
              <w:tc>
                <w:tcPr>
                  <w:tcW w:w="537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三）严把建设项目环境准入关。新建、改建、扩建“两高”项目须符合生态环境保护法律法规和相关法定规划，满足重点污染物排放总量控制、碳排放达峰目标、生态环境准入清单、相关规划环评和相应行业建设项目环境准入条件、环评文件审批原则要求。石化、现代煤化工项目应纳入国家产业规划。新建、扩建石化、化工、焦化、有色金属冶炼、平板玻璃项目应布设在依法合规设立并经规划环评的产业园区。各级生态环境部门和行政审批部门要严格把关，对于不符合相关法律法规的，依法不予审批。</w:t>
                  </w:r>
                </w:p>
              </w:tc>
              <w:tc>
                <w:tcPr>
                  <w:tcW w:w="14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both"/>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本项目不属于化工、现代煤化工项目；不属于新建、扩建石化、化工、焦化、有色金属冶炼、平板玻璃项目。</w:t>
                  </w:r>
                </w:p>
              </w:tc>
              <w:tc>
                <w:tcPr>
                  <w:tcW w:w="1096" w:type="dxa"/>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center"/>
                    <w:textAlignment w:val="auto"/>
                    <w:rPr>
                      <w:rFonts w:hint="eastAsia" w:ascii="宋体" w:hAnsi="宋体" w:eastAsia="宋体" w:cs="宋体"/>
                      <w:color w:val="auto"/>
                      <w:sz w:val="21"/>
                      <w:szCs w:val="21"/>
                      <w:vertAlign w:val="baseline"/>
                      <w:lang w:eastAsia="zh-CN"/>
                    </w:rPr>
                  </w:pPr>
                  <w:r>
                    <w:rPr>
                      <w:rFonts w:hint="eastAsia" w:ascii="宋体" w:hAnsi="宋体" w:eastAsia="宋体" w:cs="宋体"/>
                      <w:color w:val="auto"/>
                      <w:kern w:val="0"/>
                      <w:sz w:val="21"/>
                      <w:szCs w:val="21"/>
                      <w:lang w:val="en-US" w:eastAsia="zh-CN" w:bidi="ar"/>
                    </w:rPr>
                    <w:t>相符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jc w:val="center"/>
              </w:trPr>
              <w:tc>
                <w:tcPr>
                  <w:tcW w:w="7897" w:type="dxa"/>
                  <w:gridSpan w:val="3"/>
                  <w:tcBorders>
                    <w:tl2br w:val="nil"/>
                    <w:tr2bl w:val="nil"/>
                  </w:tcBorders>
                  <w:noWrap w:val="0"/>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firstLine="0" w:firstLineChars="0"/>
                    <w:jc w:val="left"/>
                    <w:textAlignment w:val="auto"/>
                    <w:rPr>
                      <w:rFonts w:hint="eastAsia" w:ascii="宋体" w:hAnsi="宋体" w:eastAsia="宋体" w:cs="宋体"/>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三、推进“两高”行业减污降碳协同控制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jc w:val="center"/>
              </w:trPr>
              <w:tc>
                <w:tcPr>
                  <w:tcW w:w="5379"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left"/>
                    <w:textAlignment w:val="auto"/>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0"/>
                      <w:sz w:val="21"/>
                      <w:szCs w:val="21"/>
                      <w:lang w:val="en-US" w:eastAsia="zh-CN" w:bidi="ar"/>
                    </w:rPr>
                    <w:t>（六）提升清洁生产和污染防治水平。新建、扩建“两高”项目应采用先进适用的工艺技术和装备，单位产品物耗、能耗、水耗等达到清洁生产先进水平，依法制定并严格落实防治土壤与地下水污染的措施。国家或地方已出台超低排放要求的“两高”行业建设项目应满足超低排放要求。鼓励使用清洁燃料，重点区域建设项目原则上不新建燃煤自备锅炉。鼓励重点区域高炉</w:t>
                  </w:r>
                  <w:r>
                    <w:rPr>
                      <w:rFonts w:hint="eastAsia" w:ascii="宋体" w:hAnsi="宋体" w:cs="宋体"/>
                      <w:color w:val="auto"/>
                      <w:kern w:val="0"/>
                      <w:sz w:val="21"/>
                      <w:szCs w:val="21"/>
                      <w:lang w:val="en-US" w:eastAsia="zh-CN" w:bidi="ar"/>
                    </w:rPr>
                    <w:t>－</w:t>
                  </w:r>
                  <w:r>
                    <w:rPr>
                      <w:rFonts w:hint="eastAsia" w:ascii="宋体" w:hAnsi="宋体" w:eastAsia="宋体" w:cs="宋体"/>
                      <w:color w:val="auto"/>
                      <w:kern w:val="0"/>
                      <w:sz w:val="21"/>
                      <w:szCs w:val="21"/>
                      <w:lang w:val="en-US" w:eastAsia="zh-CN" w:bidi="ar"/>
                    </w:rPr>
                    <w:t>转炉长流程钢铁企业转型为电炉短流程企业。大宗物料优先采用铁路、管道或水路运输，短途接驳优先使用新能源车辆运输。</w:t>
                  </w:r>
                </w:p>
              </w:tc>
              <w:tc>
                <w:tcPr>
                  <w:tcW w:w="14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both"/>
                    <w:textAlignment w:val="auto"/>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0"/>
                      <w:sz w:val="21"/>
                      <w:szCs w:val="21"/>
                      <w:lang w:val="en-US" w:eastAsia="zh-CN" w:bidi="ar"/>
                    </w:rPr>
                    <w:t>本项目不属于两高行业；本项目不涉及锅炉；本项目仅使用电能。</w:t>
                  </w:r>
                </w:p>
              </w:tc>
              <w:tc>
                <w:tcPr>
                  <w:tcW w:w="1096"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ind w:left="0" w:leftChars="0" w:firstLine="0" w:firstLineChars="0"/>
                    <w:jc w:val="center"/>
                    <w:textAlignment w:val="auto"/>
                    <w:rPr>
                      <w:rFonts w:hint="eastAsia" w:ascii="宋体" w:hAnsi="宋体" w:eastAsia="宋体" w:cs="宋体"/>
                      <w:color w:val="auto"/>
                      <w:kern w:val="2"/>
                      <w:sz w:val="21"/>
                      <w:szCs w:val="21"/>
                      <w:vertAlign w:val="baseline"/>
                      <w:lang w:val="en-US" w:eastAsia="zh-CN" w:bidi="ar-SA"/>
                    </w:rPr>
                  </w:pPr>
                  <w:r>
                    <w:rPr>
                      <w:rFonts w:hint="eastAsia" w:ascii="宋体" w:hAnsi="宋体" w:eastAsia="宋体" w:cs="宋体"/>
                      <w:color w:val="auto"/>
                      <w:kern w:val="0"/>
                      <w:sz w:val="21"/>
                      <w:szCs w:val="21"/>
                      <w:lang w:val="en-US" w:eastAsia="zh-CN" w:bidi="ar"/>
                    </w:rPr>
                    <w:t>相符</w:t>
                  </w:r>
                </w:p>
              </w:tc>
            </w:tr>
          </w:tbl>
          <w:p>
            <w:pPr>
              <w:adjustRightInd w:val="0"/>
              <w:snapToGrid w:val="0"/>
              <w:spacing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val="en-US" w:eastAsia="zh-CN"/>
              </w:rPr>
              <w:t>不属于“两高行业”，</w:t>
            </w:r>
            <w:r>
              <w:rPr>
                <w:rFonts w:hint="default" w:ascii="Times New Roman" w:hAnsi="Times New Roman" w:cs="Times New Roman"/>
                <w:color w:val="auto"/>
                <w:sz w:val="24"/>
                <w:szCs w:val="24"/>
                <w:highlight w:val="none"/>
              </w:rPr>
              <w:t>符合《关于加强高耗能、高排放建设项目生态环境源头防控的指导意见》（环环评〔2021〕45号）的相关要求。</w:t>
            </w:r>
          </w:p>
          <w:p>
            <w:pPr>
              <w:adjustRightInd w:val="0"/>
              <w:snapToGrid w:val="0"/>
              <w:spacing w:line="360" w:lineRule="auto"/>
              <w:ind w:firstLine="482" w:firstLineChars="20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w:t>
            </w:r>
            <w:r>
              <w:rPr>
                <w:rFonts w:hint="eastAsia" w:cs="Times New Roman"/>
                <w:b/>
                <w:bCs/>
                <w:color w:val="auto"/>
                <w:sz w:val="24"/>
                <w:szCs w:val="24"/>
                <w:highlight w:val="none"/>
                <w:lang w:val="en-US" w:eastAsia="zh-CN"/>
              </w:rPr>
              <w:t>2</w:t>
            </w:r>
            <w:r>
              <w:rPr>
                <w:rFonts w:hint="default" w:ascii="Times New Roman" w:hAnsi="Times New Roman" w:cs="Times New Roman"/>
                <w:b/>
                <w:bCs/>
                <w:color w:val="auto"/>
                <w:sz w:val="24"/>
                <w:szCs w:val="24"/>
                <w:highlight w:val="none"/>
              </w:rPr>
              <w:t>）与关于印发《江苏省“十四五”生态环境保护规划》的通知（苏政办发</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2021</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84号）的相符性分析</w:t>
            </w:r>
          </w:p>
          <w:p>
            <w:pPr>
              <w:pStyle w:val="5"/>
              <w:adjustRightInd w:val="0"/>
              <w:snapToGrid w:val="0"/>
              <w:spacing w:before="0" w:after="0"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b w:val="0"/>
                <w:color w:val="auto"/>
                <w:sz w:val="24"/>
                <w:szCs w:val="24"/>
                <w:highlight w:val="none"/>
              </w:rPr>
              <w:t>根据关于印发《江苏省“十四五”生态环境保护规划》的通知（苏政办发</w:t>
            </w:r>
            <w:r>
              <w:rPr>
                <w:rFonts w:hint="eastAsia"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rPr>
              <w:t>2021</w:t>
            </w:r>
            <w:r>
              <w:rPr>
                <w:rFonts w:hint="eastAsia" w:cs="Times New Roman"/>
                <w:b w:val="0"/>
                <w:color w:val="auto"/>
                <w:sz w:val="24"/>
                <w:szCs w:val="24"/>
                <w:highlight w:val="none"/>
                <w:lang w:eastAsia="zh-CN"/>
              </w:rPr>
              <w:t>〕</w:t>
            </w:r>
            <w:r>
              <w:rPr>
                <w:rFonts w:hint="default" w:ascii="Times New Roman" w:hAnsi="Times New Roman" w:cs="Times New Roman"/>
                <w:b w:val="0"/>
                <w:color w:val="auto"/>
                <w:sz w:val="24"/>
                <w:szCs w:val="24"/>
                <w:highlight w:val="none"/>
              </w:rPr>
              <w:t>84号），本项目符合文件中各相关要求，具体分析内容如下表1-</w:t>
            </w:r>
            <w:r>
              <w:rPr>
                <w:rFonts w:hint="eastAsia" w:cs="Times New Roman"/>
                <w:b w:val="0"/>
                <w:color w:val="auto"/>
                <w:sz w:val="24"/>
                <w:szCs w:val="24"/>
                <w:highlight w:val="none"/>
                <w:lang w:val="en-US" w:eastAsia="zh-CN"/>
              </w:rPr>
              <w:t>10</w:t>
            </w:r>
            <w:r>
              <w:rPr>
                <w:rFonts w:hint="default" w:ascii="Times New Roman" w:hAnsi="Times New Roman" w:cs="Times New Roman"/>
                <w:b w:val="0"/>
                <w:color w:val="auto"/>
                <w:sz w:val="24"/>
                <w:szCs w:val="24"/>
                <w:highlight w:val="none"/>
              </w:rPr>
              <w:t>。</w:t>
            </w:r>
          </w:p>
          <w:p>
            <w:pPr>
              <w:jc w:val="center"/>
              <w:rPr>
                <w:rFonts w:hint="default" w:ascii="Times New Roman" w:hAnsi="Times New Roman" w:cs="Times New Roman"/>
                <w:b/>
                <w:bCs/>
                <w:color w:val="auto"/>
                <w:sz w:val="24"/>
                <w:szCs w:val="32"/>
                <w:highlight w:val="none"/>
              </w:rPr>
            </w:pPr>
            <w:r>
              <w:rPr>
                <w:rFonts w:hint="default" w:ascii="Times New Roman" w:hAnsi="Times New Roman" w:cs="Times New Roman"/>
                <w:b/>
                <w:bCs/>
                <w:color w:val="auto"/>
                <w:sz w:val="24"/>
                <w:szCs w:val="32"/>
                <w:highlight w:val="none"/>
              </w:rPr>
              <w:t>表1-</w:t>
            </w:r>
            <w:r>
              <w:rPr>
                <w:rFonts w:hint="eastAsia" w:cs="Times New Roman"/>
                <w:b/>
                <w:bCs/>
                <w:color w:val="auto"/>
                <w:sz w:val="24"/>
                <w:szCs w:val="32"/>
                <w:highlight w:val="none"/>
                <w:lang w:val="en-US" w:eastAsia="zh-CN"/>
              </w:rPr>
              <w:t>10</w:t>
            </w:r>
            <w:r>
              <w:rPr>
                <w:rFonts w:hint="default" w:ascii="Times New Roman" w:hAnsi="Times New Roman" w:cs="Times New Roman"/>
                <w:b/>
                <w:bCs/>
                <w:color w:val="auto"/>
                <w:sz w:val="24"/>
                <w:szCs w:val="32"/>
                <w:highlight w:val="none"/>
              </w:rPr>
              <w:t>与《江苏省“十四五”生态环境保护规划》相符性分析</w:t>
            </w:r>
          </w:p>
          <w:tbl>
            <w:tblPr>
              <w:tblStyle w:val="25"/>
              <w:tblW w:w="7894" w:type="dxa"/>
              <w:jc w:val="center"/>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4557"/>
              <w:gridCol w:w="2653"/>
              <w:gridCol w:w="684"/>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4557"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文件相关内容</w:t>
                  </w:r>
                </w:p>
              </w:tc>
              <w:tc>
                <w:tcPr>
                  <w:tcW w:w="2653"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相符性分析</w:t>
                  </w:r>
                </w:p>
              </w:tc>
              <w:tc>
                <w:tcPr>
                  <w:tcW w:w="684"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是否相符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7894" w:type="dxa"/>
                  <w:gridSpan w:val="3"/>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b/>
                      <w:bCs/>
                      <w:color w:val="auto"/>
                      <w:sz w:val="21"/>
                      <w:szCs w:val="21"/>
                      <w:highlight w:val="none"/>
                    </w:rPr>
                    <w:t>第一节推进大气污染深度治理</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4557"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推进固定源深度治理。全面完成钢铁行业超低排放改造，新上（含搬迁）项目全部达到超低排放标准。积极推进水泥、焦化和垃圾焚烧发电等重点设施、大型锅炉超低排放改造，推进建材、焦化、有色、化工等重点行业工业炉窑大气污染物深度治理。对焦化、水泥、垃圾焚烧发电、建材、有色等行业，严格控制物料（含废渣）运输、装卸、储存、转移和生产过程中的无组织排放。</w:t>
                  </w:r>
                </w:p>
              </w:tc>
              <w:tc>
                <w:tcPr>
                  <w:tcW w:w="2653"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本项目不属于焦化、水泥、垃圾焚烧发电、建材、有色等行业，符合要求。</w:t>
                  </w:r>
                </w:p>
              </w:tc>
              <w:tc>
                <w:tcPr>
                  <w:tcW w:w="684" w:type="dxa"/>
                  <w:tcBorders>
                    <w:tl2br w:val="nil"/>
                    <w:tr2bl w:val="nil"/>
                  </w:tcBorders>
                  <w:vAlign w:val="center"/>
                </w:tcPr>
                <w:p>
                  <w:pPr>
                    <w:adjustRightInd w:val="0"/>
                    <w:snapToGrid w:val="0"/>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相符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7894" w:type="dxa"/>
                  <w:gridSpan w:val="3"/>
                  <w:tcBorders>
                    <w:tl2br w:val="nil"/>
                    <w:tr2bl w:val="nil"/>
                  </w:tcBorders>
                  <w:vAlign w:val="center"/>
                </w:tcPr>
                <w:p>
                  <w:pPr>
                    <w:adjustRightInd w:val="0"/>
                    <w:snapToGrid w:val="0"/>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第二节加强VOCs治理攻坚</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4557"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大力推进源头替代。实施《江苏省重点行业挥发性有机物清洁原料替代工作方案》，全面排查使用高VOCs含量原辅材料的企业，按照“可替尽替，应代尽代”的原则，推进实施源头替代，培育一批源头替代示范型企业。加大工业涂装、包装印刷等行业源头替代力度，在化工行业推广使用低（无）VOCs含量、低反应活性原辅材料，加快芳香烃、含卤素有机化合物的绿色替代。严格准入要求，禁止建设生产和使用高VOCs含量的溶剂型涂料、油墨、胶黏剂等项目。将符合低挥发性有机化合物含量产品技术要求的企业纳入清洁原料替代正面清单。</w:t>
                  </w:r>
                </w:p>
              </w:tc>
              <w:tc>
                <w:tcPr>
                  <w:tcW w:w="2653" w:type="dxa"/>
                  <w:tcBorders>
                    <w:tl2br w:val="nil"/>
                    <w:tr2bl w:val="nil"/>
                  </w:tcBorders>
                  <w:vAlign w:val="center"/>
                </w:tcPr>
                <w:p>
                  <w:pPr>
                    <w:adjustRightInd w:val="0"/>
                    <w:snapToGrid w:val="0"/>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color w:val="auto"/>
                      <w:sz w:val="21"/>
                      <w:szCs w:val="21"/>
                      <w:highlight w:val="none"/>
                    </w:rPr>
                    <w:t>本项目</w:t>
                  </w:r>
                  <w:r>
                    <w:rPr>
                      <w:rFonts w:hint="eastAsia" w:cs="Times New Roman"/>
                      <w:color w:val="auto"/>
                      <w:sz w:val="21"/>
                      <w:szCs w:val="21"/>
                      <w:highlight w:val="none"/>
                      <w:lang w:val="en-US" w:eastAsia="zh-CN"/>
                    </w:rPr>
                    <w:t>不涉及</w:t>
                  </w:r>
                  <w:r>
                    <w:rPr>
                      <w:rFonts w:hint="default" w:ascii="Times New Roman" w:hAnsi="Times New Roman" w:cs="Times New Roman"/>
                      <w:color w:val="auto"/>
                      <w:sz w:val="21"/>
                      <w:szCs w:val="21"/>
                      <w:highlight w:val="none"/>
                    </w:rPr>
                    <w:t>高VOCs含量原辅材料</w:t>
                  </w:r>
                  <w:r>
                    <w:rPr>
                      <w:rFonts w:hint="eastAsia" w:ascii="Times New Roman" w:hAnsi="Times New Roman" w:cs="Times New Roman"/>
                      <w:color w:val="auto"/>
                      <w:sz w:val="21"/>
                      <w:szCs w:val="21"/>
                      <w:highlight w:val="none"/>
                      <w:lang w:val="en-US" w:eastAsia="zh-CN"/>
                    </w:rPr>
                    <w:t>使用，不属于涂装、包装、化工等行业，不属于</w:t>
                  </w:r>
                  <w:r>
                    <w:rPr>
                      <w:rFonts w:hint="default" w:ascii="Times New Roman" w:hAnsi="Times New Roman" w:cs="Times New Roman"/>
                      <w:color w:val="auto"/>
                      <w:sz w:val="21"/>
                      <w:szCs w:val="21"/>
                      <w:highlight w:val="none"/>
                    </w:rPr>
                    <w:t>使用高VOCs含量的溶剂型涂料、油墨、胶黏剂</w:t>
                  </w:r>
                  <w:r>
                    <w:rPr>
                      <w:rFonts w:hint="eastAsia" w:ascii="Times New Roman" w:hAnsi="Times New Roman" w:cs="Times New Roman"/>
                      <w:color w:val="auto"/>
                      <w:sz w:val="21"/>
                      <w:szCs w:val="21"/>
                      <w:highlight w:val="none"/>
                      <w:lang w:val="en-US" w:eastAsia="zh-CN"/>
                    </w:rPr>
                    <w:t>等项目。</w:t>
                  </w:r>
                </w:p>
              </w:tc>
              <w:tc>
                <w:tcPr>
                  <w:tcW w:w="68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相符</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397" w:hRule="atLeast"/>
                <w:jc w:val="center"/>
              </w:trPr>
              <w:tc>
                <w:tcPr>
                  <w:tcW w:w="4557" w:type="dxa"/>
                  <w:tcBorders>
                    <w:tl2br w:val="nil"/>
                    <w:tr2bl w:val="nil"/>
                  </w:tcBorders>
                  <w:vAlign w:val="center"/>
                </w:tcPr>
                <w:p>
                  <w:pPr>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深化工业园区、企业集群综合治理。加强VOCs无组织排放控制，实施含VOCs物料全方位、全链条、全环节管理，强化储存、转移和输送、设备与管线组件泄漏、敞开液面逸散以及工艺过程等无组织排放环节的污染收集处理。</w:t>
                  </w:r>
                </w:p>
              </w:tc>
              <w:tc>
                <w:tcPr>
                  <w:tcW w:w="2653" w:type="dxa"/>
                  <w:tcBorders>
                    <w:tl2br w:val="nil"/>
                    <w:tr2bl w:val="nil"/>
                  </w:tcBorders>
                  <w:vAlign w:val="center"/>
                </w:tcPr>
                <w:p>
                  <w:pPr>
                    <w:adjustRightInd w:val="0"/>
                    <w:snapToGrid w:val="0"/>
                    <w:rPr>
                      <w:rFonts w:hint="default" w:ascii="Times New Roman" w:hAnsi="Times New Roman" w:eastAsia="宋体" w:cs="Times New Roman"/>
                      <w:color w:val="auto"/>
                      <w:sz w:val="21"/>
                      <w:szCs w:val="21"/>
                      <w:highlight w:val="none"/>
                      <w:lang w:val="en-US" w:eastAsia="zh-CN"/>
                    </w:rPr>
                  </w:pPr>
                  <w:r>
                    <w:rPr>
                      <w:rFonts w:hint="eastAsia"/>
                      <w:color w:val="auto"/>
                      <w:lang w:val="en-US" w:eastAsia="zh-CN"/>
                    </w:rPr>
                    <w:t>本项目加强</w:t>
                  </w:r>
                  <w:r>
                    <w:rPr>
                      <w:rFonts w:hint="default" w:ascii="Times New Roman" w:hAnsi="Times New Roman" w:cs="Times New Roman"/>
                      <w:color w:val="auto"/>
                      <w:sz w:val="21"/>
                      <w:szCs w:val="21"/>
                      <w:highlight w:val="none"/>
                    </w:rPr>
                    <w:t>VOCs无组织排放控制</w:t>
                  </w:r>
                  <w:r>
                    <w:rPr>
                      <w:rFonts w:hint="eastAsia" w:ascii="Times New Roman" w:hAnsi="Times New Roman" w:cs="Times New Roman"/>
                      <w:color w:val="auto"/>
                      <w:sz w:val="21"/>
                      <w:szCs w:val="21"/>
                      <w:highlight w:val="none"/>
                      <w:lang w:eastAsia="zh-CN"/>
                    </w:rPr>
                    <w:t>，</w:t>
                  </w:r>
                  <w:r>
                    <w:rPr>
                      <w:rFonts w:hint="default" w:ascii="Times New Roman" w:hAnsi="Times New Roman" w:cs="Times New Roman"/>
                      <w:color w:val="auto"/>
                      <w:sz w:val="21"/>
                      <w:szCs w:val="21"/>
                      <w:highlight w:val="none"/>
                    </w:rPr>
                    <w:t>强化储存、转移和输送、设备与管线组件</w:t>
                  </w:r>
                  <w:r>
                    <w:rPr>
                      <w:rFonts w:hint="eastAsia" w:ascii="Times New Roman" w:hAnsi="Times New Roman" w:cs="Times New Roman"/>
                      <w:color w:val="auto"/>
                      <w:sz w:val="21"/>
                      <w:szCs w:val="21"/>
                      <w:highlight w:val="none"/>
                      <w:lang w:val="en-US" w:eastAsia="zh-CN"/>
                    </w:rPr>
                    <w:t>的无组织废气的收集处理。</w:t>
                  </w:r>
                </w:p>
              </w:tc>
              <w:tc>
                <w:tcPr>
                  <w:tcW w:w="684"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相符</w:t>
                  </w:r>
                </w:p>
              </w:tc>
            </w:tr>
          </w:tbl>
          <w:p>
            <w:pPr>
              <w:adjustRightInd w:val="0"/>
              <w:snapToGrid w:val="0"/>
              <w:spacing w:line="360" w:lineRule="auto"/>
              <w:ind w:firstLine="480"/>
              <w:rPr>
                <w:rFonts w:hint="default" w:ascii="Times New Roman" w:hAnsi="Times New Roman" w:eastAsia="宋体" w:cs="Times New Roman"/>
                <w:b/>
                <w:color w:val="auto"/>
                <w:sz w:val="24"/>
                <w:szCs w:val="32"/>
                <w:highlight w:val="none"/>
                <w:lang w:val="en-US" w:eastAsia="zh-CN"/>
              </w:rPr>
            </w:pPr>
            <w:r>
              <w:rPr>
                <w:rFonts w:hint="eastAsia" w:cs="Times New Roman"/>
                <w:b/>
                <w:color w:val="auto"/>
                <w:sz w:val="24"/>
                <w:szCs w:val="32"/>
                <w:highlight w:val="none"/>
                <w:lang w:eastAsia="zh-CN"/>
              </w:rPr>
              <w:t>（</w:t>
            </w:r>
            <w:r>
              <w:rPr>
                <w:rFonts w:hint="eastAsia" w:cs="Times New Roman"/>
                <w:b/>
                <w:color w:val="auto"/>
                <w:sz w:val="24"/>
                <w:szCs w:val="32"/>
                <w:highlight w:val="none"/>
                <w:lang w:val="en-US" w:eastAsia="zh-CN"/>
              </w:rPr>
              <w:t>4</w:t>
            </w:r>
            <w:r>
              <w:rPr>
                <w:rFonts w:hint="eastAsia" w:cs="Times New Roman"/>
                <w:b/>
                <w:color w:val="auto"/>
                <w:sz w:val="24"/>
                <w:szCs w:val="32"/>
                <w:highlight w:val="none"/>
                <w:lang w:eastAsia="zh-CN"/>
              </w:rPr>
              <w:t>）</w:t>
            </w:r>
            <w:r>
              <w:rPr>
                <w:rFonts w:hint="eastAsia" w:cs="Times New Roman"/>
                <w:b/>
                <w:color w:val="auto"/>
                <w:sz w:val="24"/>
                <w:szCs w:val="32"/>
                <w:highlight w:val="none"/>
                <w:lang w:val="en-US" w:eastAsia="zh-CN"/>
              </w:rPr>
              <w:t>与</w:t>
            </w:r>
            <w:r>
              <w:rPr>
                <w:rFonts w:hint="eastAsia" w:ascii="Times New Roman" w:hAnsi="Times New Roman" w:cs="Times New Roman"/>
                <w:b/>
                <w:color w:val="auto"/>
                <w:sz w:val="24"/>
                <w:szCs w:val="24"/>
                <w:highlight w:val="none"/>
                <w:lang w:val="en-US" w:eastAsia="zh-CN"/>
              </w:rPr>
              <w:t>《南通市关于加强减污降碳协同推进重点行业绿色发展的指导意见》（通办〔2024〕6号）相符性分析</w:t>
            </w:r>
          </w:p>
          <w:p>
            <w:pPr>
              <w:adjustRightInd w:val="0"/>
              <w:snapToGrid w:val="0"/>
              <w:spacing w:line="360" w:lineRule="auto"/>
              <w:ind w:firstLine="480"/>
              <w:rPr>
                <w:rFonts w:hint="default"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对照《南通市关于加强减污降碳协同推进重点行业绿色发展的指导意见》（通办〔2024〕6号）</w:t>
            </w:r>
            <w:r>
              <w:rPr>
                <w:rFonts w:hint="eastAsia" w:cs="Times New Roman"/>
                <w:color w:val="auto"/>
                <w:sz w:val="24"/>
                <w:szCs w:val="32"/>
                <w:highlight w:val="none"/>
                <w:lang w:val="en-US" w:eastAsia="zh-CN"/>
              </w:rPr>
              <w:t>文件要求</w:t>
            </w:r>
          </w:p>
          <w:p>
            <w:pPr>
              <w:adjustRightInd w:val="0"/>
              <w:snapToGrid w:val="0"/>
              <w:spacing w:line="360" w:lineRule="auto"/>
              <w:ind w:firstLine="480"/>
              <w:rPr>
                <w:rFonts w:hint="default" w:ascii="Times New Roman" w:hAnsi="Times New Roman" w:cs="Times New Roman"/>
                <w:color w:val="auto"/>
                <w:sz w:val="24"/>
                <w:szCs w:val="32"/>
                <w:highlight w:val="none"/>
              </w:rPr>
            </w:pPr>
            <w:r>
              <w:rPr>
                <w:rFonts w:hint="eastAsia" w:cs="Times New Roman"/>
                <w:color w:val="auto"/>
                <w:sz w:val="24"/>
                <w:szCs w:val="32"/>
                <w:highlight w:val="none"/>
                <w:lang w:val="en-US" w:eastAsia="zh-CN"/>
              </w:rPr>
              <w:t>本项目属于</w:t>
            </w:r>
            <w:r>
              <w:rPr>
                <w:rFonts w:hint="eastAsia" w:cs="Times New Roman"/>
                <w:color w:val="auto"/>
                <w:sz w:val="24"/>
                <w:szCs w:val="24"/>
                <w:highlight w:val="none"/>
                <w:lang w:eastAsia="zh-CN"/>
              </w:rPr>
              <w:t>C4111鬃毛加工、制刷及清扫工具制造</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不属于</w:t>
            </w:r>
            <w:r>
              <w:rPr>
                <w:rFonts w:hint="eastAsia" w:cs="Times New Roman"/>
                <w:color w:val="auto"/>
                <w:sz w:val="24"/>
                <w:szCs w:val="32"/>
                <w:highlight w:val="none"/>
                <w:lang w:val="en-US" w:eastAsia="zh-CN"/>
              </w:rPr>
              <w:t>印染、装备制造、电子信息、船舶海工、造纸、非金属制品、化工、电力与热力供应等行业，本项目生活污水经化粪池处理后接管至</w:t>
            </w:r>
            <w:r>
              <w:rPr>
                <w:rFonts w:hint="eastAsia" w:cs="Times New Roman"/>
                <w:color w:val="auto"/>
                <w:kern w:val="0"/>
                <w:sz w:val="24"/>
                <w:szCs w:val="24"/>
                <w:highlight w:val="none"/>
                <w:lang w:eastAsia="zh-CN"/>
              </w:rPr>
              <w:t>如皋恒发水处理有限公司，</w:t>
            </w:r>
            <w:r>
              <w:rPr>
                <w:rFonts w:hint="eastAsia" w:cs="Times New Roman"/>
                <w:color w:val="auto"/>
                <w:kern w:val="0"/>
                <w:sz w:val="24"/>
                <w:szCs w:val="24"/>
                <w:highlight w:val="none"/>
                <w:lang w:val="en-US" w:eastAsia="zh-CN"/>
              </w:rPr>
              <w:t>颗粒物经布袋除尘器处理后通过15米高排气筒DA001排放，有机废气经两套二级活性炭吸附装置处理后分别经15米高排气筒DA001、DA001排放，固废均能合理处置，</w:t>
            </w:r>
            <w:r>
              <w:rPr>
                <w:rFonts w:hint="eastAsia" w:cs="Times New Roman"/>
                <w:color w:val="auto"/>
                <w:sz w:val="24"/>
                <w:szCs w:val="32"/>
                <w:highlight w:val="none"/>
                <w:lang w:val="en-US" w:eastAsia="zh-CN"/>
              </w:rPr>
              <w:t>项目</w:t>
            </w:r>
            <w:r>
              <w:rPr>
                <w:rFonts w:hint="default" w:ascii="Times New Roman" w:hAnsi="Times New Roman" w:cs="Times New Roman"/>
                <w:color w:val="auto"/>
                <w:sz w:val="24"/>
                <w:szCs w:val="32"/>
                <w:highlight w:val="none"/>
              </w:rPr>
              <w:t>在生产过程中贯穿清洁生产理念，选用节能型设施，组织清洁生产，加强生产管理，不断推进企业的绿色发展。</w:t>
            </w:r>
          </w:p>
          <w:p>
            <w:pPr>
              <w:adjustRightInd w:val="0"/>
              <w:snapToGrid w:val="0"/>
              <w:spacing w:line="360" w:lineRule="auto"/>
              <w:ind w:firstLine="480"/>
              <w:rPr>
                <w:rFonts w:hint="default" w:ascii="Times New Roman" w:hAnsi="Times New Roman" w:cs="Times New Roman"/>
                <w:b/>
                <w:bCs/>
                <w:color w:val="auto"/>
                <w:sz w:val="24"/>
                <w:szCs w:val="24"/>
                <w:highlight w:val="none"/>
              </w:rPr>
            </w:pPr>
            <w:r>
              <w:rPr>
                <w:rFonts w:hint="default" w:ascii="Times New Roman" w:hAnsi="Times New Roman" w:cs="Times New Roman"/>
                <w:color w:val="auto"/>
                <w:sz w:val="24"/>
                <w:szCs w:val="32"/>
                <w:highlight w:val="none"/>
              </w:rPr>
              <w:t>因此，本项目符合</w:t>
            </w:r>
            <w:r>
              <w:rPr>
                <w:rFonts w:hint="default" w:ascii="Times New Roman" w:hAnsi="Times New Roman" w:cs="Times New Roman"/>
                <w:color w:val="auto"/>
                <w:sz w:val="24"/>
                <w:szCs w:val="32"/>
                <w:highlight w:val="none"/>
                <w:lang w:val="en-US" w:eastAsia="zh-CN"/>
              </w:rPr>
              <w:t>《南通市关于加强减污降碳协同推进重点行业绿色发展的指导意见》（通办〔2024〕6号）</w:t>
            </w:r>
            <w:r>
              <w:rPr>
                <w:rFonts w:hint="default" w:ascii="Times New Roman" w:hAnsi="Times New Roman" w:cs="Times New Roman"/>
                <w:color w:val="auto"/>
                <w:sz w:val="24"/>
                <w:szCs w:val="32"/>
                <w:highlight w:val="none"/>
              </w:rPr>
              <w:t>要求</w:t>
            </w:r>
            <w:r>
              <w:rPr>
                <w:rFonts w:hint="default" w:ascii="Times New Roman" w:hAnsi="Times New Roman" w:cs="Times New Roman"/>
                <w:color w:val="auto"/>
                <w:sz w:val="24"/>
                <w:szCs w:val="24"/>
                <w:highlight w:val="none"/>
              </w:rPr>
              <w:t>。</w:t>
            </w:r>
          </w:p>
          <w:p>
            <w:pPr>
              <w:adjustRightInd w:val="0"/>
              <w:snapToGrid w:val="0"/>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rPr>
              <w:t>（</w:t>
            </w:r>
            <w:r>
              <w:rPr>
                <w:rFonts w:hint="eastAsia" w:cs="Times New Roman"/>
                <w:b/>
                <w:color w:val="auto"/>
                <w:sz w:val="24"/>
                <w:szCs w:val="32"/>
                <w:highlight w:val="none"/>
                <w:lang w:val="en-US" w:eastAsia="zh-CN"/>
              </w:rPr>
              <w:t>5</w:t>
            </w:r>
            <w:r>
              <w:rPr>
                <w:rFonts w:hint="default" w:ascii="Times New Roman" w:hAnsi="Times New Roman" w:cs="Times New Roman"/>
                <w:b/>
                <w:color w:val="auto"/>
                <w:sz w:val="24"/>
                <w:szCs w:val="32"/>
                <w:highlight w:val="none"/>
              </w:rPr>
              <w:t>）与《江苏省挥发性有机物污染防治管理办法》（江苏省人民政府令第119号）相符性分析</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《江苏省挥发性有机物污染防治管理办法》</w:t>
            </w:r>
            <w:bookmarkStart w:id="1" w:name="_Hlk83730483"/>
            <w:r>
              <w:rPr>
                <w:rFonts w:hint="default" w:ascii="Times New Roman" w:hAnsi="Times New Roman" w:cs="Times New Roman"/>
                <w:color w:val="auto"/>
                <w:sz w:val="24"/>
                <w:szCs w:val="24"/>
                <w:highlight w:val="none"/>
              </w:rPr>
              <w:t>（江苏省人民政府令第119号）</w:t>
            </w:r>
            <w:bookmarkEnd w:id="1"/>
            <w:r>
              <w:rPr>
                <w:rFonts w:hint="default" w:ascii="Times New Roman" w:hAnsi="Times New Roman" w:cs="Times New Roman"/>
                <w:color w:val="auto"/>
                <w:sz w:val="24"/>
                <w:szCs w:val="24"/>
                <w:highlight w:val="none"/>
              </w:rPr>
              <w:t>已于2018年1月15日经省人民政府第121次常务会议讨论通过，自2018年5月1日起施行。本项目与其相符性分析如下。</w:t>
            </w:r>
          </w:p>
          <w:p>
            <w:pPr>
              <w:jc w:val="center"/>
              <w:rPr>
                <w:rFonts w:hint="default" w:ascii="Times New Roman" w:hAnsi="Times New Roman" w:cs="Times New Roman" w:eastAsiaTheme="minorEastAsia"/>
                <w:b/>
                <w:color w:val="auto"/>
                <w:kern w:val="0"/>
                <w:sz w:val="24"/>
                <w:szCs w:val="24"/>
                <w:highlight w:val="none"/>
              </w:rPr>
            </w:pPr>
            <w:r>
              <w:rPr>
                <w:rFonts w:hint="default" w:ascii="Times New Roman" w:hAnsi="Times New Roman" w:cs="Times New Roman" w:eastAsiaTheme="minorEastAsia"/>
                <w:b/>
                <w:color w:val="auto"/>
                <w:kern w:val="0"/>
                <w:sz w:val="24"/>
                <w:szCs w:val="24"/>
                <w:highlight w:val="none"/>
              </w:rPr>
              <w:t>表1-</w:t>
            </w:r>
            <w:r>
              <w:rPr>
                <w:rFonts w:hint="eastAsia" w:cs="Times New Roman" w:eastAsiaTheme="minorEastAsia"/>
                <w:b/>
                <w:color w:val="auto"/>
                <w:kern w:val="0"/>
                <w:sz w:val="24"/>
                <w:szCs w:val="24"/>
                <w:highlight w:val="none"/>
                <w:lang w:val="en-US" w:eastAsia="zh-CN"/>
              </w:rPr>
              <w:t>11</w:t>
            </w:r>
            <w:r>
              <w:rPr>
                <w:rFonts w:hint="default" w:ascii="Times New Roman" w:hAnsi="Times New Roman" w:cs="Times New Roman" w:eastAsiaTheme="minorEastAsia"/>
                <w:b/>
                <w:color w:val="auto"/>
                <w:kern w:val="0"/>
                <w:sz w:val="24"/>
                <w:szCs w:val="24"/>
                <w:highlight w:val="none"/>
              </w:rPr>
              <w:t>与江苏省人民政府令第119号文相符性分析</w:t>
            </w:r>
          </w:p>
          <w:tbl>
            <w:tblPr>
              <w:tblStyle w:val="25"/>
              <w:tblW w:w="7897" w:type="dxa"/>
              <w:tblInd w:w="5"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
            <w:tblGrid>
              <w:gridCol w:w="3670"/>
              <w:gridCol w:w="3467"/>
              <w:gridCol w:w="760"/>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blHeader/>
              </w:trPr>
              <w:tc>
                <w:tcPr>
                  <w:tcW w:w="367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
                      <w:iCs/>
                      <w:color w:val="auto"/>
                      <w:sz w:val="21"/>
                      <w:szCs w:val="21"/>
                      <w:highlight w:val="none"/>
                    </w:rPr>
                  </w:pPr>
                  <w:r>
                    <w:rPr>
                      <w:rFonts w:hint="eastAsia" w:cs="Times New Roman" w:eastAsiaTheme="minorEastAsia"/>
                      <w:b/>
                      <w:iCs/>
                      <w:color w:val="auto"/>
                      <w:sz w:val="21"/>
                      <w:szCs w:val="21"/>
                      <w:highlight w:val="none"/>
                      <w:lang w:val="en-US" w:eastAsia="zh-CN"/>
                    </w:rPr>
                    <w:t>文件</w:t>
                  </w:r>
                  <w:r>
                    <w:rPr>
                      <w:rFonts w:hint="default" w:ascii="Times New Roman" w:hAnsi="Times New Roman" w:cs="Times New Roman" w:eastAsiaTheme="minorEastAsia"/>
                      <w:b/>
                      <w:iCs/>
                      <w:color w:val="auto"/>
                      <w:sz w:val="21"/>
                      <w:szCs w:val="21"/>
                      <w:highlight w:val="none"/>
                    </w:rPr>
                    <w:t>要求</w:t>
                  </w:r>
                </w:p>
              </w:tc>
              <w:tc>
                <w:tcPr>
                  <w:tcW w:w="3467"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
                      <w:iCs/>
                      <w:color w:val="auto"/>
                      <w:sz w:val="21"/>
                      <w:szCs w:val="21"/>
                      <w:highlight w:val="none"/>
                    </w:rPr>
                  </w:pPr>
                  <w:r>
                    <w:rPr>
                      <w:rFonts w:hint="default" w:ascii="Times New Roman" w:hAnsi="Times New Roman" w:cs="Times New Roman" w:eastAsiaTheme="minorEastAsia"/>
                      <w:b/>
                      <w:iCs/>
                      <w:color w:val="auto"/>
                      <w:sz w:val="21"/>
                      <w:szCs w:val="21"/>
                      <w:highlight w:val="none"/>
                    </w:rPr>
                    <w:t>本项目情况</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
                      <w:iCs/>
                      <w:color w:val="auto"/>
                      <w:sz w:val="21"/>
                      <w:szCs w:val="21"/>
                      <w:highlight w:val="none"/>
                    </w:rPr>
                  </w:pPr>
                  <w:r>
                    <w:rPr>
                      <w:rFonts w:hint="default" w:ascii="Times New Roman" w:hAnsi="Times New Roman" w:cs="Times New Roman" w:eastAsiaTheme="minorEastAsia"/>
                      <w:b/>
                      <w:iCs/>
                      <w:color w:val="auto"/>
                      <w:sz w:val="21"/>
                      <w:szCs w:val="21"/>
                      <w:highlight w:val="none"/>
                    </w:rPr>
                    <w:t>相符性</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rPr>
              <w:tc>
                <w:tcPr>
                  <w:tcW w:w="3670"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第十五条排放挥发性有机物的生产经营者应当履行防治挥发性有机物污染的义务，根据国家和省相关标准以及防治技术指南，采用挥发性有机物污染控制技术，规范操作规程，组织生产经营管理，确保挥发性有机物的排放符合相应的排放标准。</w:t>
                  </w:r>
                </w:p>
              </w:tc>
              <w:tc>
                <w:tcPr>
                  <w:tcW w:w="3467" w:type="dxa"/>
                  <w:tcBorders>
                    <w:tl2br w:val="nil"/>
                    <w:tr2bl w:val="nil"/>
                  </w:tcBorders>
                  <w:vAlign w:val="center"/>
                </w:tcPr>
                <w:p>
                  <w:pPr>
                    <w:adjustRightInd w:val="0"/>
                    <w:snapToGrid w:val="0"/>
                    <w:jc w:val="center"/>
                    <w:rPr>
                      <w:rFonts w:hint="eastAsia" w:ascii="Times New Roman" w:hAnsi="Times New Roman" w:cs="Times New Roman" w:eastAsiaTheme="minorEastAsia"/>
                      <w:bCs/>
                      <w:color w:val="auto"/>
                      <w:sz w:val="21"/>
                      <w:szCs w:val="21"/>
                      <w:highlight w:val="none"/>
                      <w:lang w:eastAsia="zh-CN"/>
                    </w:rPr>
                  </w:pPr>
                  <w:r>
                    <w:rPr>
                      <w:rFonts w:hint="default" w:ascii="Times New Roman" w:hAnsi="Times New Roman" w:cs="Times New Roman" w:eastAsiaTheme="minorEastAsia"/>
                      <w:bCs/>
                      <w:color w:val="auto"/>
                      <w:sz w:val="21"/>
                      <w:szCs w:val="21"/>
                      <w:highlight w:val="none"/>
                    </w:rPr>
                    <w:t>本项</w:t>
                  </w:r>
                  <w:r>
                    <w:rPr>
                      <w:rFonts w:hint="eastAsia" w:cs="Times New Roman" w:eastAsiaTheme="minorEastAsia"/>
                      <w:bCs/>
                      <w:color w:val="auto"/>
                      <w:sz w:val="21"/>
                      <w:szCs w:val="21"/>
                      <w:highlight w:val="none"/>
                      <w:lang w:val="en-US" w:eastAsia="zh-CN"/>
                    </w:rPr>
                    <w:t>生产过程中</w:t>
                  </w:r>
                  <w:r>
                    <w:rPr>
                      <w:rFonts w:hint="default" w:ascii="Times New Roman" w:hAnsi="Times New Roman" w:cs="Times New Roman" w:eastAsiaTheme="minorEastAsia"/>
                      <w:bCs/>
                      <w:color w:val="auto"/>
                      <w:sz w:val="21"/>
                      <w:szCs w:val="21"/>
                      <w:highlight w:val="none"/>
                    </w:rPr>
                    <w:t>产生的有机废气经集气罩收集后采取二级活性炭吸附</w:t>
                  </w:r>
                  <w:r>
                    <w:rPr>
                      <w:rFonts w:hint="eastAsia" w:cs="Times New Roman" w:eastAsiaTheme="minorEastAsia"/>
                      <w:bCs/>
                      <w:color w:val="auto"/>
                      <w:sz w:val="21"/>
                      <w:szCs w:val="21"/>
                      <w:highlight w:val="none"/>
                      <w:lang w:val="en-US" w:eastAsia="zh-CN"/>
                    </w:rPr>
                    <w:t>处理达标</w:t>
                  </w:r>
                  <w:r>
                    <w:rPr>
                      <w:rFonts w:hint="default" w:ascii="Times New Roman" w:hAnsi="Times New Roman" w:cs="Times New Roman" w:eastAsiaTheme="minorEastAsia"/>
                      <w:bCs/>
                      <w:color w:val="auto"/>
                      <w:sz w:val="21"/>
                      <w:szCs w:val="21"/>
                      <w:highlight w:val="none"/>
                    </w:rPr>
                    <w:t>后高空排放</w:t>
                  </w:r>
                  <w:r>
                    <w:rPr>
                      <w:rFonts w:hint="eastAsia" w:cs="Times New Roman" w:eastAsiaTheme="minorEastAsia"/>
                      <w:bCs/>
                      <w:color w:val="auto"/>
                      <w:sz w:val="21"/>
                      <w:szCs w:val="21"/>
                      <w:highlight w:val="none"/>
                      <w:lang w:eastAsia="zh-CN"/>
                    </w:rPr>
                    <w:t>。</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rPr>
              <w:tc>
                <w:tcPr>
                  <w:tcW w:w="367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第十六条挥发性有机物排放应当在排污许可分类管理名录规定的时限内按照排污许可证载明的要求进行</w:t>
                  </w:r>
                  <w:r>
                    <w:rPr>
                      <w:rFonts w:hint="default" w:ascii="Times New Roman" w:hAnsi="Times New Roman" w:cs="Times New Roman" w:eastAsiaTheme="minorEastAsia"/>
                      <w:bCs/>
                      <w:iCs/>
                      <w:color w:val="auto"/>
                      <w:sz w:val="21"/>
                      <w:szCs w:val="21"/>
                      <w:highlight w:val="none"/>
                      <w:lang w:eastAsia="zh-CN"/>
                    </w:rPr>
                    <w:t>；</w:t>
                  </w:r>
                  <w:r>
                    <w:rPr>
                      <w:rFonts w:hint="default" w:ascii="Times New Roman" w:hAnsi="Times New Roman" w:cs="Times New Roman" w:eastAsiaTheme="minorEastAsia"/>
                      <w:bCs/>
                      <w:iCs/>
                      <w:color w:val="auto"/>
                      <w:sz w:val="21"/>
                      <w:szCs w:val="21"/>
                      <w:highlight w:val="none"/>
                    </w:rPr>
                    <w:t>禁止无证排污或者不按证排污。</w:t>
                  </w:r>
                </w:p>
              </w:tc>
              <w:tc>
                <w:tcPr>
                  <w:tcW w:w="3467"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lang w:val="en-US" w:eastAsia="zh-CN"/>
                    </w:rPr>
                  </w:pPr>
                  <w:r>
                    <w:rPr>
                      <w:rFonts w:hint="default" w:ascii="Times New Roman" w:hAnsi="Times New Roman" w:cs="Times New Roman" w:eastAsiaTheme="minorEastAsia"/>
                      <w:bCs/>
                      <w:color w:val="auto"/>
                      <w:sz w:val="21"/>
                      <w:szCs w:val="21"/>
                      <w:highlight w:val="none"/>
                    </w:rPr>
                    <w:t>本项目建成后按照《排污许可管理条例》（2021年3月1日起施行）、《固定污染源排污许可分类管理名录（2019年版）》</w:t>
                  </w:r>
                  <w:r>
                    <w:rPr>
                      <w:rFonts w:hint="eastAsia" w:cs="Times New Roman" w:eastAsiaTheme="minorEastAsia"/>
                      <w:bCs/>
                      <w:color w:val="auto"/>
                      <w:sz w:val="21"/>
                      <w:szCs w:val="21"/>
                      <w:highlight w:val="none"/>
                      <w:lang w:eastAsia="zh-CN"/>
                    </w:rPr>
                    <w:t>，</w:t>
                  </w:r>
                  <w:r>
                    <w:rPr>
                      <w:rFonts w:hint="eastAsia" w:cs="Times New Roman" w:eastAsiaTheme="minorEastAsia"/>
                      <w:bCs/>
                      <w:color w:val="auto"/>
                      <w:sz w:val="21"/>
                      <w:szCs w:val="21"/>
                      <w:highlight w:val="none"/>
                      <w:lang w:val="en-US" w:eastAsia="zh-CN"/>
                    </w:rPr>
                    <w:t>本项目不涉及通用工序，实行登记管理。</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rPr>
              <w:tc>
                <w:tcPr>
                  <w:tcW w:w="3670"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第十七条挥发性有机物排放单位应当按照有关规定和监测规范自行或者委托有关监测机构对其排放的挥发性有机物进行监测，记录、保存监测数据，并按照规定向社会公开。</w:t>
                  </w:r>
                </w:p>
              </w:tc>
              <w:tc>
                <w:tcPr>
                  <w:tcW w:w="3467"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本次评价按照《排污许可证申请与核发技术规范</w:t>
                  </w:r>
                  <w:r>
                    <w:rPr>
                      <w:rFonts w:hint="eastAsia" w:cs="Times New Roman" w:eastAsiaTheme="minorEastAsia"/>
                      <w:bCs/>
                      <w:color w:val="auto"/>
                      <w:sz w:val="21"/>
                      <w:szCs w:val="21"/>
                      <w:highlight w:val="none"/>
                      <w:lang w:val="en-US" w:eastAsia="zh-CN"/>
                    </w:rPr>
                    <w:t>总则</w:t>
                  </w:r>
                  <w:r>
                    <w:rPr>
                      <w:rFonts w:hint="default" w:ascii="Times New Roman" w:hAnsi="Times New Roman" w:cs="Times New Roman" w:eastAsiaTheme="minorEastAsia"/>
                      <w:bCs/>
                      <w:color w:val="auto"/>
                      <w:sz w:val="21"/>
                      <w:szCs w:val="21"/>
                      <w:highlight w:val="none"/>
                    </w:rPr>
                    <w:t>》（HJ</w:t>
                  </w:r>
                  <w:r>
                    <w:rPr>
                      <w:rFonts w:hint="eastAsia" w:cs="Times New Roman" w:eastAsiaTheme="minorEastAsia"/>
                      <w:bCs/>
                      <w:color w:val="auto"/>
                      <w:sz w:val="21"/>
                      <w:szCs w:val="21"/>
                      <w:highlight w:val="none"/>
                      <w:lang w:val="en-US" w:eastAsia="zh-CN"/>
                    </w:rPr>
                    <w:t>942-2018</w:t>
                  </w:r>
                  <w:r>
                    <w:rPr>
                      <w:rFonts w:hint="default" w:ascii="Times New Roman" w:hAnsi="Times New Roman" w:cs="Times New Roman" w:eastAsiaTheme="minorEastAsia"/>
                      <w:bCs/>
                      <w:color w:val="auto"/>
                      <w:sz w:val="21"/>
                      <w:szCs w:val="21"/>
                      <w:highlight w:val="none"/>
                    </w:rPr>
                    <w:t>）、</w:t>
                  </w:r>
                  <w:r>
                    <w:rPr>
                      <w:rFonts w:hint="default" w:ascii="Times New Roman" w:hAnsi="Times New Roman" w:cs="Times New Roman" w:eastAsiaTheme="minorEastAsia"/>
                      <w:bCs/>
                      <w:snapToGrid w:val="0"/>
                      <w:color w:val="auto"/>
                      <w:kern w:val="0"/>
                      <w:sz w:val="21"/>
                      <w:szCs w:val="21"/>
                      <w:highlight w:val="none"/>
                    </w:rPr>
                    <w:t>等规范</w:t>
                  </w:r>
                  <w:r>
                    <w:rPr>
                      <w:rFonts w:hint="default" w:ascii="Times New Roman" w:hAnsi="Times New Roman" w:cs="Times New Roman" w:eastAsiaTheme="minorEastAsia"/>
                      <w:bCs/>
                      <w:color w:val="auto"/>
                      <w:sz w:val="21"/>
                      <w:szCs w:val="21"/>
                      <w:highlight w:val="none"/>
                    </w:rPr>
                    <w:t>制定本项目污染源监测计划，建设单位按照本项目污染源监测计划定期委托有资质单位进行监测，并将监测数据向社会公开。</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rPr>
              <w:tc>
                <w:tcPr>
                  <w:tcW w:w="3670"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第十八条挥发性有机物排放重点单位应当按照有关规定和监测规范安装挥发性有机物自动监测设备，与环境保护主管部门的监控系统联网，保证其正常运行和数据传输，并按照规定如实向社会公开相关数据和信息，接受社会监督。</w:t>
                  </w:r>
                </w:p>
              </w:tc>
              <w:tc>
                <w:tcPr>
                  <w:tcW w:w="3467"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lang w:eastAsia="zh-CN"/>
                    </w:rPr>
                  </w:pPr>
                  <w:r>
                    <w:rPr>
                      <w:rFonts w:hint="default" w:ascii="Times New Roman" w:hAnsi="Times New Roman" w:cs="Times New Roman" w:eastAsiaTheme="minorEastAsia"/>
                      <w:bCs/>
                      <w:color w:val="auto"/>
                      <w:sz w:val="21"/>
                      <w:szCs w:val="21"/>
                      <w:highlight w:val="none"/>
                    </w:rPr>
                    <w:t>本项目不属于挥发性有机物排放重点单位</w:t>
                  </w:r>
                  <w:r>
                    <w:rPr>
                      <w:rFonts w:hint="default" w:ascii="Times New Roman" w:hAnsi="Times New Roman" w:cs="Times New Roman" w:eastAsiaTheme="minorEastAsia"/>
                      <w:bCs/>
                      <w:color w:val="auto"/>
                      <w:sz w:val="21"/>
                      <w:szCs w:val="21"/>
                      <w:highlight w:val="none"/>
                      <w:lang w:eastAsia="zh-CN"/>
                    </w:rPr>
                    <w:t>。</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符合</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57" w:type="dxa"/>
                  <w:bottom w:w="0" w:type="dxa"/>
                  <w:right w:w="57" w:type="dxa"/>
                </w:tblCellMar>
              </w:tblPrEx>
              <w:trPr>
                <w:trHeight w:val="340" w:hRule="atLeast"/>
              </w:trPr>
              <w:tc>
                <w:tcPr>
                  <w:tcW w:w="3670" w:type="dxa"/>
                  <w:tcBorders>
                    <w:tl2br w:val="nil"/>
                    <w:tr2bl w:val="nil"/>
                  </w:tcBorders>
                  <w:vAlign w:val="center"/>
                </w:tcPr>
                <w:p>
                  <w:pPr>
                    <w:adjustRightInd w:val="0"/>
                    <w:snapToGrid w:val="0"/>
                    <w:jc w:val="center"/>
                    <w:rPr>
                      <w:rFonts w:hint="default" w:ascii="Times New Roman" w:hAnsi="Times New Roman" w:cs="Times New Roman" w:eastAsiaTheme="minorEastAsia"/>
                      <w:bCs/>
                      <w:color w:val="auto"/>
                      <w:sz w:val="21"/>
                      <w:szCs w:val="21"/>
                      <w:highlight w:val="none"/>
                    </w:rPr>
                  </w:pPr>
                  <w:r>
                    <w:rPr>
                      <w:rFonts w:hint="default" w:ascii="Times New Roman" w:hAnsi="Times New Roman" w:cs="Times New Roman" w:eastAsiaTheme="minorEastAsia"/>
                      <w:bCs/>
                      <w:color w:val="auto"/>
                      <w:sz w:val="21"/>
                      <w:szCs w:val="21"/>
                      <w:highlight w:val="none"/>
                    </w:rPr>
                    <w:t>第二十一条产生挥发性有机物废气的生产经营活动应当在密闭空间或者密闭设备中进行。生产场所、生产设备应当按照环境保护和安全生产等要求设计、安装和有效运行挥发性有机物回收或者净化设施</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固体废物、废水、废气处理系统产生的废气应当收集和处理</w:t>
                  </w:r>
                  <w:r>
                    <w:rPr>
                      <w:rFonts w:hint="default" w:ascii="Times New Roman" w:hAnsi="Times New Roman" w:cs="Times New Roman" w:eastAsiaTheme="minorEastAsia"/>
                      <w:bCs/>
                      <w:color w:val="auto"/>
                      <w:sz w:val="21"/>
                      <w:szCs w:val="21"/>
                      <w:highlight w:val="none"/>
                      <w:lang w:eastAsia="zh-CN"/>
                    </w:rPr>
                    <w:t>；</w:t>
                  </w:r>
                  <w:r>
                    <w:rPr>
                      <w:rFonts w:hint="default" w:ascii="Times New Roman" w:hAnsi="Times New Roman" w:cs="Times New Roman" w:eastAsiaTheme="minorEastAsia"/>
                      <w:bCs/>
                      <w:color w:val="auto"/>
                      <w:sz w:val="21"/>
                      <w:szCs w:val="21"/>
                      <w:highlight w:val="none"/>
                    </w:rPr>
                    <w:t>含有挥发性有机物的物料应当密闭储存、运输、装卸，禁止敞口和露天放置。</w:t>
                  </w:r>
                </w:p>
              </w:tc>
              <w:tc>
                <w:tcPr>
                  <w:tcW w:w="3467" w:type="dxa"/>
                  <w:tcBorders>
                    <w:tl2br w:val="nil"/>
                    <w:tr2bl w:val="nil"/>
                  </w:tcBorders>
                  <w:vAlign w:val="center"/>
                </w:tcPr>
                <w:p>
                  <w:pPr>
                    <w:adjustRightInd w:val="0"/>
                    <w:snapToGrid w:val="0"/>
                    <w:jc w:val="center"/>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cs="Times New Roman"/>
                      <w:color w:val="auto"/>
                      <w:sz w:val="21"/>
                      <w:szCs w:val="21"/>
                      <w:highlight w:val="none"/>
                    </w:rPr>
                    <w:t>本项目</w:t>
                  </w:r>
                  <w:r>
                    <w:rPr>
                      <w:rFonts w:hint="eastAsia" w:cs="Times New Roman"/>
                      <w:color w:val="auto"/>
                      <w:sz w:val="21"/>
                      <w:szCs w:val="21"/>
                      <w:highlight w:val="none"/>
                      <w:lang w:val="en-US" w:eastAsia="zh-CN"/>
                    </w:rPr>
                    <w:t>产生挥发性有机物废气的工段按照要求设置集气罩收集和二级活性炭吸附装置进行处理，项目固废、废水、废气均能够得到有效治理。</w:t>
                  </w:r>
                </w:p>
              </w:tc>
              <w:tc>
                <w:tcPr>
                  <w:tcW w:w="760" w:type="dxa"/>
                  <w:tcBorders>
                    <w:tl2br w:val="nil"/>
                    <w:tr2bl w:val="nil"/>
                  </w:tcBorders>
                  <w:vAlign w:val="center"/>
                </w:tcPr>
                <w:p>
                  <w:pPr>
                    <w:widowControl/>
                    <w:adjustRightInd w:val="0"/>
                    <w:snapToGrid w:val="0"/>
                    <w:jc w:val="center"/>
                    <w:rPr>
                      <w:rFonts w:hint="default" w:ascii="Times New Roman" w:hAnsi="Times New Roman" w:cs="Times New Roman" w:eastAsiaTheme="minorEastAsia"/>
                      <w:bCs/>
                      <w:iCs/>
                      <w:color w:val="auto"/>
                      <w:sz w:val="21"/>
                      <w:szCs w:val="21"/>
                      <w:highlight w:val="none"/>
                    </w:rPr>
                  </w:pPr>
                  <w:r>
                    <w:rPr>
                      <w:rFonts w:hint="default" w:ascii="Times New Roman" w:hAnsi="Times New Roman" w:cs="Times New Roman" w:eastAsiaTheme="minorEastAsia"/>
                      <w:bCs/>
                      <w:iCs/>
                      <w:color w:val="auto"/>
                      <w:sz w:val="21"/>
                      <w:szCs w:val="21"/>
                      <w:highlight w:val="none"/>
                    </w:rPr>
                    <w:t>符合</w:t>
                  </w:r>
                </w:p>
              </w:tc>
            </w:tr>
          </w:tbl>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综上，本项目符合《江苏省挥发性有机物污染防治管理办法》（江苏省人民政府令第119号）相关要求。</w:t>
            </w:r>
          </w:p>
          <w:p>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w:t>
            </w:r>
            <w:r>
              <w:rPr>
                <w:rFonts w:hint="eastAsia" w:cs="Times New Roman"/>
                <w:b/>
                <w:color w:val="auto"/>
                <w:sz w:val="24"/>
                <w:szCs w:val="24"/>
                <w:highlight w:val="none"/>
                <w:lang w:val="en-US" w:eastAsia="zh-CN"/>
              </w:rPr>
              <w:t>6</w:t>
            </w:r>
            <w:r>
              <w:rPr>
                <w:rFonts w:hint="default" w:ascii="Times New Roman" w:hAnsi="Times New Roman" w:cs="Times New Roman"/>
                <w:b/>
                <w:color w:val="auto"/>
                <w:sz w:val="24"/>
                <w:szCs w:val="24"/>
                <w:highlight w:val="none"/>
              </w:rPr>
              <w:t>）与《省生态环境厅关于深入开展涉VOCs治理重点工作核查的通知》（苏环办</w:t>
            </w:r>
            <w:r>
              <w:rPr>
                <w:rFonts w:hint="eastAsia" w:cs="Times New Roman"/>
                <w:b/>
                <w:color w:val="auto"/>
                <w:sz w:val="24"/>
                <w:szCs w:val="24"/>
                <w:highlight w:val="none"/>
                <w:lang w:eastAsia="zh-CN"/>
              </w:rPr>
              <w:t>〔</w:t>
            </w:r>
            <w:r>
              <w:rPr>
                <w:rFonts w:hint="default" w:ascii="Times New Roman" w:hAnsi="Times New Roman" w:cs="Times New Roman"/>
                <w:b/>
                <w:color w:val="auto"/>
                <w:sz w:val="24"/>
                <w:szCs w:val="24"/>
                <w:highlight w:val="none"/>
              </w:rPr>
              <w:t>2022</w:t>
            </w:r>
            <w:r>
              <w:rPr>
                <w:rFonts w:hint="eastAsia" w:cs="Times New Roman"/>
                <w:b/>
                <w:color w:val="auto"/>
                <w:sz w:val="24"/>
                <w:szCs w:val="24"/>
                <w:highlight w:val="none"/>
                <w:lang w:eastAsia="zh-CN"/>
              </w:rPr>
              <w:t>〕</w:t>
            </w:r>
            <w:r>
              <w:rPr>
                <w:rFonts w:hint="default" w:ascii="Times New Roman" w:hAnsi="Times New Roman" w:cs="Times New Roman"/>
                <w:b/>
                <w:color w:val="auto"/>
                <w:sz w:val="24"/>
                <w:szCs w:val="24"/>
                <w:highlight w:val="none"/>
              </w:rPr>
              <w:t>218号文）相符性分析</w:t>
            </w:r>
          </w:p>
          <w:p>
            <w:pPr>
              <w:jc w:val="center"/>
              <w:rPr>
                <w:rFonts w:hint="default" w:ascii="Times New Roman" w:hAnsi="Times New Roman" w:cs="Times New Roman" w:eastAsiaTheme="minorEastAsia"/>
                <w:b/>
                <w:color w:val="auto"/>
                <w:kern w:val="0"/>
                <w:sz w:val="24"/>
                <w:szCs w:val="24"/>
                <w:highlight w:val="none"/>
              </w:rPr>
            </w:pPr>
            <w:r>
              <w:rPr>
                <w:rFonts w:hint="default" w:ascii="Times New Roman" w:hAnsi="Times New Roman" w:cs="Times New Roman" w:eastAsiaTheme="minorEastAsia"/>
                <w:b/>
                <w:color w:val="auto"/>
                <w:kern w:val="0"/>
                <w:sz w:val="24"/>
                <w:szCs w:val="24"/>
                <w:highlight w:val="none"/>
              </w:rPr>
              <w:t>表1-1</w:t>
            </w:r>
            <w:r>
              <w:rPr>
                <w:rFonts w:hint="eastAsia" w:cs="Times New Roman" w:eastAsiaTheme="minorEastAsia"/>
                <w:b/>
                <w:color w:val="auto"/>
                <w:kern w:val="0"/>
                <w:sz w:val="24"/>
                <w:szCs w:val="24"/>
                <w:highlight w:val="none"/>
                <w:lang w:val="en-US" w:eastAsia="zh-CN"/>
              </w:rPr>
              <w:t>2</w:t>
            </w:r>
            <w:r>
              <w:rPr>
                <w:rFonts w:hint="default" w:ascii="Times New Roman" w:hAnsi="Times New Roman" w:cs="Times New Roman" w:eastAsiaTheme="minorEastAsia"/>
                <w:b/>
                <w:color w:val="auto"/>
                <w:kern w:val="0"/>
                <w:sz w:val="24"/>
                <w:szCs w:val="24"/>
                <w:highlight w:val="none"/>
              </w:rPr>
              <w:t>与苏环办</w:t>
            </w:r>
            <w:r>
              <w:rPr>
                <w:rFonts w:hint="eastAsia" w:cs="Times New Roman" w:eastAsiaTheme="minorEastAsia"/>
                <w:b/>
                <w:color w:val="auto"/>
                <w:kern w:val="0"/>
                <w:sz w:val="24"/>
                <w:szCs w:val="24"/>
                <w:highlight w:val="none"/>
                <w:lang w:eastAsia="zh-CN"/>
              </w:rPr>
              <w:t>〔</w:t>
            </w:r>
            <w:r>
              <w:rPr>
                <w:rFonts w:hint="default" w:ascii="Times New Roman" w:hAnsi="Times New Roman" w:cs="Times New Roman" w:eastAsiaTheme="minorEastAsia"/>
                <w:b/>
                <w:color w:val="auto"/>
                <w:kern w:val="0"/>
                <w:sz w:val="24"/>
                <w:szCs w:val="24"/>
                <w:highlight w:val="none"/>
              </w:rPr>
              <w:t>2022</w:t>
            </w:r>
            <w:r>
              <w:rPr>
                <w:rFonts w:hint="eastAsia" w:cs="Times New Roman" w:eastAsiaTheme="minorEastAsia"/>
                <w:b/>
                <w:color w:val="auto"/>
                <w:kern w:val="0"/>
                <w:sz w:val="24"/>
                <w:szCs w:val="24"/>
                <w:highlight w:val="none"/>
                <w:lang w:eastAsia="zh-CN"/>
              </w:rPr>
              <w:t>〕</w:t>
            </w:r>
            <w:r>
              <w:rPr>
                <w:rFonts w:hint="default" w:ascii="Times New Roman" w:hAnsi="Times New Roman" w:cs="Times New Roman" w:eastAsiaTheme="minorEastAsia"/>
                <w:b/>
                <w:color w:val="auto"/>
                <w:kern w:val="0"/>
                <w:sz w:val="24"/>
                <w:szCs w:val="24"/>
                <w:highlight w:val="none"/>
              </w:rPr>
              <w:t>218号文的相符性分析</w:t>
            </w:r>
          </w:p>
          <w:tbl>
            <w:tblPr>
              <w:tblStyle w:val="25"/>
              <w:tblW w:w="7813"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14"/>
              <w:gridCol w:w="644"/>
              <w:gridCol w:w="3857"/>
              <w:gridCol w:w="269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序号</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分类</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要求</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对照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一</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设计风量</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涉VOCs排放工序应在密闭空间中操作或采用全密闭集气罩收集，无法密闭采用局部集气罩的，应根据废气排放特点合理选择收集点位，按《排风罩的分类和技术条件》</w:t>
                  </w:r>
                  <w:r>
                    <w:rPr>
                      <w:rFonts w:hint="eastAsia"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GB/T16758</w:t>
                  </w:r>
                  <w:r>
                    <w:rPr>
                      <w:rFonts w:hint="eastAsia"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规定，设置能有效收集废气的集气罩，距集气罩开口面最远处的VOCs无组织排放位置，控制风速不低于0.3米/秒。活性炭吸附装置风机应满足依据车间集气罩形状、大小数量及控制风速等测算的风量所需，达不到要求的通过更换大功率风机、增设烟道风机、增加垂帘等方式进行改造。</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本项目采取集气罩收集，风速大于0.3m/s，活性炭按照规范进行设计。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二</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设备质量</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无论是卧式活性炭罐还是箱式活性炭罐内部结构应设计合理，气体流通顺畅、无短路、无死角。活性炭吸附装置的门、焊缝、管道连接处等均应严密，不得漏气，所有螺栓、螺母均应经过表面处理，连接牢固。金属材质装置外壳应采用不锈钢或防腐处理，表面光洁不得有锈蚀、毛刺、凹凸不平等缺陷。</w:t>
                  </w:r>
                </w:p>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排放风机宜安装在吸附装置后端，使装置形成负压，尽量保证无污染气体泄漏到设备箱罐体体外。</w:t>
                  </w:r>
                </w:p>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应在活性炭吸附装置进气和出气管道上设置采样口，采样口设置应符合《环境保护产品技术要求工业废气吸附净化装置HJT3862007》的要求，便于日常监测活性炭吸附效率。根据活性炭更换周期及时更换活性炭，更换下来的活性炭按危险废物处理。采用活性炭吸附装置的企业应配备VOCs快速监测设备。</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本项目为箱式活性炭罐，内部符合要求</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气体活性炭吸附装置</w:t>
                  </w:r>
                  <w:r>
                    <w:rPr>
                      <w:rFonts w:hint="eastAsia" w:cs="Times New Roman" w:eastAsiaTheme="minorEastAsia"/>
                      <w:color w:val="auto"/>
                      <w:sz w:val="21"/>
                      <w:szCs w:val="21"/>
                      <w:highlight w:val="none"/>
                      <w:lang w:eastAsia="zh-CN"/>
                    </w:rPr>
                    <w:t>阀门</w:t>
                  </w:r>
                  <w:r>
                    <w:rPr>
                      <w:rFonts w:hint="default" w:ascii="Times New Roman" w:hAnsi="Times New Roman" w:cs="Times New Roman" w:eastAsiaTheme="minorEastAsia"/>
                      <w:color w:val="auto"/>
                      <w:sz w:val="21"/>
                      <w:szCs w:val="21"/>
                      <w:highlight w:val="none"/>
                    </w:rPr>
                    <w:t>、焊缝、管道连接处等均连接严密，无漏气。外壳采用</w:t>
                  </w:r>
                  <w:r>
                    <w:rPr>
                      <w:rFonts w:hint="default" w:ascii="Times New Roman" w:hAnsi="Times New Roman" w:cs="Times New Roman" w:eastAsiaTheme="minorEastAsia"/>
                      <w:color w:val="auto"/>
                      <w:sz w:val="21"/>
                      <w:szCs w:val="21"/>
                      <w:highlight w:val="none"/>
                      <w:lang w:val="en-US" w:eastAsia="zh-CN"/>
                    </w:rPr>
                    <w:t>防腐处理</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排放风机安装在吸附装置后端</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活性炭吸附装置进气和出气管道上设置采样口，采样口设置符合《环境保护产品技术要求工业废气吸附净化装置HJT3862007》的要求。企业根据活性炭更换周期及时更换活性炭，更换下来的活性炭按危险废物处理。后期企业生产后应配备VOCs快速监测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三</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气体流速</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吸附装置吸附层的气体流速应根据吸附剂的形态确定。采用颗粒活性炭时，气体流速宜低于0.60m/s，装填厚度不得低于0.4m。活性炭应装填齐整，避免气流短路</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采用活性炭纤维时，气体流速宜低于0.15m/s</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采用蜂窝活性炭时，气体流速宜低于1.2m/s。</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本项目采用蜂窝活性炭，气体流速&lt;1.2m/s。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33"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四</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废气预处理</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进入吸附设备的废气颗粒物含量和温度应分别低于1mg/m</w:t>
                  </w:r>
                  <w:r>
                    <w:rPr>
                      <w:rFonts w:hint="eastAsia"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rPr>
                    <w:t>和40℃，若颗粒物含量超过1mg/1m</w:t>
                  </w:r>
                  <w:r>
                    <w:rPr>
                      <w:rFonts w:hint="eastAsia" w:cs="Times New Roman" w:eastAsiaTheme="minorEastAsia"/>
                      <w:color w:val="auto"/>
                      <w:sz w:val="21"/>
                      <w:szCs w:val="21"/>
                      <w:highlight w:val="none"/>
                      <w:vertAlign w:val="superscript"/>
                      <w:lang w:val="en-US" w:eastAsia="zh-CN"/>
                    </w:rPr>
                    <w:t>3</w:t>
                  </w:r>
                  <w:r>
                    <w:rPr>
                      <w:rFonts w:hint="default" w:ascii="Times New Roman" w:hAnsi="Times New Roman" w:cs="Times New Roman" w:eastAsiaTheme="minorEastAsia"/>
                      <w:color w:val="auto"/>
                      <w:sz w:val="21"/>
                      <w:szCs w:val="21"/>
                      <w:highlight w:val="none"/>
                    </w:rPr>
                    <w:t>时，应先采用过滤或洗涤等方式进行预处理。</w:t>
                  </w:r>
                </w:p>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活性炭对酸性废气吸附效果较差，且酸性气体易对设备本体造成腐蚀，应先采用洗涤进行预处理。</w:t>
                  </w:r>
                </w:p>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企业应制定定期更换过滤材料的设备运行维护规程，保障活性炭在低颗粒物、低含水率条件下使用。</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本项目进入活性炭的废气不含颗粒物和酸性废气，温度为25℃，满足低于40℃的要求。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016"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五</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活性炭质量</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颗粒活性炭碘吸附值≥800mg/g，比表面积≥850m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/g</w:t>
                  </w:r>
                  <w:r>
                    <w:rPr>
                      <w:rFonts w:hint="default" w:ascii="Times New Roman" w:hAnsi="Times New Roman" w:cs="Times New Roman" w:eastAsiaTheme="minorEastAsia"/>
                      <w:color w:val="auto"/>
                      <w:sz w:val="21"/>
                      <w:szCs w:val="21"/>
                      <w:highlight w:val="none"/>
                      <w:lang w:eastAsia="zh-CN"/>
                    </w:rPr>
                    <w:t>；</w:t>
                  </w:r>
                  <w:r>
                    <w:rPr>
                      <w:rFonts w:hint="default" w:ascii="Times New Roman" w:hAnsi="Times New Roman" w:cs="Times New Roman" w:eastAsiaTheme="minorEastAsia"/>
                      <w:color w:val="auto"/>
                      <w:sz w:val="21"/>
                      <w:szCs w:val="21"/>
                      <w:highlight w:val="none"/>
                    </w:rPr>
                    <w:t>蜂窝活性炭横向抗压强度应不低于0.9MPa，纵向强度应不低于0.4MPa，碘吸附值≥650mg</w:t>
                  </w:r>
                  <w:r>
                    <w:rPr>
                      <w:rFonts w:hint="eastAsia" w:cs="Times New Roman" w:eastAsiaTheme="minorEastAsia"/>
                      <w:color w:val="auto"/>
                      <w:sz w:val="21"/>
                      <w:szCs w:val="21"/>
                      <w:highlight w:val="none"/>
                      <w:lang w:val="en-US" w:eastAsia="zh-CN"/>
                    </w:rPr>
                    <w:t>/</w:t>
                  </w:r>
                  <w:r>
                    <w:rPr>
                      <w:rFonts w:hint="default" w:ascii="Times New Roman" w:hAnsi="Times New Roman" w:cs="Times New Roman" w:eastAsiaTheme="minorEastAsia"/>
                      <w:color w:val="auto"/>
                      <w:sz w:val="21"/>
                      <w:szCs w:val="21"/>
                      <w:highlight w:val="none"/>
                    </w:rPr>
                    <w:t>g，比表面积≥750m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/g。工业有机废气治理用活性炭常规及推荐技术指标详见附件2。</w:t>
                  </w:r>
                </w:p>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企业应备好所购活性炭厂家关于活性炭碘值、比表面积等相关证明材料。</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本项目采用</w:t>
                  </w:r>
                  <w:r>
                    <w:rPr>
                      <w:rFonts w:hint="eastAsia" w:cs="Times New Roman" w:eastAsiaTheme="minorEastAsia"/>
                      <w:color w:val="auto"/>
                      <w:sz w:val="21"/>
                      <w:szCs w:val="21"/>
                      <w:highlight w:val="none"/>
                      <w:lang w:val="en-US" w:eastAsia="zh-CN"/>
                    </w:rPr>
                    <w:t>蜂窝</w:t>
                  </w:r>
                  <w:r>
                    <w:rPr>
                      <w:rFonts w:hint="default" w:ascii="Times New Roman" w:hAnsi="Times New Roman" w:cs="Times New Roman" w:eastAsiaTheme="minorEastAsia"/>
                      <w:color w:val="auto"/>
                      <w:sz w:val="21"/>
                      <w:szCs w:val="21"/>
                      <w:highlight w:val="none"/>
                    </w:rPr>
                    <w:t>状活性炭，其碘吸附值大于</w:t>
                  </w:r>
                  <w:r>
                    <w:rPr>
                      <w:rFonts w:hint="eastAsia" w:cs="Times New Roman" w:eastAsiaTheme="minorEastAsia"/>
                      <w:color w:val="auto"/>
                      <w:sz w:val="21"/>
                      <w:szCs w:val="21"/>
                      <w:highlight w:val="none"/>
                      <w:lang w:val="en-US" w:eastAsia="zh-CN"/>
                    </w:rPr>
                    <w:t>800</w:t>
                  </w:r>
                  <w:r>
                    <w:rPr>
                      <w:rFonts w:hint="default" w:ascii="Times New Roman" w:hAnsi="Times New Roman" w:cs="Times New Roman" w:eastAsiaTheme="minorEastAsia"/>
                      <w:color w:val="auto"/>
                      <w:sz w:val="21"/>
                      <w:szCs w:val="21"/>
                      <w:highlight w:val="none"/>
                    </w:rPr>
                    <w:t>mg/g，比表面积</w:t>
                  </w:r>
                  <w:r>
                    <w:rPr>
                      <w:rFonts w:hint="eastAsia" w:cs="Times New Roman" w:eastAsiaTheme="minorEastAsia"/>
                      <w:color w:val="auto"/>
                      <w:sz w:val="21"/>
                      <w:szCs w:val="21"/>
                      <w:highlight w:val="none"/>
                      <w:lang w:val="en-US" w:eastAsia="zh-CN"/>
                    </w:rPr>
                    <w:t>大于750</w:t>
                  </w:r>
                  <w:r>
                    <w:rPr>
                      <w:rFonts w:hint="default" w:ascii="Times New Roman" w:hAnsi="Times New Roman" w:cs="Times New Roman" w:eastAsiaTheme="minorEastAsia"/>
                      <w:color w:val="auto"/>
                      <w:sz w:val="21"/>
                      <w:szCs w:val="21"/>
                      <w:highlight w:val="none"/>
                    </w:rPr>
                    <w:t>m</w:t>
                  </w:r>
                  <w:r>
                    <w:rPr>
                      <w:rFonts w:hint="default" w:ascii="Times New Roman" w:hAnsi="Times New Roman" w:cs="Times New Roman" w:eastAsiaTheme="minorEastAsia"/>
                      <w:color w:val="auto"/>
                      <w:sz w:val="21"/>
                      <w:szCs w:val="21"/>
                      <w:highlight w:val="none"/>
                      <w:vertAlign w:val="superscript"/>
                    </w:rPr>
                    <w:t>2</w:t>
                  </w:r>
                  <w:r>
                    <w:rPr>
                      <w:rFonts w:hint="default" w:ascii="Times New Roman" w:hAnsi="Times New Roman" w:cs="Times New Roman" w:eastAsiaTheme="minorEastAsia"/>
                      <w:color w:val="auto"/>
                      <w:sz w:val="21"/>
                      <w:szCs w:val="21"/>
                      <w:highlight w:val="none"/>
                    </w:rPr>
                    <w:t>/g，满足</w:t>
                  </w:r>
                  <w:r>
                    <w:rPr>
                      <w:rFonts w:hint="eastAsia" w:cs="Times New Roman" w:eastAsiaTheme="minorEastAsia"/>
                      <w:color w:val="auto"/>
                      <w:sz w:val="21"/>
                      <w:szCs w:val="21"/>
                      <w:highlight w:val="none"/>
                      <w:lang w:val="en-US" w:eastAsia="zh-CN"/>
                    </w:rPr>
                    <w:t>蜂窝</w:t>
                  </w:r>
                  <w:r>
                    <w:rPr>
                      <w:rFonts w:hint="default" w:ascii="Times New Roman" w:hAnsi="Times New Roman" w:cs="Times New Roman" w:eastAsiaTheme="minorEastAsia"/>
                      <w:color w:val="auto"/>
                      <w:sz w:val="21"/>
                      <w:szCs w:val="21"/>
                      <w:highlight w:val="none"/>
                    </w:rPr>
                    <w:t>状活性炭技术指标要求。企业后期购买符合要求的活性炭将备好相关证明材料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765" w:hRule="atLeast"/>
              </w:trPr>
              <w:tc>
                <w:tcPr>
                  <w:tcW w:w="61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六</w:t>
                  </w:r>
                </w:p>
              </w:tc>
              <w:tc>
                <w:tcPr>
                  <w:tcW w:w="644"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活性炭填充量</w:t>
                  </w:r>
                </w:p>
              </w:tc>
              <w:tc>
                <w:tcPr>
                  <w:tcW w:w="3857"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采用一次性颗粒状活性炭处理VOCs废气，年活性炭使用量不应低于VOCs产生量的5倍，即1吨VOCs产生量，需5吨活性炭用于吸附。活性炭更换周期一般不应超过累计运行500小时或3个月，更换周期计算按《省生态环境厅关于将排污单位活性炭使用更换纳入排污许可管理的通知》有关要求执行。</w:t>
                  </w:r>
                </w:p>
              </w:tc>
              <w:tc>
                <w:tcPr>
                  <w:tcW w:w="2698" w:type="dxa"/>
                  <w:tcBorders>
                    <w:tl2br w:val="nil"/>
                    <w:tr2bl w:val="nil"/>
                  </w:tcBorders>
                  <w:shd w:val="clear" w:color="auto" w:fill="auto"/>
                  <w:vAlign w:val="center"/>
                </w:tcPr>
                <w:p>
                  <w:pPr>
                    <w:jc w:val="center"/>
                    <w:rPr>
                      <w:rFonts w:hint="default" w:ascii="Times New Roman" w:hAnsi="Times New Roman" w:cs="Times New Roman" w:eastAsiaTheme="minorEastAsia"/>
                      <w:color w:val="auto"/>
                      <w:sz w:val="21"/>
                      <w:szCs w:val="21"/>
                      <w:highlight w:val="none"/>
                    </w:rPr>
                  </w:pPr>
                  <w:r>
                    <w:rPr>
                      <w:rFonts w:hint="default" w:ascii="Times New Roman" w:hAnsi="Times New Roman" w:cs="Times New Roman" w:eastAsiaTheme="minorEastAsia"/>
                      <w:color w:val="auto"/>
                      <w:sz w:val="21"/>
                      <w:szCs w:val="21"/>
                      <w:highlight w:val="none"/>
                    </w:rPr>
                    <w:t>本项目活性炭吸附装置在满足不超过累计运行500小时或3个月，和按《省生态环境厅关于将排污单位活性炭使用更换纳入排污许可管理的通知》中活性炭更换周期计算的要求。</w:t>
                  </w:r>
                </w:p>
              </w:tc>
            </w:tr>
          </w:tbl>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综上，本项目符合《省生态环境厅关于深入开展涉VOCs治理重点工作核查的通知》（苏环办</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2022</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218号文）相关要求。</w:t>
            </w:r>
          </w:p>
          <w:p>
            <w:pPr>
              <w:adjustRightInd w:val="0"/>
              <w:snapToGrid w:val="0"/>
              <w:spacing w:line="360" w:lineRule="auto"/>
              <w:ind w:firstLine="482" w:firstLineChars="200"/>
              <w:rPr>
                <w:rFonts w:hint="default" w:ascii="Times New Roman" w:hAnsi="Times New Roman" w:cs="Times New Roman"/>
                <w:b/>
                <w:color w:val="auto"/>
                <w:sz w:val="24"/>
                <w:szCs w:val="24"/>
                <w:highlight w:val="none"/>
                <w:lang w:val="en-US" w:eastAsia="zh-CN"/>
              </w:rPr>
            </w:pPr>
            <w:r>
              <w:rPr>
                <w:rFonts w:hint="eastAsia" w:ascii="Times New Roman" w:hAnsi="Times New Roman" w:cs="Times New Roman"/>
                <w:b/>
                <w:color w:val="auto"/>
                <w:sz w:val="24"/>
                <w:szCs w:val="24"/>
                <w:highlight w:val="none"/>
                <w:lang w:val="en-US" w:eastAsia="zh-CN"/>
              </w:rPr>
              <w:t>（</w:t>
            </w:r>
            <w:r>
              <w:rPr>
                <w:rFonts w:hint="eastAsia" w:cs="Times New Roman"/>
                <w:b/>
                <w:color w:val="auto"/>
                <w:sz w:val="24"/>
                <w:szCs w:val="24"/>
                <w:highlight w:val="none"/>
                <w:lang w:val="en-US" w:eastAsia="zh-CN"/>
              </w:rPr>
              <w:t>7</w:t>
            </w:r>
            <w:r>
              <w:rPr>
                <w:rFonts w:hint="eastAsia" w:ascii="Times New Roman" w:hAnsi="Times New Roman" w:cs="Times New Roman"/>
                <w:b/>
                <w:color w:val="auto"/>
                <w:sz w:val="24"/>
                <w:szCs w:val="24"/>
                <w:highlight w:val="none"/>
                <w:lang w:val="en-US" w:eastAsia="zh-CN"/>
              </w:rPr>
              <w:t>）</w:t>
            </w:r>
            <w:r>
              <w:rPr>
                <w:rFonts w:hint="eastAsia" w:ascii="Times New Roman" w:hAnsi="Times New Roman" w:cs="Times New Roman"/>
                <w:b/>
                <w:color w:val="auto"/>
                <w:sz w:val="24"/>
                <w:szCs w:val="24"/>
                <w:highlight w:val="none"/>
                <w:lang w:eastAsia="zh-CN"/>
              </w:rPr>
              <w:t>与市政府办公室印发《如皋市关于加强减污降碳协同推进重点行业绿色发展的实施方案》的通知（皋政办发〔2024〕85号）相符性分析</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本项目不涉及电镀、铸造等相关工序，所属行业不在其规定的“分行业目标”中，本项目</w:t>
            </w:r>
            <w:r>
              <w:rPr>
                <w:rFonts w:hint="eastAsia" w:cs="Times New Roman"/>
                <w:color w:val="auto"/>
                <w:sz w:val="24"/>
                <w:szCs w:val="24"/>
                <w:highlight w:val="none"/>
                <w:lang w:val="en-US" w:eastAsia="zh-CN"/>
              </w:rPr>
              <w:t>建成后</w:t>
            </w:r>
            <w:r>
              <w:rPr>
                <w:rFonts w:hint="eastAsia" w:ascii="Times New Roman" w:hAnsi="Times New Roman" w:cs="Times New Roman"/>
                <w:color w:val="auto"/>
                <w:sz w:val="24"/>
                <w:szCs w:val="24"/>
                <w:highlight w:val="none"/>
                <w:lang w:val="en-US" w:eastAsia="zh-CN"/>
              </w:rPr>
              <w:t>调胶、上胶、植绒、灌胶工序产生的非甲烷总烃</w:t>
            </w:r>
            <w:r>
              <w:rPr>
                <w:rFonts w:hint="eastAsia" w:cs="Times New Roman"/>
                <w:color w:val="auto"/>
                <w:sz w:val="24"/>
                <w:szCs w:val="24"/>
                <w:highlight w:val="none"/>
                <w:lang w:val="en-US" w:eastAsia="zh-CN"/>
              </w:rPr>
              <w:t>和磨头工序产生的颗粒物经收集后经过二级活性炭和布袋除尘器处理后通过同一根排气筒DA001排放，注塑工序产生非甲烷总烃和浸漆工序产生的非甲烷总烃收集后经过二级活性炭处理后通过同一根排气筒DA002排放</w:t>
            </w:r>
            <w:r>
              <w:rPr>
                <w:rFonts w:hint="default" w:ascii="Times New Roman" w:hAnsi="Times New Roman" w:cs="Times New Roman"/>
                <w:color w:val="auto"/>
                <w:sz w:val="24"/>
                <w:szCs w:val="24"/>
                <w:highlight w:val="none"/>
              </w:rPr>
              <w:t>；本项目实行“雨污分流”制，后期雨水经收集后排入雨水管网，最终汇入</w:t>
            </w:r>
            <w:r>
              <w:rPr>
                <w:rFonts w:hint="eastAsia" w:cs="Times New Roman"/>
                <w:color w:val="auto"/>
                <w:sz w:val="24"/>
                <w:szCs w:val="24"/>
                <w:highlight w:val="none"/>
                <w:lang w:val="en-US" w:eastAsia="zh-CN"/>
              </w:rPr>
              <w:t>北侧红旗</w:t>
            </w:r>
            <w:r>
              <w:rPr>
                <w:rFonts w:hint="default" w:ascii="Times New Roman" w:hAnsi="Times New Roman" w:cs="Times New Roman"/>
                <w:color w:val="auto"/>
                <w:sz w:val="24"/>
                <w:szCs w:val="24"/>
                <w:highlight w:val="none"/>
              </w:rPr>
              <w:t>河；生活污水经化粪池预处理后接管至如皋恒发水处理有限公司处理，尾水排入通扬运河；固废均能合理处理</w:t>
            </w:r>
            <w:r>
              <w:rPr>
                <w:rFonts w:hint="eastAsia" w:cs="Times New Roman"/>
                <w:color w:val="auto"/>
                <w:sz w:val="24"/>
                <w:szCs w:val="24"/>
                <w:highlight w:val="none"/>
                <w:lang w:eastAsia="zh-CN"/>
              </w:rPr>
              <w:t>；</w:t>
            </w:r>
            <w:r>
              <w:rPr>
                <w:rFonts w:hint="eastAsia" w:cs="Times New Roman"/>
                <w:color w:val="auto"/>
                <w:sz w:val="24"/>
                <w:szCs w:val="24"/>
                <w:highlight w:val="none"/>
                <w:lang w:val="en-US" w:eastAsia="zh-CN"/>
              </w:rPr>
              <w:t>本项目涉及油漆刷浸漆工序，油漆刷总浸漆面积约100000m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，单位涂装面积VOCs排放量为0.058g/m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，满足“新建含涂装工序项目清洁生产和能效水平基本达到国际先进水平，单位涂装面积VOCs排放量≤60g/m</w:t>
            </w:r>
            <w:r>
              <w:rPr>
                <w:rFonts w:hint="eastAsia" w:cs="Times New Roman"/>
                <w:color w:val="auto"/>
                <w:sz w:val="24"/>
                <w:szCs w:val="24"/>
                <w:highlight w:val="none"/>
                <w:vertAlign w:val="superscript"/>
                <w:lang w:val="en-US" w:eastAsia="zh-CN"/>
              </w:rPr>
              <w:t>2</w:t>
            </w:r>
            <w:r>
              <w:rPr>
                <w:rFonts w:hint="eastAsia" w:cs="Times New Roman"/>
                <w:color w:val="auto"/>
                <w:sz w:val="24"/>
                <w:szCs w:val="24"/>
                <w:highlight w:val="none"/>
                <w:lang w:val="en-US" w:eastAsia="zh-CN"/>
              </w:rPr>
              <w:t>”要求，</w:t>
            </w:r>
            <w:r>
              <w:rPr>
                <w:rFonts w:hint="default" w:ascii="Times New Roman" w:hAnsi="Times New Roman" w:cs="Times New Roman"/>
                <w:color w:val="auto"/>
                <w:sz w:val="24"/>
                <w:szCs w:val="24"/>
                <w:highlight w:val="none"/>
              </w:rPr>
              <w:t>因此本项目符合相关要求。</w:t>
            </w:r>
          </w:p>
          <w:p>
            <w:pPr>
              <w:adjustRightInd w:val="0"/>
              <w:snapToGrid w:val="0"/>
              <w:spacing w:line="360" w:lineRule="auto"/>
              <w:ind w:firstLine="482" w:firstLineChars="200"/>
              <w:rPr>
                <w:rFonts w:hint="eastAsia"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（8）与《省大气办关于印发〈江苏省挥发性有机物清洁原料替代工作方案〉的通知》（苏大气办〔2021〕2号）相符性分析</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对照《省大气办关于印发〈江苏省挥发性有机物清洁原料替代工作方案〉的通知》（苏大气办〔2021〕2号）“</w:t>
            </w:r>
            <w:r>
              <w:rPr>
                <w:rFonts w:hint="default" w:cs="Times New Roman"/>
                <w:color w:val="auto"/>
                <w:sz w:val="24"/>
                <w:szCs w:val="24"/>
                <w:highlight w:val="none"/>
                <w:lang w:val="en-US" w:eastAsia="zh-CN"/>
              </w:rPr>
              <w:t xml:space="preserve">4. </w:t>
            </w:r>
            <w:r>
              <w:rPr>
                <w:rFonts w:hint="eastAsia" w:cs="Times New Roman"/>
                <w:color w:val="auto"/>
                <w:sz w:val="24"/>
                <w:szCs w:val="24"/>
                <w:highlight w:val="none"/>
                <w:lang w:val="en-US" w:eastAsia="zh-CN"/>
              </w:rPr>
              <w:t xml:space="preserve">其他工业涂装。其他涉 </w:t>
            </w:r>
            <w:r>
              <w:rPr>
                <w:rFonts w:hint="default" w:cs="Times New Roman"/>
                <w:color w:val="auto"/>
                <w:sz w:val="24"/>
                <w:szCs w:val="24"/>
                <w:highlight w:val="none"/>
                <w:lang w:val="en-US" w:eastAsia="zh-CN"/>
              </w:rPr>
              <w:t>VOCs 涂装企业，要使用符合《低挥发性有机化合物含量涂料产品技术要求》（GB/T 38597-2020）规定的粉末、水性、无溶剂、辐射固化涂料产品；</w:t>
            </w:r>
            <w:r>
              <w:rPr>
                <w:rFonts w:hint="eastAsia" w:cs="Times New Roman"/>
                <w:color w:val="auto"/>
                <w:sz w:val="24"/>
                <w:szCs w:val="24"/>
                <w:highlight w:val="none"/>
                <w:lang w:val="en-US" w:eastAsia="zh-CN"/>
              </w:rPr>
              <w:t>”</w:t>
            </w:r>
          </w:p>
          <w:p>
            <w:pPr>
              <w:adjustRightInd w:val="0"/>
              <w:snapToGrid w:val="0"/>
              <w:spacing w:line="360" w:lineRule="auto"/>
              <w:ind w:firstLine="480" w:firstLineChars="20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本项目使用水性漆挥发性有机物含量为92g/L满足文件中木器涂料中色漆220g/L的要求；</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 xml:space="preserve">对照《省大气办关于印发〈江苏省挥发性有机物清洁原料替代工作方案〉的通知》（苏大气办〔2021〕2号）“其他行业企业涉 </w:t>
            </w:r>
            <w:r>
              <w:rPr>
                <w:rFonts w:hint="default" w:cs="Times New Roman"/>
                <w:color w:val="auto"/>
                <w:sz w:val="24"/>
                <w:szCs w:val="24"/>
                <w:highlight w:val="none"/>
                <w:lang w:val="en-US" w:eastAsia="zh-CN"/>
              </w:rPr>
              <w:t>VOCs 相关工序，</w:t>
            </w:r>
            <w:r>
              <w:rPr>
                <w:rFonts w:hint="eastAsia" w:cs="Times New Roman"/>
                <w:color w:val="auto"/>
                <w:sz w:val="24"/>
                <w:szCs w:val="24"/>
                <w:highlight w:val="none"/>
                <w:lang w:val="en-US" w:eastAsia="zh-CN"/>
              </w:rPr>
              <w:t>要使用符合《胶粘剂挥发性有机化合物</w:t>
            </w:r>
            <w:r>
              <w:rPr>
                <w:rFonts w:hint="default" w:cs="Times New Roman"/>
                <w:color w:val="auto"/>
                <w:sz w:val="24"/>
                <w:szCs w:val="24"/>
                <w:highlight w:val="none"/>
                <w:lang w:val="en-US" w:eastAsia="zh-CN"/>
              </w:rPr>
              <w:t>限量》（GB 33372-2020）规定的水基型、本体型胶粘剂产品。</w:t>
            </w:r>
            <w:r>
              <w:rPr>
                <w:rFonts w:hint="eastAsia" w:cs="Times New Roman"/>
                <w:color w:val="auto"/>
                <w:sz w:val="24"/>
                <w:szCs w:val="24"/>
                <w:highlight w:val="none"/>
                <w:lang w:val="en-US" w:eastAsia="zh-CN"/>
              </w:rPr>
              <w:t>”</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本项目调胶、上胶使用聚氨酯胶属于本体型胶粘剂，挥发性有机物含量为2.2g/kg，满足文件中本体型胶粘剂聚氨酯类-其他50g/kg要求；</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本项目静电植绒使用植绒胶属于本体型胶粘剂，挥发性有机物含量为5.2g/kg，满足文件中本体型胶粘剂聚氨酯类-其他50g/kg要求；</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本项目胶合板刷使用板刷胶属于水基型胶粘剂，挥发性有机物含量未检出，按照检出限一半计为1g/L，满足文件中水基型胶粘剂醋酸乙烯-乙烯共聚乳液类-木工与家具50g/L要求；</w:t>
            </w:r>
          </w:p>
          <w:p>
            <w:pPr>
              <w:adjustRightInd w:val="0"/>
              <w:snapToGrid w:val="0"/>
              <w:spacing w:line="360" w:lineRule="auto"/>
              <w:ind w:firstLine="480" w:firstLineChars="200"/>
              <w:rPr>
                <w:rFonts w:hint="default" w:cs="Times New Roman"/>
                <w:color w:val="auto"/>
                <w:sz w:val="24"/>
                <w:szCs w:val="24"/>
                <w:highlight w:val="none"/>
                <w:lang w:val="en-US" w:eastAsia="zh-CN"/>
              </w:rPr>
            </w:pPr>
            <w:r>
              <w:rPr>
                <w:rFonts w:hint="eastAsia" w:cs="Times New Roman"/>
                <w:color w:val="auto"/>
                <w:sz w:val="24"/>
                <w:szCs w:val="24"/>
                <w:highlight w:val="none"/>
                <w:lang w:val="en-US" w:eastAsia="zh-CN"/>
              </w:rPr>
              <w:t>本项目灌胶使用环氧胶属于本体型胶粘剂，挥发性有机物含量为20g/kg，满足文件中本体型胶粘剂环氧树脂类-其他50g/kg要求。</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因此本项目水性漆、胶黏剂使用与《省大气办关于印发〈江苏省挥发性有机物清洁原料替代工作方案〉的通知》（苏大气办〔2021〕2号）、</w:t>
            </w:r>
            <w:r>
              <w:rPr>
                <w:rFonts w:hint="default" w:cs="Times New Roman"/>
                <w:color w:val="auto"/>
                <w:sz w:val="24"/>
                <w:szCs w:val="24"/>
                <w:highlight w:val="none"/>
                <w:lang w:val="en-US" w:eastAsia="zh-CN"/>
              </w:rPr>
              <w:t>《低挥发性有机化合物含量涂料产品技术要求》（GB/T 38597-2020）</w:t>
            </w:r>
            <w:r>
              <w:rPr>
                <w:rFonts w:hint="eastAsia" w:cs="Times New Roman"/>
                <w:color w:val="auto"/>
                <w:sz w:val="24"/>
                <w:szCs w:val="24"/>
                <w:highlight w:val="none"/>
                <w:lang w:val="en-US" w:eastAsia="zh-CN"/>
              </w:rPr>
              <w:t>《胶粘剂挥发性有机化合物</w:t>
            </w:r>
            <w:r>
              <w:rPr>
                <w:rFonts w:hint="default" w:cs="Times New Roman"/>
                <w:color w:val="auto"/>
                <w:sz w:val="24"/>
                <w:szCs w:val="24"/>
                <w:highlight w:val="none"/>
                <w:lang w:val="en-US" w:eastAsia="zh-CN"/>
              </w:rPr>
              <w:t>限量》（GB 33372-2020）</w:t>
            </w:r>
            <w:r>
              <w:rPr>
                <w:rFonts w:hint="eastAsia" w:cs="Times New Roman"/>
                <w:color w:val="auto"/>
                <w:sz w:val="24"/>
                <w:szCs w:val="24"/>
                <w:highlight w:val="none"/>
                <w:lang w:val="en-US" w:eastAsia="zh-CN"/>
              </w:rPr>
              <w:t>相符。</w:t>
            </w:r>
          </w:p>
          <w:p>
            <w:pPr>
              <w:adjustRightInd w:val="0"/>
              <w:snapToGrid w:val="0"/>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eastAsia" w:ascii="Times New Roman" w:hAnsi="Times New Roman" w:eastAsia="宋体" w:cs="Times New Roman"/>
                <w:b/>
                <w:bCs/>
                <w:color w:val="auto"/>
                <w:sz w:val="24"/>
                <w:szCs w:val="24"/>
                <w:highlight w:val="none"/>
                <w:lang w:val="en-US" w:eastAsia="zh-CN"/>
              </w:rPr>
              <w:t>（</w:t>
            </w:r>
            <w:r>
              <w:rPr>
                <w:rFonts w:hint="eastAsia" w:cs="Times New Roman"/>
                <w:b/>
                <w:bCs/>
                <w:color w:val="auto"/>
                <w:sz w:val="24"/>
                <w:szCs w:val="24"/>
                <w:highlight w:val="none"/>
                <w:lang w:val="en-US" w:eastAsia="zh-CN"/>
              </w:rPr>
              <w:t>9</w:t>
            </w:r>
            <w:r>
              <w:rPr>
                <w:rFonts w:hint="eastAsia" w:ascii="Times New Roman" w:hAnsi="Times New Roman" w:eastAsia="宋体" w:cs="Times New Roman"/>
                <w:b/>
                <w:bCs/>
                <w:color w:val="auto"/>
                <w:sz w:val="24"/>
                <w:szCs w:val="24"/>
                <w:highlight w:val="none"/>
                <w:lang w:val="en-US" w:eastAsia="zh-CN"/>
              </w:rPr>
              <w:t>）与《关于做好建设项目挥发性有机物排放管理工作的意见</w:t>
            </w:r>
            <w:r>
              <w:rPr>
                <w:rFonts w:hint="eastAsia"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试行</w:t>
            </w:r>
            <w:r>
              <w:rPr>
                <w:rFonts w:hint="eastAsia" w:cs="Times New Roman"/>
                <w:b/>
                <w:bCs/>
                <w:color w:val="auto"/>
                <w:sz w:val="24"/>
                <w:szCs w:val="24"/>
                <w:highlight w:val="none"/>
                <w:lang w:val="en-US" w:eastAsia="zh-CN"/>
              </w:rPr>
              <w:t>）</w:t>
            </w:r>
            <w:r>
              <w:rPr>
                <w:rFonts w:hint="eastAsia" w:ascii="Times New Roman" w:hAnsi="Times New Roman" w:eastAsia="宋体" w:cs="Times New Roman"/>
                <w:b/>
                <w:bCs/>
                <w:color w:val="auto"/>
                <w:sz w:val="24"/>
                <w:szCs w:val="24"/>
                <w:highlight w:val="none"/>
                <w:lang w:val="en-US" w:eastAsia="zh-CN"/>
              </w:rPr>
              <w:t>》的通知（通环办[2025]32号）相符性分析</w:t>
            </w:r>
          </w:p>
          <w:p>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对照《关于做好建设项目挥发性有机物排放管理工作的意见（试行）》（通环办〔2025〕32号），“（一）需编制报批环境影响报告书（表）的建设项目且排污单位为排污许可登记管理的、限值限量园区内排污许可重点管理或简化管理的排污单位新增VOCs年排放量小于0.1吨的（其中按照《关于印发&lt;南通市工业园区（集中区）排污管理登记证申请与核发技术规范（试行）&gt;的通知》（通环办[2024]93号）享受激励政策的园区，建设项目新增VOCs年排放量小于0.5吨），新增VOCs排污总量指标由所在园区或县（市、区）储备库每季度集中供给平衡，无需提交总量预报单，仅限于排污指标核减。”本项目排污许可类别为登记管理，无需实施总量平衡。</w:t>
            </w:r>
          </w:p>
          <w:p>
            <w:pPr>
              <w:rPr>
                <w:rFonts w:hint="default" w:ascii="Times New Roman" w:hAnsi="Times New Roman" w:cs="Times New Roman"/>
                <w:color w:val="auto"/>
                <w:sz w:val="24"/>
                <w:szCs w:val="32"/>
                <w:highlight w:val="none"/>
              </w:rPr>
            </w:pPr>
          </w:p>
        </w:tc>
      </w:tr>
    </w:tbl>
    <w:p>
      <w:pPr>
        <w:spacing w:line="360" w:lineRule="auto"/>
        <w:outlineLvl w:val="0"/>
        <w:rPr>
          <w:rFonts w:hint="default" w:ascii="Times New Roman" w:hAnsi="Times New Roman" w:eastAsia="黑体" w:cs="Times New Roman"/>
          <w:color w:val="auto"/>
          <w:sz w:val="30"/>
          <w:highlight w:val="none"/>
        </w:rPr>
        <w:sectPr>
          <w:footerReference r:id="rId4" w:type="default"/>
          <w:pgSz w:w="11906" w:h="16838"/>
          <w:pgMar w:top="1440" w:right="1800" w:bottom="1440" w:left="1800" w:header="851" w:footer="1077" w:gutter="0"/>
          <w:pgBorders>
            <w:top w:val="none" w:sz="0" w:space="0"/>
            <w:left w:val="none" w:sz="0" w:space="0"/>
            <w:bottom w:val="none" w:sz="0" w:space="0"/>
            <w:right w:val="none" w:sz="0" w:space="0"/>
          </w:pgBorders>
          <w:pgNumType w:fmt="decimal" w:start="1"/>
          <w:cols w:space="720" w:num="1"/>
          <w:docGrid w:linePitch="312" w:charSpace="0"/>
        </w:sectPr>
      </w:pPr>
    </w:p>
    <w:p>
      <w:pPr>
        <w:spacing w:before="98" w:line="220" w:lineRule="auto"/>
        <w:ind w:left="2678"/>
        <w:outlineLvl w:val="0"/>
        <w:rPr>
          <w:rFonts w:hint="default" w:ascii="Times New Roman" w:hAnsi="Times New Roman" w:cs="Times New Roman"/>
          <w:b/>
          <w:color w:val="auto"/>
          <w:sz w:val="30"/>
          <w:szCs w:val="30"/>
          <w:highlight w:val="none"/>
        </w:rPr>
      </w:pPr>
      <w:r>
        <w:rPr>
          <w:rFonts w:hint="default" w:ascii="Times New Roman" w:hAnsi="Times New Roman" w:cs="Times New Roman"/>
          <w:b/>
          <w:color w:val="auto"/>
          <w:spacing w:val="-1"/>
          <w:sz w:val="30"/>
          <w:szCs w:val="30"/>
          <w:highlight w:val="none"/>
        </w:rPr>
        <w:t>二、建设项目</w:t>
      </w:r>
      <w:r>
        <w:rPr>
          <w:rFonts w:hint="default" w:ascii="Times New Roman" w:hAnsi="Times New Roman" w:cs="Times New Roman"/>
          <w:b/>
          <w:color w:val="auto"/>
          <w:sz w:val="30"/>
          <w:szCs w:val="30"/>
          <w:highlight w:val="none"/>
        </w:rPr>
        <w:t>工程分析</w:t>
      </w:r>
    </w:p>
    <w:tbl>
      <w:tblPr>
        <w:tblStyle w:val="26"/>
        <w:tblpPr w:leftFromText="180" w:rightFromText="180" w:vertAnchor="text" w:tblpXSpec="right" w:tblpY="1"/>
        <w:tblOverlap w:val="never"/>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8"/>
        <w:gridCol w:w="81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182" w:hRule="atLeast"/>
        </w:trPr>
        <w:tc>
          <w:tcPr>
            <w:tcW w:w="408" w:type="dxa"/>
            <w:vAlign w:val="center"/>
          </w:tcPr>
          <w:p>
            <w:pPr>
              <w:rPr>
                <w:rFonts w:hint="default" w:ascii="Times New Roman" w:hAnsi="Times New Roman" w:cs="Times New Roman"/>
                <w:color w:val="auto"/>
                <w:kern w:val="0"/>
                <w:sz w:val="22"/>
                <w:szCs w:val="32"/>
                <w:highlight w:val="none"/>
              </w:rPr>
            </w:pPr>
            <w:r>
              <w:rPr>
                <w:rFonts w:hint="default" w:ascii="Times New Roman" w:hAnsi="Times New Roman" w:cs="Times New Roman"/>
                <w:color w:val="auto"/>
                <w:spacing w:val="-20"/>
                <w:kern w:val="0"/>
                <w:sz w:val="24"/>
                <w:szCs w:val="24"/>
                <w:highlight w:val="none"/>
              </w:rPr>
              <w:t>建</w:t>
            </w:r>
            <w:r>
              <w:rPr>
                <w:rFonts w:hint="default" w:ascii="Times New Roman" w:hAnsi="Times New Roman" w:cs="Times New Roman"/>
                <w:color w:val="auto"/>
                <w:spacing w:val="-18"/>
                <w:kern w:val="0"/>
                <w:sz w:val="24"/>
                <w:szCs w:val="24"/>
                <w:highlight w:val="none"/>
              </w:rPr>
              <w:t>设内容</w:t>
            </w:r>
          </w:p>
        </w:tc>
        <w:tc>
          <w:tcPr>
            <w:tcW w:w="8114" w:type="dxa"/>
            <w:vAlign w:val="center"/>
          </w:tcPr>
          <w:p>
            <w:pPr>
              <w:adjustRightInd w:val="0"/>
              <w:snapToGrid w:val="0"/>
              <w:spacing w:beforeLines="50" w:line="360" w:lineRule="auto"/>
              <w:ind w:firstLine="482"/>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lang w:val="en-US" w:eastAsia="zh-CN"/>
              </w:rPr>
              <w:t>1、</w:t>
            </w:r>
            <w:r>
              <w:rPr>
                <w:rFonts w:hint="default" w:ascii="Times New Roman" w:hAnsi="Times New Roman" w:cs="Times New Roman"/>
                <w:b/>
                <w:color w:val="auto"/>
                <w:kern w:val="0"/>
                <w:sz w:val="24"/>
                <w:szCs w:val="24"/>
                <w:highlight w:val="none"/>
              </w:rPr>
              <w:t>项目由来</w:t>
            </w:r>
          </w:p>
          <w:p>
            <w:pPr>
              <w:adjustRightInd w:val="0"/>
              <w:snapToGrid w:val="0"/>
              <w:spacing w:line="360" w:lineRule="auto"/>
              <w:ind w:firstLine="482"/>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eastAsia="zh-CN"/>
              </w:rPr>
              <w:t>南通汉德家用电器有限公司</w:t>
            </w:r>
            <w:r>
              <w:rPr>
                <w:rFonts w:hint="eastAsia" w:cs="Times New Roman"/>
                <w:color w:val="auto"/>
                <w:kern w:val="0"/>
                <w:sz w:val="24"/>
                <w:szCs w:val="24"/>
                <w:highlight w:val="none"/>
                <w:lang w:val="en-US" w:eastAsia="zh-CN"/>
              </w:rPr>
              <w:t>位于江苏省如皋市城北街道起凤西路118号，成立于2010年7月，主要从事滚筒刷和板刷的生产制造，目前厂内设计生产能力为年产1676万个滚筒刷和900万个板刷，实际生产能力为年产476万个滚筒刷。</w:t>
            </w:r>
          </w:p>
          <w:p>
            <w:pPr>
              <w:adjustRightInd w:val="0"/>
              <w:snapToGrid w:val="0"/>
              <w:spacing w:line="360" w:lineRule="auto"/>
              <w:ind w:firstLine="482"/>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现有项</w:t>
            </w:r>
            <w:r>
              <w:rPr>
                <w:rFonts w:hint="eastAsia" w:ascii="Times New Roman" w:hAnsi="Times New Roman" w:eastAsia="宋体" w:cs="Times New Roman"/>
                <w:color w:val="auto"/>
                <w:kern w:val="0"/>
                <w:sz w:val="24"/>
                <w:szCs w:val="24"/>
                <w:highlight w:val="none"/>
                <w:lang w:val="en-US" w:eastAsia="zh-CN"/>
              </w:rPr>
              <w:t>目环评工艺中未包含注塑工序，企业注塑工序因未批先建已受到处罚、已缴清罚款，目前厂区内涉及注塑工序的产品已停产，本次技改扩建主要内容为：①对现有项目滚筒刷工艺优化调整，提高生产效率，对现有项目胶合用胶水更换供应商，确保产品的质量；②对现有项目板刷工艺优化调整，提高生产效率和生产规划，更换生产过程植绒等工序用胶水，提高产品质量，增加注塑工艺，完善现有项目手续；③新增漆刷产品及工艺，补充企业的产品类型，提升市场竞争力。</w:t>
            </w:r>
          </w:p>
          <w:p>
            <w:pPr>
              <w:adjustRightInd w:val="0"/>
              <w:snapToGrid w:val="0"/>
              <w:spacing w:line="360" w:lineRule="auto"/>
              <w:ind w:firstLine="482"/>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为此，</w:t>
            </w:r>
            <w:r>
              <w:rPr>
                <w:rFonts w:hint="eastAsia" w:cs="Times New Roman"/>
                <w:color w:val="auto"/>
                <w:kern w:val="0"/>
                <w:sz w:val="24"/>
                <w:szCs w:val="24"/>
                <w:highlight w:val="none"/>
                <w:lang w:eastAsia="zh-CN"/>
              </w:rPr>
              <w:t>南通汉德家用电器有限公司</w:t>
            </w:r>
            <w:r>
              <w:rPr>
                <w:rFonts w:hint="eastAsia" w:ascii="Times New Roman" w:hAnsi="Times New Roman" w:cs="Times New Roman"/>
                <w:color w:val="auto"/>
                <w:kern w:val="0"/>
                <w:sz w:val="24"/>
                <w:szCs w:val="24"/>
                <w:highlight w:val="none"/>
                <w:lang w:val="en-US" w:eastAsia="zh-CN"/>
              </w:rPr>
              <w:t>投资</w:t>
            </w:r>
            <w:r>
              <w:rPr>
                <w:rFonts w:hint="eastAsia" w:cs="Times New Roman"/>
                <w:color w:val="auto"/>
                <w:kern w:val="0"/>
                <w:sz w:val="24"/>
                <w:szCs w:val="24"/>
                <w:highlight w:val="none"/>
                <w:lang w:val="en-US" w:eastAsia="zh-CN"/>
              </w:rPr>
              <w:t>1000</w:t>
            </w:r>
            <w:r>
              <w:rPr>
                <w:rFonts w:hint="eastAsia" w:ascii="Times New Roman" w:hAnsi="Times New Roman" w:cs="Times New Roman"/>
                <w:color w:val="auto"/>
                <w:kern w:val="0"/>
                <w:sz w:val="24"/>
                <w:szCs w:val="24"/>
                <w:highlight w:val="none"/>
                <w:lang w:val="en-US" w:eastAsia="zh-CN"/>
              </w:rPr>
              <w:t>万元，利用如皋市城北街道起凤西路118号自有土地和现有厂房，购置版刷机、切割机、冲孔机、注塑机、冲压机等设备用于项目建设，项目实施过程中不使用国家限制、淘汰类工艺设备，不生产国家限制、淘汰类的产品，同步落实节能、环保、安全、水土保持、消防、职业病危害防治措施并办理相关手续，达到国家相关标准。项目投产后预计</w:t>
            </w:r>
            <w:r>
              <w:rPr>
                <w:rFonts w:hint="eastAsia" w:cs="Times New Roman"/>
                <w:color w:val="auto"/>
                <w:kern w:val="0"/>
                <w:sz w:val="24"/>
                <w:szCs w:val="24"/>
                <w:highlight w:val="none"/>
                <w:lang w:val="en-US" w:eastAsia="zh-CN"/>
              </w:rPr>
              <w:t>全厂</w:t>
            </w:r>
            <w:r>
              <w:rPr>
                <w:rFonts w:hint="eastAsia" w:ascii="Times New Roman" w:hAnsi="Times New Roman" w:cs="Times New Roman"/>
                <w:color w:val="auto"/>
                <w:kern w:val="0"/>
                <w:sz w:val="24"/>
                <w:szCs w:val="24"/>
                <w:highlight w:val="none"/>
                <w:lang w:val="en-US" w:eastAsia="zh-CN"/>
              </w:rPr>
              <w:t>年产5000万个滚筒刷、5000万个板刷、5000万个漆刷。</w:t>
            </w:r>
          </w:p>
          <w:p>
            <w:pPr>
              <w:adjustRightInd w:val="0"/>
              <w:snapToGrid w:val="0"/>
              <w:spacing w:line="360" w:lineRule="auto"/>
              <w:ind w:firstLine="482"/>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根据《中华人民共和国环境影响评价法》（主席令第48号）、《建设项目环境</w:t>
            </w:r>
            <w:r>
              <w:rPr>
                <w:rFonts w:hint="eastAsia" w:cs="Times New Roman"/>
                <w:color w:val="auto"/>
                <w:kern w:val="0"/>
                <w:sz w:val="24"/>
                <w:szCs w:val="24"/>
                <w:highlight w:val="none"/>
                <w:lang w:eastAsia="zh-CN"/>
              </w:rPr>
              <w:t>保</w:t>
            </w:r>
            <w:r>
              <w:rPr>
                <w:rFonts w:hint="default" w:ascii="Times New Roman" w:hAnsi="Times New Roman" w:cs="Times New Roman"/>
                <w:color w:val="auto"/>
                <w:kern w:val="0"/>
                <w:sz w:val="24"/>
                <w:szCs w:val="24"/>
                <w:highlight w:val="none"/>
              </w:rPr>
              <w:t>护管理条例》（国务院令第682号）等相关法律法规文件的要求，该项目需要进行环境影响评价。对照《建设项目环境影响评价分类管理名录2021年版》（中华人民共和国生态环境部令第16号），本项目</w:t>
            </w:r>
            <w:r>
              <w:rPr>
                <w:rFonts w:hint="eastAsia" w:cs="Times New Roman"/>
                <w:color w:val="auto"/>
                <w:kern w:val="0"/>
                <w:sz w:val="24"/>
                <w:szCs w:val="24"/>
                <w:highlight w:val="none"/>
                <w:lang w:val="en-US" w:eastAsia="zh-CN"/>
              </w:rPr>
              <w:t>水性漆使用量9t/a，</w:t>
            </w:r>
            <w:r>
              <w:rPr>
                <w:rFonts w:hint="eastAsia" w:ascii="Times New Roman" w:hAnsi="Times New Roman" w:cs="Times New Roman"/>
                <w:color w:val="auto"/>
                <w:kern w:val="0"/>
                <w:sz w:val="24"/>
                <w:szCs w:val="24"/>
                <w:highlight w:val="none"/>
                <w:lang w:val="en-US" w:eastAsia="zh-CN"/>
              </w:rPr>
              <w:t>不</w:t>
            </w:r>
            <w:r>
              <w:rPr>
                <w:rFonts w:hint="default" w:ascii="Times New Roman" w:hAnsi="Times New Roman" w:cs="Times New Roman"/>
                <w:color w:val="auto"/>
                <w:kern w:val="0"/>
                <w:sz w:val="24"/>
                <w:szCs w:val="24"/>
                <w:highlight w:val="none"/>
              </w:rPr>
              <w:t>属于</w:t>
            </w:r>
            <w:r>
              <w:rPr>
                <w:rFonts w:hint="eastAsia" w:ascii="Times New Roman" w:hAnsi="Times New Roman" w:cs="Times New Roman"/>
                <w:color w:val="auto"/>
                <w:kern w:val="0"/>
                <w:sz w:val="24"/>
                <w:szCs w:val="24"/>
                <w:highlight w:val="none"/>
                <w:lang w:eastAsia="zh-CN"/>
              </w:rPr>
              <w:t>“</w:t>
            </w:r>
            <w:r>
              <w:rPr>
                <w:rFonts w:hint="eastAsia" w:ascii="Times New Roman" w:hAnsi="Times New Roman" w:cs="Times New Roman"/>
                <w:color w:val="auto"/>
                <w:kern w:val="0"/>
                <w:sz w:val="24"/>
                <w:szCs w:val="24"/>
                <w:highlight w:val="none"/>
                <w:lang w:val="en-US" w:eastAsia="zh-CN"/>
              </w:rPr>
              <w:t>三</w:t>
            </w:r>
            <w:r>
              <w:rPr>
                <w:rFonts w:hint="eastAsia" w:cs="Times New Roman"/>
                <w:color w:val="auto"/>
                <w:kern w:val="0"/>
                <w:sz w:val="24"/>
                <w:szCs w:val="24"/>
                <w:highlight w:val="none"/>
                <w:lang w:val="en-US" w:eastAsia="zh-CN"/>
              </w:rPr>
              <w:t>十八</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其他制造业41</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日用杂品制造411</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中“年用溶剂型涂料（含稀释剂）10吨以下的，或年用非溶剂型低VOCs含量涂料10吨及以上的”，同时本项目配有注塑工艺，属于“二十六、橡胶和塑料制品业 29”中“其他”</w:t>
            </w:r>
            <w:r>
              <w:rPr>
                <w:rFonts w:hint="default" w:ascii="Times New Roman" w:hAnsi="Times New Roman" w:cs="Times New Roman"/>
                <w:color w:val="auto"/>
                <w:kern w:val="0"/>
                <w:sz w:val="24"/>
                <w:szCs w:val="24"/>
                <w:highlight w:val="none"/>
              </w:rPr>
              <w:t>。因此，本项目应编制环境影响报告表。为此，受建设单位委托，我公司承担本项目环境影响评价工作，我公司接受委托后，对项目进行了现场踏勘和资料收集，在工程分析及影响分析的基础上，按相关技术规范编制本项目环境影响报告表。</w:t>
            </w:r>
          </w:p>
          <w:p>
            <w:pPr>
              <w:adjustRightInd w:val="0"/>
              <w:snapToGrid w:val="0"/>
              <w:spacing w:line="360" w:lineRule="auto"/>
              <w:ind w:firstLine="482" w:firstLineChars="200"/>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lang w:val="en-US" w:eastAsia="zh-CN"/>
              </w:rPr>
              <w:t>2、</w:t>
            </w:r>
            <w:r>
              <w:rPr>
                <w:rFonts w:hint="default" w:ascii="Times New Roman" w:hAnsi="Times New Roman" w:cs="Times New Roman"/>
                <w:b/>
                <w:bCs/>
                <w:color w:val="auto"/>
                <w:kern w:val="0"/>
                <w:sz w:val="24"/>
                <w:szCs w:val="24"/>
                <w:highlight w:val="none"/>
              </w:rPr>
              <w:t>项目工程建设情况</w:t>
            </w:r>
          </w:p>
          <w:p>
            <w:pPr>
              <w:adjustRightInd w:val="0"/>
              <w:snapToGrid w:val="0"/>
              <w:spacing w:line="360" w:lineRule="auto"/>
              <w:ind w:firstLine="482" w:firstLineChars="200"/>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lang w:eastAsia="zh-CN"/>
              </w:rPr>
              <w:t>（</w:t>
            </w:r>
            <w:r>
              <w:rPr>
                <w:rFonts w:hint="default" w:ascii="Times New Roman" w:hAnsi="Times New Roman" w:cs="Times New Roman"/>
                <w:b/>
                <w:color w:val="auto"/>
                <w:kern w:val="0"/>
                <w:sz w:val="24"/>
                <w:szCs w:val="24"/>
                <w:highlight w:val="none"/>
                <w:lang w:val="en-US" w:eastAsia="zh-CN"/>
              </w:rPr>
              <w:t>1</w:t>
            </w:r>
            <w:r>
              <w:rPr>
                <w:rFonts w:hint="default" w:ascii="Times New Roman" w:hAnsi="Times New Roman" w:cs="Times New Roman"/>
                <w:b/>
                <w:color w:val="auto"/>
                <w:kern w:val="0"/>
                <w:sz w:val="24"/>
                <w:szCs w:val="24"/>
                <w:highlight w:val="none"/>
                <w:lang w:eastAsia="zh-CN"/>
              </w:rPr>
              <w:t>）</w:t>
            </w:r>
            <w:r>
              <w:rPr>
                <w:rFonts w:hint="default" w:ascii="Times New Roman" w:hAnsi="Times New Roman" w:cs="Times New Roman"/>
                <w:b/>
                <w:color w:val="auto"/>
                <w:kern w:val="0"/>
                <w:sz w:val="24"/>
                <w:szCs w:val="24"/>
                <w:highlight w:val="none"/>
              </w:rPr>
              <w:t>主体工程</w:t>
            </w:r>
          </w:p>
          <w:p>
            <w:pPr>
              <w:adjustRightInd w:val="0"/>
              <w:snapToGrid w:val="0"/>
              <w:spacing w:line="360" w:lineRule="auto"/>
              <w:ind w:firstLine="482"/>
              <w:rPr>
                <w:rFonts w:hint="eastAsia"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本次项目</w:t>
            </w:r>
            <w:r>
              <w:rPr>
                <w:rFonts w:hint="default" w:ascii="Times New Roman" w:hAnsi="Times New Roman" w:cs="Times New Roman"/>
                <w:color w:val="auto"/>
                <w:kern w:val="0"/>
                <w:sz w:val="24"/>
                <w:szCs w:val="24"/>
                <w:highlight w:val="none"/>
                <w:lang w:val="en-US" w:eastAsia="zh-CN"/>
              </w:rPr>
              <w:t>利用如皋市城北街道起凤西路118号自有土地和现有厂房</w:t>
            </w:r>
            <w:r>
              <w:rPr>
                <w:rFonts w:hint="eastAsia" w:cs="Times New Roman"/>
                <w:color w:val="auto"/>
                <w:kern w:val="0"/>
                <w:sz w:val="24"/>
                <w:szCs w:val="24"/>
                <w:highlight w:val="none"/>
                <w:lang w:val="en-US" w:eastAsia="zh-CN"/>
              </w:rPr>
              <w:t>，用于本项目的建设，项目建成后形成</w:t>
            </w:r>
            <w:r>
              <w:rPr>
                <w:rFonts w:hint="eastAsia" w:ascii="Times New Roman" w:hAnsi="Times New Roman" w:cs="Times New Roman"/>
                <w:color w:val="auto"/>
                <w:kern w:val="0"/>
                <w:sz w:val="24"/>
                <w:szCs w:val="24"/>
                <w:highlight w:val="none"/>
                <w:lang w:val="en-US" w:eastAsia="zh-CN"/>
              </w:rPr>
              <w:t>年产5000万个滚筒刷、5000万个板刷、5000万个漆刷</w:t>
            </w:r>
            <w:r>
              <w:rPr>
                <w:rFonts w:hint="eastAsia" w:cs="Times New Roman"/>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rPr>
              <w:t>表2-</w:t>
            </w:r>
            <w:r>
              <w:rPr>
                <w:rFonts w:hint="eastAsia" w:cs="Times New Roman"/>
                <w:b/>
                <w:color w:val="auto"/>
                <w:kern w:val="0"/>
                <w:sz w:val="24"/>
                <w:szCs w:val="24"/>
                <w:highlight w:val="none"/>
                <w:lang w:val="en-US" w:eastAsia="zh-CN"/>
              </w:rPr>
              <w:t>1建筑结构</w:t>
            </w:r>
            <w:r>
              <w:rPr>
                <w:rFonts w:hint="default" w:ascii="Times New Roman" w:hAnsi="Times New Roman" w:cs="Times New Roman"/>
                <w:b/>
                <w:color w:val="auto"/>
                <w:kern w:val="0"/>
                <w:sz w:val="24"/>
                <w:szCs w:val="24"/>
                <w:highlight w:val="none"/>
              </w:rPr>
              <w:t>一览表</w:t>
            </w:r>
          </w:p>
          <w:tbl>
            <w:tblPr>
              <w:tblStyle w:val="26"/>
              <w:tblW w:w="7896"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6"/>
              <w:gridCol w:w="1525"/>
              <w:gridCol w:w="1279"/>
              <w:gridCol w:w="1422"/>
              <w:gridCol w:w="284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类别</w:t>
                  </w:r>
                </w:p>
              </w:tc>
              <w:tc>
                <w:tcPr>
                  <w:tcW w:w="1525"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工程名称</w:t>
                  </w:r>
                </w:p>
              </w:tc>
              <w:tc>
                <w:tcPr>
                  <w:tcW w:w="1279"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eastAsia" w:cs="Times New Roman"/>
                      <w:b/>
                      <w:bCs/>
                      <w:color w:val="auto"/>
                      <w:kern w:val="0"/>
                      <w:sz w:val="21"/>
                      <w:szCs w:val="21"/>
                      <w:highlight w:val="none"/>
                      <w:lang w:val="en-US" w:eastAsia="zh-CN"/>
                    </w:rPr>
                    <w:t>技改扩建前</w:t>
                  </w:r>
                </w:p>
              </w:tc>
              <w:tc>
                <w:tcPr>
                  <w:tcW w:w="1422"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eastAsia" w:cs="Times New Roman"/>
                      <w:b/>
                      <w:bCs/>
                      <w:color w:val="auto"/>
                      <w:kern w:val="0"/>
                      <w:sz w:val="21"/>
                      <w:szCs w:val="21"/>
                      <w:highlight w:val="none"/>
                      <w:lang w:val="en-US" w:eastAsia="zh-CN"/>
                    </w:rPr>
                    <w:t>技改扩建后</w:t>
                  </w:r>
                </w:p>
              </w:tc>
              <w:tc>
                <w:tcPr>
                  <w:tcW w:w="2844"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建筑物</w:t>
                  </w:r>
                </w:p>
              </w:tc>
              <w:tc>
                <w:tcPr>
                  <w:tcW w:w="1525"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车间一</w:t>
                  </w:r>
                </w:p>
              </w:tc>
              <w:tc>
                <w:tcPr>
                  <w:tcW w:w="1279"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办公室、滚筒刷生产车间、板刷生产车间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仓库一</w:t>
                  </w:r>
                </w:p>
              </w:tc>
              <w:tc>
                <w:tcPr>
                  <w:tcW w:w="1279"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本项目原料暂存车间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车间二</w:t>
                  </w:r>
                </w:p>
              </w:tc>
              <w:tc>
                <w:tcPr>
                  <w:tcW w:w="1279"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办公室、漆刷生产车间、板刷注塑车间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仓库二</w:t>
                  </w:r>
                </w:p>
              </w:tc>
              <w:tc>
                <w:tcPr>
                  <w:tcW w:w="1279"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外租一车间</w:t>
                  </w:r>
                </w:p>
              </w:tc>
              <w:tc>
                <w:tcPr>
                  <w:tcW w:w="1279"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4550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外租二车间</w:t>
                  </w:r>
                </w:p>
              </w:tc>
              <w:tc>
                <w:tcPr>
                  <w:tcW w:w="1279"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本项目不涉及</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植绒间</w:t>
                  </w:r>
                </w:p>
              </w:tc>
              <w:tc>
                <w:tcPr>
                  <w:tcW w:w="1279"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2844"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板刷植绒车间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6"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p>
              </w:tc>
              <w:tc>
                <w:tcPr>
                  <w:tcW w:w="1525" w:type="dxa"/>
                  <w:tcBorders>
                    <w:tl2br w:val="nil"/>
                    <w:tr2bl w:val="nil"/>
                  </w:tcBorders>
                  <w:vAlign w:val="center"/>
                </w:tcPr>
                <w:p>
                  <w:pPr>
                    <w:adjustRightInd w:val="0"/>
                    <w:snapToGrid w:val="0"/>
                    <w:jc w:val="center"/>
                    <w:rPr>
                      <w:rFonts w:hint="eastAsia" w:eastAsia="宋体" w:cs="Times New Roman"/>
                      <w:color w:val="auto"/>
                      <w:kern w:val="0"/>
                      <w:sz w:val="21"/>
                      <w:szCs w:val="21"/>
                      <w:highlight w:val="none"/>
                      <w:lang w:val="en-US" w:eastAsia="zh-CN"/>
                    </w:rPr>
                  </w:pPr>
                  <w:r>
                    <w:rPr>
                      <w:rFonts w:hint="eastAsia"/>
                      <w:color w:val="auto"/>
                      <w:lang w:val="en-US" w:eastAsia="zh-CN"/>
                    </w:rPr>
                    <w:t>浸漆间</w:t>
                  </w:r>
                </w:p>
              </w:tc>
              <w:tc>
                <w:tcPr>
                  <w:tcW w:w="1279" w:type="dxa"/>
                  <w:tcBorders>
                    <w:tl2br w:val="nil"/>
                    <w:tr2bl w:val="nil"/>
                  </w:tcBorders>
                  <w:vAlign w:val="center"/>
                </w:tcPr>
                <w:p>
                  <w:pPr>
                    <w:adjustRightInd w:val="0"/>
                    <w:snapToGrid w:val="0"/>
                    <w:jc w:val="center"/>
                    <w:rPr>
                      <w:rFonts w:hint="eastAsia" w:cs="Times New Roman"/>
                      <w:color w:val="auto"/>
                      <w:kern w:val="0"/>
                      <w:sz w:val="21"/>
                      <w:szCs w:val="21"/>
                      <w:highlight w:val="yellow"/>
                      <w:lang w:val="en-US" w:eastAsia="zh-CN"/>
                    </w:rPr>
                  </w:pPr>
                  <w:r>
                    <w:rPr>
                      <w:rFonts w:hint="eastAsia" w:cs="Times New Roman"/>
                      <w:color w:val="auto"/>
                      <w:kern w:val="0"/>
                      <w:sz w:val="21"/>
                      <w:szCs w:val="21"/>
                      <w:highlight w:val="yellow"/>
                      <w:lang w:val="en-US" w:eastAsia="zh-CN"/>
                    </w:rPr>
                    <w:t>350</w:t>
                  </w:r>
                  <w:r>
                    <w:rPr>
                      <w:rFonts w:hint="eastAsia" w:ascii="Times New Roman" w:hAnsi="Times New Roman" w:eastAsia="宋体" w:cs="Times New Roman"/>
                      <w:color w:val="auto"/>
                      <w:kern w:val="0"/>
                      <w:sz w:val="21"/>
                      <w:szCs w:val="21"/>
                      <w:highlight w:val="yellow"/>
                      <w:lang w:val="en-US" w:eastAsia="zh-CN"/>
                    </w:rPr>
                    <w:t>m</w:t>
                  </w:r>
                  <w:r>
                    <w:rPr>
                      <w:rFonts w:hint="eastAsia" w:ascii="Times New Roman" w:hAnsi="Times New Roman" w:eastAsia="宋体" w:cs="Times New Roman"/>
                      <w:color w:val="auto"/>
                      <w:kern w:val="0"/>
                      <w:sz w:val="21"/>
                      <w:szCs w:val="21"/>
                      <w:highlight w:val="yellow"/>
                      <w:vertAlign w:val="superscript"/>
                      <w:lang w:val="en-US" w:eastAsia="zh-CN"/>
                    </w:rPr>
                    <w:t>2</w:t>
                  </w:r>
                </w:p>
              </w:tc>
              <w:tc>
                <w:tcPr>
                  <w:tcW w:w="1422" w:type="dxa"/>
                  <w:tcBorders>
                    <w:tl2br w:val="nil"/>
                    <w:tr2bl w:val="nil"/>
                  </w:tcBorders>
                  <w:shd w:val="clear" w:color="auto" w:fill="auto"/>
                  <w:vAlign w:val="center"/>
                </w:tcPr>
                <w:p>
                  <w:pPr>
                    <w:adjustRightInd w:val="0"/>
                    <w:snapToGrid w:val="0"/>
                    <w:jc w:val="center"/>
                    <w:rPr>
                      <w:rFonts w:hint="eastAsia" w:ascii="Times New Roman" w:hAnsi="Times New Roman" w:eastAsia="宋体" w:cs="Times New Roman"/>
                      <w:color w:val="auto"/>
                      <w:kern w:val="0"/>
                      <w:sz w:val="21"/>
                      <w:szCs w:val="21"/>
                      <w:highlight w:val="yellow"/>
                      <w:lang w:val="en-US" w:eastAsia="zh-CN" w:bidi="ar-SA"/>
                    </w:rPr>
                  </w:pPr>
                  <w:r>
                    <w:rPr>
                      <w:rFonts w:hint="eastAsia" w:cs="Times New Roman"/>
                      <w:color w:val="auto"/>
                      <w:kern w:val="0"/>
                      <w:sz w:val="21"/>
                      <w:szCs w:val="21"/>
                      <w:highlight w:val="yellow"/>
                      <w:lang w:val="en-US" w:eastAsia="zh-CN"/>
                    </w:rPr>
                    <w:t>350</w:t>
                  </w:r>
                  <w:r>
                    <w:rPr>
                      <w:rFonts w:hint="eastAsia" w:ascii="Times New Roman" w:hAnsi="Times New Roman" w:eastAsia="宋体" w:cs="Times New Roman"/>
                      <w:color w:val="auto"/>
                      <w:kern w:val="0"/>
                      <w:sz w:val="21"/>
                      <w:szCs w:val="21"/>
                      <w:highlight w:val="yellow"/>
                      <w:lang w:val="en-US" w:eastAsia="zh-CN"/>
                    </w:rPr>
                    <w:t>m</w:t>
                  </w:r>
                  <w:r>
                    <w:rPr>
                      <w:rFonts w:hint="eastAsia" w:ascii="Times New Roman" w:hAnsi="Times New Roman" w:eastAsia="宋体" w:cs="Times New Roman"/>
                      <w:color w:val="auto"/>
                      <w:kern w:val="0"/>
                      <w:sz w:val="21"/>
                      <w:szCs w:val="21"/>
                      <w:highlight w:val="yellow"/>
                      <w:vertAlign w:val="superscript"/>
                      <w:lang w:val="en-US" w:eastAsia="zh-CN"/>
                    </w:rPr>
                    <w:t>2</w:t>
                  </w:r>
                </w:p>
              </w:tc>
              <w:tc>
                <w:tcPr>
                  <w:tcW w:w="2844"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原先为空闲房间，本项目变更为漆刷浸漆车间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3" w:hRule="atLeast"/>
              </w:trPr>
              <w:tc>
                <w:tcPr>
                  <w:tcW w:w="7896" w:type="dxa"/>
                  <w:gridSpan w:val="5"/>
                  <w:tcBorders>
                    <w:tl2br w:val="nil"/>
                    <w:tr2bl w:val="nil"/>
                  </w:tcBorders>
                  <w:vAlign w:val="center"/>
                </w:tcPr>
                <w:p>
                  <w:pPr>
                    <w:adjustRightInd w:val="0"/>
                    <w:snapToGrid w:val="0"/>
                    <w:jc w:val="both"/>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①：现有项目滚筒刷、板刷生产车间位于外租二车间，本次技改扩建将滚筒刷、板刷设备转移至车间一，外租车间二空闲；</w:t>
                  </w:r>
                </w:p>
                <w:p>
                  <w:pPr>
                    <w:adjustRightInd w:val="0"/>
                    <w:snapToGrid w:val="0"/>
                    <w:jc w:val="both"/>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②本项目新增漆刷工序生产位于车间二中；</w:t>
                  </w:r>
                </w:p>
              </w:tc>
            </w:tr>
          </w:tbl>
          <w:p>
            <w:pPr>
              <w:adjustRightInd w:val="0"/>
              <w:snapToGrid w:val="0"/>
              <w:spacing w:line="360" w:lineRule="auto"/>
              <w:ind w:firstLine="482"/>
              <w:rPr>
                <w:rFonts w:hint="default" w:cs="Times New Roman"/>
                <w:color w:val="auto"/>
                <w:kern w:val="0"/>
                <w:sz w:val="24"/>
                <w:szCs w:val="24"/>
                <w:highlight w:val="none"/>
                <w:lang w:val="en-US" w:eastAsia="zh-CN"/>
              </w:rPr>
            </w:pPr>
          </w:p>
          <w:p>
            <w:pPr>
              <w:pStyle w:val="12"/>
              <w:adjustRightInd w:val="0"/>
              <w:snapToGrid w:val="0"/>
              <w:spacing w:line="360" w:lineRule="auto"/>
              <w:ind w:firstLine="480"/>
              <w:rPr>
                <w:rFonts w:hint="default" w:ascii="Times New Roman" w:hAnsi="Times New Roman" w:cs="Times New Roman"/>
                <w:b/>
                <w:color w:val="auto"/>
                <w:sz w:val="24"/>
                <w:szCs w:val="24"/>
                <w:highlight w:val="none"/>
              </w:rPr>
            </w:pPr>
            <w:r>
              <w:rPr>
                <w:rFonts w:hint="default" w:ascii="Times New Roman" w:hAnsi="Times New Roman" w:cs="Times New Roman"/>
                <w:b/>
                <w:color w:val="auto"/>
                <w:kern w:val="2"/>
                <w:sz w:val="24"/>
                <w:szCs w:val="24"/>
                <w:highlight w:val="none"/>
                <w:lang w:eastAsia="zh-CN"/>
              </w:rPr>
              <w:t>（</w:t>
            </w:r>
            <w:r>
              <w:rPr>
                <w:rFonts w:hint="default" w:ascii="Times New Roman" w:hAnsi="Times New Roman" w:cs="Times New Roman"/>
                <w:b/>
                <w:color w:val="auto"/>
                <w:kern w:val="2"/>
                <w:sz w:val="24"/>
                <w:szCs w:val="24"/>
                <w:highlight w:val="none"/>
                <w:lang w:val="en-US" w:eastAsia="zh-CN"/>
              </w:rPr>
              <w:t>2</w:t>
            </w:r>
            <w:r>
              <w:rPr>
                <w:rFonts w:hint="default" w:ascii="Times New Roman" w:hAnsi="Times New Roman" w:cs="Times New Roman"/>
                <w:b/>
                <w:color w:val="auto"/>
                <w:kern w:val="2"/>
                <w:sz w:val="24"/>
                <w:szCs w:val="24"/>
                <w:highlight w:val="none"/>
                <w:lang w:eastAsia="zh-CN"/>
              </w:rPr>
              <w:t>）</w:t>
            </w:r>
            <w:r>
              <w:rPr>
                <w:rFonts w:hint="default" w:ascii="Times New Roman" w:hAnsi="Times New Roman" w:cs="Times New Roman"/>
                <w:b/>
                <w:color w:val="auto"/>
                <w:sz w:val="24"/>
                <w:szCs w:val="24"/>
                <w:highlight w:val="none"/>
              </w:rPr>
              <w:t>公用及辅助工程</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lang w:val="en-US" w:eastAsia="zh-CN"/>
              </w:rPr>
              <w:t>①</w:t>
            </w:r>
            <w:r>
              <w:rPr>
                <w:rFonts w:hint="default" w:ascii="Times New Roman" w:hAnsi="Times New Roman" w:cs="Times New Roman"/>
                <w:b/>
                <w:color w:val="auto"/>
                <w:kern w:val="0"/>
                <w:sz w:val="24"/>
                <w:szCs w:val="24"/>
                <w:highlight w:val="none"/>
              </w:rPr>
              <w:t>供水系统</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本项目</w:t>
            </w:r>
            <w:r>
              <w:rPr>
                <w:rFonts w:hint="eastAsia" w:cs="Times New Roman"/>
                <w:color w:val="auto"/>
                <w:kern w:val="0"/>
                <w:sz w:val="24"/>
                <w:szCs w:val="24"/>
                <w:highlight w:val="none"/>
                <w:lang w:val="en-US" w:eastAsia="zh-CN"/>
              </w:rPr>
              <w:t>利用现有厂房，厂址范围内供水管线已经建成，可以满足本项目建设、生产、消防等所需供水的需求。本项目用水主要为职工生活用水，</w:t>
            </w:r>
            <w:r>
              <w:rPr>
                <w:rFonts w:hint="default" w:ascii="Times New Roman" w:hAnsi="Times New Roman" w:cs="Times New Roman"/>
                <w:color w:val="auto"/>
                <w:kern w:val="0"/>
                <w:sz w:val="24"/>
                <w:szCs w:val="24"/>
                <w:highlight w:val="none"/>
              </w:rPr>
              <w:t>由市政自来水管网接入。</w:t>
            </w:r>
          </w:p>
          <w:p>
            <w:pPr>
              <w:adjustRightInd w:val="0"/>
              <w:snapToGrid w:val="0"/>
              <w:spacing w:line="360" w:lineRule="auto"/>
              <w:ind w:firstLine="482"/>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本项目</w:t>
            </w:r>
            <w:r>
              <w:rPr>
                <w:rFonts w:hint="eastAsia" w:cs="Times New Roman"/>
                <w:color w:val="auto"/>
                <w:kern w:val="0"/>
                <w:sz w:val="24"/>
                <w:szCs w:val="24"/>
                <w:highlight w:val="none"/>
                <w:lang w:val="en-US" w:eastAsia="zh-CN"/>
              </w:rPr>
              <w:t>新增</w:t>
            </w:r>
            <w:r>
              <w:rPr>
                <w:rFonts w:hint="default" w:ascii="Times New Roman" w:hAnsi="Times New Roman" w:cs="Times New Roman"/>
                <w:color w:val="auto"/>
                <w:kern w:val="0"/>
                <w:sz w:val="24"/>
                <w:szCs w:val="24"/>
                <w:highlight w:val="none"/>
                <w:lang w:val="en-US" w:eastAsia="zh-CN"/>
              </w:rPr>
              <w:t>职工人数为</w:t>
            </w:r>
            <w:r>
              <w:rPr>
                <w:rFonts w:hint="eastAsia"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lang w:val="en-US" w:eastAsia="zh-CN"/>
              </w:rPr>
              <w:t>人，年工作时间为300天，</w:t>
            </w:r>
            <w:r>
              <w:rPr>
                <w:rFonts w:hint="eastAsia"/>
                <w:color w:val="auto"/>
                <w:kern w:val="0"/>
                <w:sz w:val="24"/>
                <w:szCs w:val="24"/>
                <w:highlight w:val="none"/>
              </w:rPr>
              <w:t>根据《江苏省工业、建筑业、服务业、生活和农业用水定额（2025年）》，城市居民用水量取150L/人·d计。项目生活用水量=</w:t>
            </w:r>
            <w:r>
              <w:rPr>
                <w:rFonts w:hint="eastAsia"/>
                <w:color w:val="auto"/>
                <w:kern w:val="0"/>
                <w:sz w:val="24"/>
                <w:szCs w:val="24"/>
                <w:highlight w:val="none"/>
                <w:lang w:val="en-US" w:eastAsia="zh-CN"/>
              </w:rPr>
              <w:t>30</w:t>
            </w:r>
            <w:r>
              <w:rPr>
                <w:rFonts w:hint="eastAsia"/>
                <w:color w:val="auto"/>
                <w:kern w:val="0"/>
                <w:sz w:val="24"/>
                <w:szCs w:val="24"/>
                <w:highlight w:val="none"/>
              </w:rPr>
              <w:t>×3</w:t>
            </w:r>
            <w:r>
              <w:rPr>
                <w:rFonts w:hint="eastAsia"/>
                <w:color w:val="auto"/>
                <w:kern w:val="0"/>
                <w:sz w:val="24"/>
                <w:szCs w:val="24"/>
                <w:highlight w:val="none"/>
                <w:lang w:val="en-US" w:eastAsia="zh-CN"/>
              </w:rPr>
              <w:t>0</w:t>
            </w:r>
            <w:r>
              <w:rPr>
                <w:rFonts w:hint="eastAsia"/>
                <w:color w:val="auto"/>
                <w:kern w:val="0"/>
                <w:sz w:val="24"/>
                <w:szCs w:val="24"/>
                <w:highlight w:val="none"/>
              </w:rPr>
              <w:t>0×150/1000=1</w:t>
            </w:r>
            <w:r>
              <w:rPr>
                <w:rFonts w:hint="eastAsia"/>
                <w:color w:val="auto"/>
                <w:kern w:val="0"/>
                <w:sz w:val="24"/>
                <w:szCs w:val="24"/>
                <w:highlight w:val="none"/>
                <w:lang w:val="en-US" w:eastAsia="zh-CN"/>
              </w:rPr>
              <w:t>350</w:t>
            </w:r>
            <w:r>
              <w:rPr>
                <w:rFonts w:hint="eastAsia"/>
                <w:color w:val="auto"/>
                <w:kern w:val="0"/>
                <w:sz w:val="24"/>
                <w:szCs w:val="24"/>
                <w:highlight w:val="none"/>
              </w:rPr>
              <w:t>m</w:t>
            </w:r>
            <w:r>
              <w:rPr>
                <w:rFonts w:hint="eastAsia"/>
                <w:color w:val="auto"/>
                <w:kern w:val="0"/>
                <w:sz w:val="24"/>
                <w:szCs w:val="24"/>
                <w:highlight w:val="none"/>
                <w:vertAlign w:val="superscript"/>
              </w:rPr>
              <w:t>3</w:t>
            </w:r>
            <w:r>
              <w:rPr>
                <w:rFonts w:hint="eastAsia"/>
                <w:color w:val="auto"/>
                <w:kern w:val="0"/>
                <w:sz w:val="24"/>
                <w:szCs w:val="24"/>
                <w:highlight w:val="none"/>
              </w:rPr>
              <w:t>/a。产污系数以0.8计。项目员工生活污水产生量</w:t>
            </w:r>
            <w:r>
              <w:rPr>
                <w:rFonts w:hint="eastAsia"/>
                <w:color w:val="auto"/>
                <w:kern w:val="0"/>
                <w:sz w:val="24"/>
                <w:szCs w:val="24"/>
                <w:highlight w:val="none"/>
                <w:lang w:eastAsia="zh-CN"/>
              </w:rPr>
              <w:t>，</w:t>
            </w:r>
            <w:r>
              <w:rPr>
                <w:rFonts w:hint="default" w:ascii="Times New Roman" w:hAnsi="Times New Roman" w:cs="Times New Roman"/>
                <w:color w:val="auto"/>
                <w:kern w:val="0"/>
                <w:sz w:val="24"/>
                <w:szCs w:val="24"/>
                <w:highlight w:val="none"/>
                <w:lang w:val="en-US" w:eastAsia="zh-CN"/>
              </w:rPr>
              <w:t>排污系数按照80%计，则生活污水产生量为</w:t>
            </w:r>
            <w:r>
              <w:rPr>
                <w:rFonts w:hint="eastAsia" w:cs="Times New Roman"/>
                <w:color w:val="auto"/>
                <w:kern w:val="0"/>
                <w:sz w:val="24"/>
                <w:szCs w:val="24"/>
                <w:highlight w:val="none"/>
                <w:lang w:val="en-US" w:eastAsia="zh-CN"/>
              </w:rPr>
              <w:t>1080</w:t>
            </w:r>
            <w:r>
              <w:rPr>
                <w:rFonts w:hint="default" w:ascii="Times New Roman" w:hAnsi="Times New Roman" w:cs="Times New Roman"/>
                <w:color w:val="auto"/>
                <w:kern w:val="0"/>
                <w:sz w:val="24"/>
                <w:szCs w:val="24"/>
                <w:highlight w:val="none"/>
                <w:lang w:val="en-US" w:eastAsia="zh-CN"/>
              </w:rPr>
              <w:t>t/a</w:t>
            </w:r>
            <w:r>
              <w:rPr>
                <w:rFonts w:hint="default" w:ascii="Times New Roman" w:hAnsi="Times New Roman" w:cs="Times New Roman"/>
                <w:color w:val="auto"/>
                <w:kern w:val="0"/>
                <w:sz w:val="24"/>
                <w:szCs w:val="24"/>
                <w:highlight w:val="none"/>
              </w:rPr>
              <w:t>。</w:t>
            </w:r>
          </w:p>
          <w:p>
            <w:pPr>
              <w:snapToGrid w:val="0"/>
              <w:spacing w:line="360" w:lineRule="auto"/>
              <w:ind w:firstLine="482"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b/>
                <w:color w:val="auto"/>
                <w:kern w:val="0"/>
                <w:sz w:val="24"/>
                <w:szCs w:val="24"/>
                <w:highlight w:val="none"/>
                <w:lang w:val="en-US" w:eastAsia="zh-CN"/>
              </w:rPr>
              <w:t>②</w:t>
            </w:r>
            <w:r>
              <w:rPr>
                <w:rFonts w:hint="default" w:ascii="Times New Roman" w:hAnsi="Times New Roman" w:cs="Times New Roman"/>
                <w:b/>
                <w:color w:val="auto"/>
                <w:kern w:val="0"/>
                <w:sz w:val="24"/>
                <w:szCs w:val="24"/>
                <w:highlight w:val="none"/>
              </w:rPr>
              <w:t>排水系统：</w:t>
            </w:r>
            <w:r>
              <w:rPr>
                <w:rFonts w:hint="default" w:ascii="Times New Roman" w:hAnsi="Times New Roman" w:cs="Times New Roman"/>
                <w:color w:val="auto"/>
                <w:kern w:val="0"/>
                <w:sz w:val="24"/>
                <w:szCs w:val="24"/>
                <w:highlight w:val="none"/>
              </w:rPr>
              <w:t>本项目排水采用“雨污分流”制，雨水由雨水管道收集</w:t>
            </w:r>
            <w:r>
              <w:rPr>
                <w:rFonts w:hint="eastAsia" w:cs="Times New Roman"/>
                <w:color w:val="auto"/>
                <w:kern w:val="0"/>
                <w:sz w:val="24"/>
                <w:szCs w:val="24"/>
                <w:highlight w:val="none"/>
                <w:lang w:val="en-US" w:eastAsia="zh-CN"/>
              </w:rPr>
              <w:t>进入雨水管网，生活污水依托厂区现有化粪池处理，</w:t>
            </w:r>
            <w:r>
              <w:rPr>
                <w:rFonts w:hint="default" w:ascii="Times New Roman" w:hAnsi="Times New Roman" w:cs="Times New Roman"/>
                <w:color w:val="auto"/>
                <w:kern w:val="0"/>
                <w:sz w:val="24"/>
                <w:szCs w:val="24"/>
                <w:highlight w:val="none"/>
              </w:rPr>
              <w:t>达</w:t>
            </w:r>
            <w:r>
              <w:rPr>
                <w:rFonts w:hint="eastAsia" w:ascii="Times New Roman" w:hAnsi="Times New Roman" w:cs="Times New Roman"/>
                <w:color w:val="auto"/>
                <w:kern w:val="0"/>
                <w:sz w:val="24"/>
                <w:szCs w:val="24"/>
                <w:highlight w:val="none"/>
                <w:lang w:eastAsia="zh-CN"/>
              </w:rPr>
              <w:t>污水处理厂</w:t>
            </w:r>
            <w:r>
              <w:rPr>
                <w:rFonts w:hint="default" w:ascii="Times New Roman" w:hAnsi="Times New Roman" w:cs="Times New Roman"/>
                <w:color w:val="auto"/>
                <w:kern w:val="0"/>
                <w:sz w:val="24"/>
                <w:szCs w:val="24"/>
                <w:highlight w:val="none"/>
              </w:rPr>
              <w:t>接管要求排入</w:t>
            </w:r>
            <w:r>
              <w:rPr>
                <w:rFonts w:hint="eastAsia" w:cs="Times New Roman"/>
                <w:color w:val="auto"/>
                <w:kern w:val="0"/>
                <w:sz w:val="24"/>
                <w:szCs w:val="24"/>
                <w:highlight w:val="none"/>
                <w:lang w:eastAsia="zh-CN"/>
              </w:rPr>
              <w:t>如皋恒发水处理有限公司</w:t>
            </w:r>
            <w:r>
              <w:rPr>
                <w:rFonts w:hint="default" w:ascii="Times New Roman" w:hAnsi="Times New Roman" w:cs="Times New Roman"/>
                <w:color w:val="auto"/>
                <w:kern w:val="0"/>
                <w:sz w:val="24"/>
                <w:szCs w:val="24"/>
                <w:highlight w:val="none"/>
              </w:rPr>
              <w:t>深度处理。</w:t>
            </w:r>
          </w:p>
          <w:p>
            <w:pPr>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b/>
                <w:color w:val="auto"/>
                <w:kern w:val="0"/>
                <w:sz w:val="24"/>
                <w:szCs w:val="24"/>
                <w:highlight w:val="none"/>
                <w:lang w:val="en-US" w:eastAsia="zh-CN"/>
              </w:rPr>
              <w:t>③</w:t>
            </w:r>
            <w:r>
              <w:rPr>
                <w:rFonts w:hint="default" w:ascii="Times New Roman" w:hAnsi="Times New Roman" w:cs="Times New Roman"/>
                <w:b/>
                <w:color w:val="auto"/>
                <w:kern w:val="0"/>
                <w:sz w:val="24"/>
                <w:szCs w:val="24"/>
                <w:highlight w:val="none"/>
              </w:rPr>
              <w:t>供电系统：</w:t>
            </w:r>
            <w:r>
              <w:rPr>
                <w:rFonts w:hint="default" w:ascii="Times New Roman" w:hAnsi="Times New Roman" w:cs="Times New Roman"/>
                <w:color w:val="auto"/>
                <w:kern w:val="0"/>
                <w:sz w:val="24"/>
                <w:szCs w:val="24"/>
                <w:highlight w:val="none"/>
              </w:rPr>
              <w:t>本项目年用电量</w:t>
            </w:r>
            <w:r>
              <w:rPr>
                <w:rFonts w:hint="eastAsia" w:cs="Times New Roman"/>
                <w:color w:val="auto"/>
                <w:kern w:val="0"/>
                <w:sz w:val="24"/>
                <w:szCs w:val="24"/>
                <w:highlight w:val="none"/>
                <w:lang w:val="en-US" w:eastAsia="zh-CN"/>
              </w:rPr>
              <w:t>138</w:t>
            </w:r>
            <w:r>
              <w:rPr>
                <w:rFonts w:hint="default" w:ascii="Times New Roman" w:hAnsi="Times New Roman" w:cs="Times New Roman"/>
                <w:color w:val="auto"/>
                <w:kern w:val="0"/>
                <w:sz w:val="24"/>
                <w:szCs w:val="24"/>
                <w:highlight w:val="none"/>
              </w:rPr>
              <w:t>万kW·h，</w:t>
            </w:r>
            <w:r>
              <w:rPr>
                <w:rFonts w:hint="default" w:ascii="Times New Roman" w:hAnsi="Times New Roman" w:cs="Times New Roman"/>
                <w:color w:val="auto"/>
                <w:sz w:val="24"/>
                <w:szCs w:val="32"/>
                <w:highlight w:val="none"/>
                <w:lang w:val="en-US" w:eastAsia="zh-CN"/>
              </w:rPr>
              <w:t>由市政电网供电</w:t>
            </w:r>
            <w:r>
              <w:rPr>
                <w:rFonts w:hint="default" w:ascii="Times New Roman" w:hAnsi="Times New Roman" w:cs="Times New Roman"/>
                <w:color w:val="auto"/>
                <w:kern w:val="0"/>
                <w:sz w:val="24"/>
                <w:szCs w:val="24"/>
                <w:highlight w:val="none"/>
              </w:rPr>
              <w:t>。</w:t>
            </w:r>
          </w:p>
          <w:p>
            <w:pPr>
              <w:adjustRightInd w:val="0"/>
              <w:snapToGrid w:val="0"/>
              <w:spacing w:line="360" w:lineRule="auto"/>
              <w:ind w:firstLine="480"/>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2"/>
                <w:sz w:val="24"/>
                <w:szCs w:val="24"/>
                <w:highlight w:val="none"/>
                <w:lang w:eastAsia="zh-CN"/>
              </w:rPr>
              <w:t>（</w:t>
            </w:r>
            <w:r>
              <w:rPr>
                <w:rFonts w:hint="default" w:ascii="Times New Roman" w:hAnsi="Times New Roman" w:cs="Times New Roman"/>
                <w:b/>
                <w:color w:val="auto"/>
                <w:kern w:val="2"/>
                <w:sz w:val="24"/>
                <w:szCs w:val="24"/>
                <w:highlight w:val="none"/>
                <w:lang w:val="en-US" w:eastAsia="zh-CN"/>
              </w:rPr>
              <w:t>3</w:t>
            </w:r>
            <w:r>
              <w:rPr>
                <w:rFonts w:hint="default" w:ascii="Times New Roman" w:hAnsi="Times New Roman" w:cs="Times New Roman"/>
                <w:b/>
                <w:color w:val="auto"/>
                <w:kern w:val="2"/>
                <w:sz w:val="24"/>
                <w:szCs w:val="24"/>
                <w:highlight w:val="none"/>
                <w:lang w:eastAsia="zh-CN"/>
              </w:rPr>
              <w:t>）</w:t>
            </w:r>
            <w:r>
              <w:rPr>
                <w:rFonts w:hint="default" w:ascii="Times New Roman" w:hAnsi="Times New Roman" w:cs="Times New Roman"/>
                <w:b/>
                <w:color w:val="auto"/>
                <w:kern w:val="0"/>
                <w:sz w:val="24"/>
                <w:szCs w:val="24"/>
                <w:highlight w:val="none"/>
              </w:rPr>
              <w:t>贮运工程：</w:t>
            </w:r>
          </w:p>
          <w:p>
            <w:pPr>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本项目原辅材料贮存在生产车间内原辅材料贮存区，产品储存在生产车间内成品区，原料及成品的进出厂均采用汽车运输。</w:t>
            </w:r>
          </w:p>
          <w:p>
            <w:pPr>
              <w:adjustRightInd w:val="0"/>
              <w:snapToGrid w:val="0"/>
              <w:spacing w:line="360" w:lineRule="auto"/>
              <w:ind w:firstLine="480"/>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lang w:eastAsia="zh-CN"/>
              </w:rPr>
              <w:t>（</w:t>
            </w:r>
            <w:r>
              <w:rPr>
                <w:rFonts w:hint="default" w:ascii="Times New Roman" w:hAnsi="Times New Roman" w:cs="Times New Roman"/>
                <w:b/>
                <w:color w:val="auto"/>
                <w:kern w:val="0"/>
                <w:sz w:val="24"/>
                <w:szCs w:val="24"/>
                <w:highlight w:val="none"/>
                <w:lang w:val="en-US" w:eastAsia="zh-CN"/>
              </w:rPr>
              <w:t>4</w:t>
            </w:r>
            <w:r>
              <w:rPr>
                <w:rFonts w:hint="default" w:ascii="Times New Roman" w:hAnsi="Times New Roman" w:cs="Times New Roman"/>
                <w:b/>
                <w:color w:val="auto"/>
                <w:kern w:val="0"/>
                <w:sz w:val="24"/>
                <w:szCs w:val="24"/>
                <w:highlight w:val="none"/>
                <w:lang w:eastAsia="zh-CN"/>
              </w:rPr>
              <w:t>）</w:t>
            </w:r>
            <w:r>
              <w:rPr>
                <w:rFonts w:hint="default" w:ascii="Times New Roman" w:hAnsi="Times New Roman" w:cs="Times New Roman"/>
                <w:b/>
                <w:color w:val="auto"/>
                <w:kern w:val="0"/>
                <w:sz w:val="24"/>
                <w:szCs w:val="24"/>
                <w:highlight w:val="none"/>
              </w:rPr>
              <w:t>环保工程</w:t>
            </w:r>
          </w:p>
          <w:p>
            <w:pPr>
              <w:adjustRightInd w:val="0"/>
              <w:snapToGrid w:val="0"/>
              <w:spacing w:line="360" w:lineRule="auto"/>
              <w:ind w:firstLine="48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废水：厂区实行雨污分流，生活污水经化粪池预处理</w:t>
            </w:r>
            <w:r>
              <w:rPr>
                <w:rFonts w:hint="eastAsia"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达</w:t>
            </w:r>
            <w:r>
              <w:rPr>
                <w:rFonts w:hint="eastAsia" w:ascii="Times New Roman" w:hAnsi="Times New Roman" w:cs="Times New Roman"/>
                <w:color w:val="auto"/>
                <w:kern w:val="0"/>
                <w:sz w:val="24"/>
                <w:szCs w:val="24"/>
                <w:highlight w:val="none"/>
                <w:lang w:eastAsia="zh-CN"/>
              </w:rPr>
              <w:t>污水处理厂</w:t>
            </w:r>
            <w:r>
              <w:rPr>
                <w:rFonts w:hint="default" w:ascii="Times New Roman" w:hAnsi="Times New Roman" w:cs="Times New Roman"/>
                <w:color w:val="auto"/>
                <w:kern w:val="0"/>
                <w:sz w:val="24"/>
                <w:szCs w:val="24"/>
                <w:highlight w:val="none"/>
              </w:rPr>
              <w:t>接管要求排入</w:t>
            </w:r>
            <w:r>
              <w:rPr>
                <w:rFonts w:hint="eastAsia" w:cs="Times New Roman"/>
                <w:color w:val="auto"/>
                <w:kern w:val="0"/>
                <w:sz w:val="24"/>
                <w:szCs w:val="24"/>
                <w:highlight w:val="none"/>
                <w:lang w:eastAsia="zh-CN"/>
              </w:rPr>
              <w:t>如皋恒发水处理有限公司</w:t>
            </w:r>
            <w:r>
              <w:rPr>
                <w:rFonts w:hint="default" w:ascii="Times New Roman" w:hAnsi="Times New Roman" w:cs="Times New Roman"/>
                <w:color w:val="auto"/>
                <w:kern w:val="0"/>
                <w:sz w:val="24"/>
                <w:szCs w:val="24"/>
                <w:highlight w:val="none"/>
              </w:rPr>
              <w:t>深度处理</w:t>
            </w:r>
            <w:r>
              <w:rPr>
                <w:rFonts w:hint="default" w:ascii="Times New Roman" w:hAnsi="Times New Roman" w:cs="Times New Roman"/>
                <w:color w:val="auto"/>
                <w:kern w:val="0"/>
                <w:sz w:val="24"/>
                <w:szCs w:val="24"/>
                <w:highlight w:val="none"/>
                <w:lang w:eastAsia="zh-CN"/>
              </w:rPr>
              <w:t>；</w:t>
            </w:r>
          </w:p>
          <w:p>
            <w:pPr>
              <w:adjustRightInd w:val="0"/>
              <w:snapToGrid w:val="0"/>
              <w:spacing w:line="360" w:lineRule="auto"/>
              <w:ind w:firstLine="48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废气：</w:t>
            </w:r>
            <w:r>
              <w:rPr>
                <w:rFonts w:hint="eastAsia" w:cs="Times New Roman"/>
                <w:color w:val="auto"/>
                <w:kern w:val="0"/>
                <w:sz w:val="24"/>
                <w:szCs w:val="24"/>
                <w:highlight w:val="none"/>
                <w:lang w:val="en-US" w:eastAsia="zh-CN"/>
              </w:rPr>
              <w:t>本项目磨头、敲盖过程中产生的颗粒物经集气罩收集后经布袋除尘器处理后</w:t>
            </w:r>
            <w:r>
              <w:rPr>
                <w:rFonts w:hint="default" w:ascii="Times New Roman" w:hAnsi="Times New Roman" w:cs="Times New Roman"/>
                <w:color w:val="auto"/>
                <w:kern w:val="0"/>
                <w:sz w:val="24"/>
                <w:szCs w:val="24"/>
                <w:highlight w:val="none"/>
              </w:rPr>
              <w:t>通过15m高排气筒排放（DA00</w:t>
            </w:r>
            <w:r>
              <w:rPr>
                <w:rFonts w:hint="eastAsia" w:cs="Times New Roman"/>
                <w:color w:val="auto"/>
                <w:kern w:val="0"/>
                <w:sz w:val="24"/>
                <w:szCs w:val="24"/>
                <w:highlight w:val="none"/>
                <w:lang w:val="en-US" w:eastAsia="zh-CN"/>
              </w:rPr>
              <w:t>1</w:t>
            </w:r>
            <w:r>
              <w:rPr>
                <w:rFonts w:hint="default" w:ascii="Times New Roman" w:hAnsi="Times New Roman" w:cs="Times New Roman"/>
                <w:color w:val="auto"/>
                <w:kern w:val="0"/>
                <w:sz w:val="24"/>
                <w:szCs w:val="24"/>
                <w:highlight w:val="none"/>
              </w:rPr>
              <w:t>）</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调胶、上胶、植绒、胶合板刷、灌胶废气经过</w:t>
            </w:r>
            <w:r>
              <w:rPr>
                <w:rFonts w:hint="eastAsia" w:ascii="Times New Roman" w:hAnsi="Times New Roman" w:cs="Times New Roman"/>
                <w:color w:val="auto"/>
                <w:kern w:val="0"/>
                <w:sz w:val="24"/>
                <w:szCs w:val="24"/>
                <w:highlight w:val="none"/>
                <w:lang w:val="en-US" w:eastAsia="zh-CN"/>
              </w:rPr>
              <w:t>二级活性炭吸附装置处理后</w:t>
            </w:r>
            <w:r>
              <w:rPr>
                <w:rFonts w:hint="default" w:ascii="Times New Roman" w:hAnsi="Times New Roman" w:cs="Times New Roman"/>
                <w:color w:val="auto"/>
                <w:kern w:val="0"/>
                <w:sz w:val="24"/>
                <w:szCs w:val="24"/>
                <w:highlight w:val="none"/>
              </w:rPr>
              <w:t>通过15m高排气筒排放（DA00</w:t>
            </w:r>
            <w:r>
              <w:rPr>
                <w:rFonts w:hint="eastAsia" w:cs="Times New Roman"/>
                <w:color w:val="auto"/>
                <w:kern w:val="0"/>
                <w:sz w:val="24"/>
                <w:szCs w:val="24"/>
                <w:highlight w:val="none"/>
                <w:lang w:val="en-US" w:eastAsia="zh-CN"/>
              </w:rPr>
              <w:t>1</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val="en-US" w:eastAsia="zh-CN"/>
              </w:rPr>
              <w:t>，注塑、浸漆废气经过</w:t>
            </w:r>
            <w:r>
              <w:rPr>
                <w:rFonts w:hint="eastAsia" w:ascii="Times New Roman" w:hAnsi="Times New Roman" w:cs="Times New Roman"/>
                <w:color w:val="auto"/>
                <w:kern w:val="0"/>
                <w:sz w:val="24"/>
                <w:szCs w:val="24"/>
                <w:highlight w:val="none"/>
                <w:lang w:val="en-US" w:eastAsia="zh-CN"/>
              </w:rPr>
              <w:t>二级活性炭吸附装置处理后</w:t>
            </w:r>
            <w:r>
              <w:rPr>
                <w:rFonts w:hint="default" w:ascii="Times New Roman" w:hAnsi="Times New Roman" w:cs="Times New Roman"/>
                <w:color w:val="auto"/>
                <w:kern w:val="0"/>
                <w:sz w:val="24"/>
                <w:szCs w:val="24"/>
                <w:highlight w:val="none"/>
              </w:rPr>
              <w:t>通过15m高排气筒排放（DA00</w:t>
            </w:r>
            <w:r>
              <w:rPr>
                <w:rFonts w:hint="eastAsia" w:cs="Times New Roman"/>
                <w:color w:val="auto"/>
                <w:kern w:val="0"/>
                <w:sz w:val="24"/>
                <w:szCs w:val="24"/>
                <w:highlight w:val="none"/>
                <w:lang w:val="en-US" w:eastAsia="zh-CN"/>
              </w:rPr>
              <w:t>2</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lang w:eastAsia="zh-CN"/>
              </w:rPr>
              <w:t>；</w:t>
            </w:r>
          </w:p>
          <w:p>
            <w:pPr>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固废：本项目</w:t>
            </w:r>
            <w:r>
              <w:rPr>
                <w:rFonts w:hint="eastAsia" w:cs="Times New Roman"/>
                <w:color w:val="auto"/>
                <w:kern w:val="0"/>
                <w:sz w:val="24"/>
                <w:szCs w:val="24"/>
                <w:highlight w:val="none"/>
                <w:lang w:val="en-US" w:eastAsia="zh-CN"/>
              </w:rPr>
              <w:t>利用现有1</w:t>
            </w:r>
            <w:r>
              <w:rPr>
                <w:rFonts w:hint="default" w:ascii="Times New Roman" w:hAnsi="Times New Roman" w:cs="Times New Roman"/>
                <w:color w:val="auto"/>
                <w:kern w:val="0"/>
                <w:sz w:val="24"/>
                <w:szCs w:val="24"/>
                <w:highlight w:val="none"/>
              </w:rPr>
              <w:t>个</w:t>
            </w:r>
            <w:r>
              <w:rPr>
                <w:rFonts w:hint="eastAsia" w:cs="Times New Roman"/>
                <w:color w:val="auto"/>
                <w:kern w:val="0"/>
                <w:sz w:val="24"/>
                <w:szCs w:val="24"/>
                <w:highlight w:val="none"/>
                <w:lang w:val="en-US" w:eastAsia="zh-CN"/>
              </w:rPr>
              <w:t>20</w:t>
            </w:r>
            <w:r>
              <w:rPr>
                <w:rFonts w:hint="default" w:ascii="Times New Roman" w:hAnsi="Times New Roman" w:cs="Times New Roman"/>
                <w:color w:val="auto"/>
                <w:kern w:val="0"/>
                <w:sz w:val="24"/>
                <w:szCs w:val="24"/>
                <w:highlight w:val="none"/>
              </w:rPr>
              <w:t>平方米的危废库</w:t>
            </w:r>
            <w:r>
              <w:rPr>
                <w:rFonts w:hint="eastAsia" w:cs="Times New Roman"/>
                <w:color w:val="auto"/>
                <w:kern w:val="0"/>
                <w:sz w:val="24"/>
                <w:szCs w:val="24"/>
                <w:highlight w:val="none"/>
                <w:lang w:val="en-US" w:eastAsia="zh-CN"/>
              </w:rPr>
              <w:t>和1个20平方米的一般固废库</w:t>
            </w:r>
            <w:r>
              <w:rPr>
                <w:rFonts w:hint="default" w:ascii="Times New Roman" w:hAnsi="Times New Roman" w:cs="Times New Roman"/>
                <w:color w:val="auto"/>
                <w:kern w:val="0"/>
                <w:sz w:val="24"/>
                <w:szCs w:val="24"/>
                <w:highlight w:val="none"/>
              </w:rPr>
              <w:t>。</w:t>
            </w:r>
          </w:p>
          <w:p>
            <w:pPr>
              <w:adjustRightInd w:val="0"/>
              <w:snapToGrid w:val="0"/>
              <w:spacing w:line="360" w:lineRule="auto"/>
              <w:ind w:firstLine="480"/>
              <w:rPr>
                <w:rFonts w:hint="default" w:ascii="Times New Roman" w:hAnsi="Times New Roman" w:cs="Times New Roman"/>
                <w:b/>
                <w:color w:val="auto"/>
                <w:kern w:val="0"/>
                <w:sz w:val="24"/>
                <w:szCs w:val="24"/>
                <w:highlight w:val="none"/>
              </w:rPr>
            </w:pPr>
            <w:r>
              <w:rPr>
                <w:rFonts w:hint="eastAsia" w:cs="Times New Roman"/>
                <w:color w:val="auto"/>
                <w:kern w:val="0"/>
                <w:sz w:val="24"/>
                <w:szCs w:val="24"/>
                <w:highlight w:val="none"/>
                <w:lang w:val="en-US" w:eastAsia="zh-CN"/>
              </w:rPr>
              <w:t>本次技改扩建</w:t>
            </w:r>
            <w:r>
              <w:rPr>
                <w:rFonts w:hint="default" w:ascii="Times New Roman" w:hAnsi="Times New Roman" w:cs="Times New Roman"/>
                <w:color w:val="auto"/>
                <w:kern w:val="0"/>
                <w:sz w:val="24"/>
                <w:szCs w:val="24"/>
                <w:highlight w:val="none"/>
              </w:rPr>
              <w:t>项目公辅工程及环保工程组成见表2-</w:t>
            </w:r>
            <w:r>
              <w:rPr>
                <w:rFonts w:hint="eastAsia" w:cs="Times New Roman"/>
                <w:color w:val="auto"/>
                <w:kern w:val="0"/>
                <w:sz w:val="24"/>
                <w:szCs w:val="24"/>
                <w:highlight w:val="none"/>
                <w:lang w:val="en-US" w:eastAsia="zh-CN"/>
              </w:rPr>
              <w:t>1</w:t>
            </w:r>
            <w:r>
              <w:rPr>
                <w:rFonts w:hint="default" w:ascii="Times New Roman" w:hAnsi="Times New Roman" w:cs="Times New Roman"/>
                <w:color w:val="auto"/>
                <w:kern w:val="0"/>
                <w:sz w:val="24"/>
                <w:szCs w:val="24"/>
                <w:highlight w:val="none"/>
              </w:rPr>
              <w:t>。</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rPr>
              <w:t>表2-</w:t>
            </w:r>
            <w:r>
              <w:rPr>
                <w:rFonts w:hint="eastAsia" w:cs="Times New Roman"/>
                <w:b/>
                <w:color w:val="auto"/>
                <w:kern w:val="0"/>
                <w:sz w:val="24"/>
                <w:szCs w:val="24"/>
                <w:highlight w:val="none"/>
                <w:lang w:val="en-US" w:eastAsia="zh-CN"/>
              </w:rPr>
              <w:t>1技改扩建</w:t>
            </w:r>
            <w:r>
              <w:rPr>
                <w:rFonts w:hint="default" w:ascii="Times New Roman" w:hAnsi="Times New Roman" w:cs="Times New Roman"/>
                <w:b/>
                <w:color w:val="auto"/>
                <w:kern w:val="0"/>
                <w:sz w:val="24"/>
                <w:szCs w:val="24"/>
                <w:highlight w:val="none"/>
              </w:rPr>
              <w:t>项目主体工程、公辅工程、环保工程一览表</w:t>
            </w:r>
          </w:p>
          <w:tbl>
            <w:tblPr>
              <w:tblStyle w:val="26"/>
              <w:tblW w:w="789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7"/>
              <w:gridCol w:w="368"/>
              <w:gridCol w:w="1157"/>
              <w:gridCol w:w="1279"/>
              <w:gridCol w:w="1422"/>
              <w:gridCol w:w="1422"/>
              <w:gridCol w:w="142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类别</w:t>
                  </w:r>
                </w:p>
              </w:tc>
              <w:tc>
                <w:tcPr>
                  <w:tcW w:w="1525" w:type="dxa"/>
                  <w:gridSpan w:val="2"/>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工程名称</w:t>
                  </w:r>
                </w:p>
              </w:tc>
              <w:tc>
                <w:tcPr>
                  <w:tcW w:w="1279"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eastAsia" w:cs="Times New Roman"/>
                      <w:b/>
                      <w:bCs/>
                      <w:color w:val="auto"/>
                      <w:kern w:val="0"/>
                      <w:sz w:val="21"/>
                      <w:szCs w:val="21"/>
                      <w:highlight w:val="none"/>
                      <w:lang w:val="en-US" w:eastAsia="zh-CN"/>
                    </w:rPr>
                    <w:t>技改扩建前</w:t>
                  </w:r>
                </w:p>
              </w:tc>
              <w:tc>
                <w:tcPr>
                  <w:tcW w:w="1422"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eastAsia" w:cs="Times New Roman"/>
                      <w:b/>
                      <w:bCs/>
                      <w:color w:val="auto"/>
                      <w:kern w:val="0"/>
                      <w:sz w:val="21"/>
                      <w:szCs w:val="21"/>
                      <w:highlight w:val="none"/>
                      <w:lang w:val="en-US" w:eastAsia="zh-CN"/>
                    </w:rPr>
                    <w:t>技改扩建后</w:t>
                  </w:r>
                </w:p>
              </w:tc>
              <w:tc>
                <w:tcPr>
                  <w:tcW w:w="1422" w:type="dxa"/>
                  <w:tcBorders>
                    <w:tl2br w:val="nil"/>
                    <w:tr2bl w:val="nil"/>
                  </w:tcBorders>
                  <w:vAlign w:val="center"/>
                </w:tcPr>
                <w:p>
                  <w:pPr>
                    <w:adjustRightInd w:val="0"/>
                    <w:snapToGrid w:val="0"/>
                    <w:jc w:val="center"/>
                    <w:rPr>
                      <w:rFonts w:hint="default"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变化情况</w:t>
                  </w:r>
                </w:p>
              </w:tc>
              <w:tc>
                <w:tcPr>
                  <w:tcW w:w="1422" w:type="dxa"/>
                  <w:tcBorders>
                    <w:tl2br w:val="nil"/>
                    <w:tr2bl w:val="nil"/>
                  </w:tcBorders>
                  <w:vAlign w:val="center"/>
                </w:tcPr>
                <w:p>
                  <w:pPr>
                    <w:adjustRightInd w:val="0"/>
                    <w:snapToGrid w:val="0"/>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辅助工程</w:t>
                  </w:r>
                </w:p>
              </w:tc>
              <w:tc>
                <w:tcPr>
                  <w:tcW w:w="1525" w:type="dxa"/>
                  <w:gridSpan w:val="2"/>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办公区</w:t>
                  </w:r>
                </w:p>
              </w:tc>
              <w:tc>
                <w:tcPr>
                  <w:tcW w:w="1279"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位于车间一、车间二内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restart"/>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贮运工程</w:t>
                  </w:r>
                </w:p>
              </w:tc>
              <w:tc>
                <w:tcPr>
                  <w:tcW w:w="152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原料仓库</w:t>
                  </w:r>
                </w:p>
              </w:tc>
              <w:tc>
                <w:tcPr>
                  <w:tcW w:w="1279"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2860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仓库一</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75"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半成品仓库</w:t>
                  </w:r>
                </w:p>
              </w:tc>
              <w:tc>
                <w:tcPr>
                  <w:tcW w:w="1279"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新增</w:t>
                  </w:r>
                </w:p>
              </w:tc>
              <w:tc>
                <w:tcPr>
                  <w:tcW w:w="1422"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原先位于外租二车间内，未详细划分，现位于车间二内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ascii="Times New Roman" w:hAnsi="Times New Roman" w:eastAsia="宋体" w:cs="Times New Roman"/>
                      <w:color w:val="auto"/>
                      <w:kern w:val="0"/>
                      <w:sz w:val="21"/>
                      <w:szCs w:val="21"/>
                      <w:highlight w:val="none"/>
                      <w:lang w:val="en-US" w:eastAsia="zh-CN"/>
                    </w:rPr>
                    <w:t>成品仓库</w:t>
                  </w:r>
                </w:p>
              </w:tc>
              <w:tc>
                <w:tcPr>
                  <w:tcW w:w="1279"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400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新增</w:t>
                  </w:r>
                </w:p>
              </w:tc>
              <w:tc>
                <w:tcPr>
                  <w:tcW w:w="1422" w:type="dxa"/>
                  <w:vMerge w:val="continue"/>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甲类库</w:t>
                  </w:r>
                </w:p>
              </w:tc>
              <w:tc>
                <w:tcPr>
                  <w:tcW w:w="1279"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50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厂区东侧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restart"/>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公用辅助工程</w:t>
                  </w:r>
                </w:p>
              </w:tc>
              <w:tc>
                <w:tcPr>
                  <w:tcW w:w="1525" w:type="dxa"/>
                  <w:gridSpan w:val="2"/>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给水系统</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1890</w:t>
                  </w:r>
                  <w:r>
                    <w:rPr>
                      <w:rFonts w:hint="default" w:ascii="Times New Roman" w:hAnsi="Times New Roman" w:cs="Times New Roman"/>
                      <w:color w:val="auto"/>
                      <w:kern w:val="0"/>
                      <w:sz w:val="21"/>
                      <w:szCs w:val="21"/>
                      <w:highlight w:val="none"/>
                    </w:rPr>
                    <w:t>t/a</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3240</w:t>
                  </w:r>
                  <w:r>
                    <w:rPr>
                      <w:rFonts w:hint="default" w:ascii="Times New Roman" w:hAnsi="Times New Roman" w:cs="Times New Roman"/>
                      <w:color w:val="auto"/>
                      <w:kern w:val="0"/>
                      <w:sz w:val="21"/>
                      <w:szCs w:val="21"/>
                      <w:highlight w:val="none"/>
                    </w:rPr>
                    <w:t>t/a</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+1350t/a</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市政</w:t>
                  </w:r>
                  <w:r>
                    <w:rPr>
                      <w:rFonts w:hint="eastAsia" w:cs="Times New Roman"/>
                      <w:color w:val="auto"/>
                      <w:kern w:val="0"/>
                      <w:sz w:val="21"/>
                      <w:szCs w:val="21"/>
                      <w:highlight w:val="none"/>
                      <w:lang w:val="en-US" w:eastAsia="zh-CN"/>
                    </w:rPr>
                    <w:t>给水</w:t>
                  </w:r>
                  <w:r>
                    <w:rPr>
                      <w:rFonts w:hint="default" w:ascii="Times New Roman" w:hAnsi="Times New Roman" w:cs="Times New Roman"/>
                      <w:color w:val="auto"/>
                      <w:kern w:val="0"/>
                      <w:sz w:val="21"/>
                      <w:szCs w:val="21"/>
                      <w:highlight w:val="none"/>
                    </w:rPr>
                    <w:t>管网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排水系统</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1374</w:t>
                  </w:r>
                  <w:r>
                    <w:rPr>
                      <w:rFonts w:hint="default" w:ascii="Times New Roman" w:hAnsi="Times New Roman" w:cs="Times New Roman"/>
                      <w:color w:val="auto"/>
                      <w:kern w:val="0"/>
                      <w:sz w:val="21"/>
                      <w:szCs w:val="21"/>
                      <w:highlight w:val="none"/>
                    </w:rPr>
                    <w:t>t/a</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2454</w:t>
                  </w:r>
                  <w:r>
                    <w:rPr>
                      <w:rFonts w:hint="default" w:ascii="Times New Roman" w:hAnsi="Times New Roman" w:cs="Times New Roman"/>
                      <w:color w:val="auto"/>
                      <w:kern w:val="0"/>
                      <w:sz w:val="21"/>
                      <w:szCs w:val="21"/>
                      <w:highlight w:val="none"/>
                    </w:rPr>
                    <w:t>t/a</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+1080t/a</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生活污水经化粪池预处理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供电系统</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2.7</w:t>
                  </w:r>
                  <w:r>
                    <w:rPr>
                      <w:rFonts w:hint="default" w:ascii="Times New Roman" w:hAnsi="Times New Roman" w:cs="Times New Roman"/>
                      <w:color w:val="auto"/>
                      <w:kern w:val="0"/>
                      <w:sz w:val="21"/>
                      <w:szCs w:val="21"/>
                      <w:highlight w:val="none"/>
                    </w:rPr>
                    <w:t>万kWh/a</w:t>
                  </w:r>
                </w:p>
              </w:tc>
              <w:tc>
                <w:tcPr>
                  <w:tcW w:w="1422" w:type="dxa"/>
                  <w:tcBorders>
                    <w:tl2br w:val="nil"/>
                    <w:tr2bl w:val="nil"/>
                  </w:tcBorders>
                  <w:vAlign w:val="center"/>
                </w:tcPr>
                <w:p>
                  <w:pPr>
                    <w:adjustRightInd w:val="0"/>
                    <w:snapToGrid w:val="0"/>
                    <w:jc w:val="center"/>
                    <w:rPr>
                      <w:rFonts w:hint="default" w:eastAsia="宋体" w:cs="Times New Roman"/>
                      <w:color w:val="auto"/>
                      <w:kern w:val="0"/>
                      <w:sz w:val="21"/>
                      <w:szCs w:val="21"/>
                      <w:highlight w:val="none"/>
                      <w:lang w:val="en-US" w:eastAsia="zh-CN"/>
                    </w:rPr>
                  </w:pPr>
                  <w:r>
                    <w:rPr>
                      <w:rFonts w:hint="eastAsia"/>
                      <w:color w:val="auto"/>
                      <w:lang w:val="en-US" w:eastAsia="zh-CN"/>
                    </w:rPr>
                    <w:t>138</w:t>
                  </w:r>
                  <w:r>
                    <w:rPr>
                      <w:rFonts w:hint="default" w:ascii="Times New Roman" w:hAnsi="Times New Roman" w:cs="Times New Roman"/>
                      <w:color w:val="auto"/>
                      <w:kern w:val="0"/>
                      <w:sz w:val="21"/>
                      <w:szCs w:val="21"/>
                      <w:highlight w:val="none"/>
                    </w:rPr>
                    <w:t>万kWh/a</w:t>
                  </w:r>
                </w:p>
              </w:tc>
              <w:tc>
                <w:tcPr>
                  <w:tcW w:w="1422" w:type="dxa"/>
                  <w:tcBorders>
                    <w:tl2br w:val="nil"/>
                    <w:tr2bl w:val="nil"/>
                  </w:tcBorders>
                  <w:vAlign w:val="center"/>
                </w:tcPr>
                <w:p>
                  <w:pPr>
                    <w:adjustRightInd w:val="0"/>
                    <w:snapToGrid w:val="0"/>
                    <w:jc w:val="center"/>
                    <w:rPr>
                      <w:rFonts w:hint="default"/>
                      <w:color w:val="auto"/>
                      <w:lang w:val="en-US" w:eastAsia="zh-CN"/>
                    </w:rPr>
                  </w:pPr>
                  <w:r>
                    <w:rPr>
                      <w:rFonts w:hint="eastAsia"/>
                      <w:color w:val="auto"/>
                      <w:lang w:val="en-US" w:eastAsia="zh-CN"/>
                    </w:rPr>
                    <w:t>+135.3</w:t>
                  </w:r>
                  <w:r>
                    <w:rPr>
                      <w:rFonts w:hint="default" w:ascii="Times New Roman" w:hAnsi="Times New Roman" w:cs="Times New Roman"/>
                      <w:color w:val="auto"/>
                      <w:kern w:val="0"/>
                      <w:sz w:val="21"/>
                      <w:szCs w:val="21"/>
                      <w:highlight w:val="none"/>
                    </w:rPr>
                    <w:t>万kWh/a</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市政电网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0" w:hRule="atLeast"/>
              </w:trPr>
              <w:tc>
                <w:tcPr>
                  <w:tcW w:w="827" w:type="dxa"/>
                  <w:vMerge w:val="restart"/>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环保工程</w:t>
                  </w:r>
                </w:p>
              </w:tc>
              <w:tc>
                <w:tcPr>
                  <w:tcW w:w="368"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废水</w:t>
                  </w:r>
                </w:p>
              </w:tc>
              <w:tc>
                <w:tcPr>
                  <w:tcW w:w="1157" w:type="dxa"/>
                  <w:tcBorders>
                    <w:tl2br w:val="nil"/>
                    <w:tr2bl w:val="nil"/>
                  </w:tcBorders>
                  <w:vAlign w:val="center"/>
                </w:tcPr>
                <w:p>
                  <w:pPr>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生活污水</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lang w:val="en-US"/>
                    </w:rPr>
                  </w:pPr>
                  <w:r>
                    <w:rPr>
                      <w:rFonts w:hint="default" w:ascii="Times New Roman" w:hAnsi="Times New Roman" w:cs="Times New Roman"/>
                      <w:color w:val="auto"/>
                      <w:kern w:val="0"/>
                      <w:sz w:val="21"/>
                      <w:szCs w:val="21"/>
                      <w:highlight w:val="none"/>
                    </w:rPr>
                    <w:t>化粪池</w:t>
                  </w:r>
                  <w:r>
                    <w:rPr>
                      <w:rFonts w:hint="eastAsia" w:cs="Times New Roman"/>
                      <w:color w:val="auto"/>
                      <w:kern w:val="0"/>
                      <w:sz w:val="21"/>
                      <w:szCs w:val="21"/>
                      <w:highlight w:val="none"/>
                      <w:lang w:val="en-US" w:eastAsia="zh-CN"/>
                    </w:rPr>
                    <w:t>1座</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化粪池</w:t>
                  </w:r>
                  <w:r>
                    <w:rPr>
                      <w:rFonts w:hint="eastAsia" w:cs="Times New Roman"/>
                      <w:color w:val="auto"/>
                      <w:kern w:val="0"/>
                      <w:sz w:val="21"/>
                      <w:szCs w:val="21"/>
                      <w:highlight w:val="none"/>
                      <w:lang w:val="en-US" w:eastAsia="zh-CN"/>
                    </w:rPr>
                    <w:t>1座</w:t>
                  </w:r>
                </w:p>
              </w:tc>
              <w:tc>
                <w:tcPr>
                  <w:tcW w:w="1422" w:type="dxa"/>
                  <w:tcBorders>
                    <w:tl2br w:val="nil"/>
                    <w:tr2bl w:val="nil"/>
                  </w:tcBorders>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rPr>
                    <w:t>接管进</w:t>
                  </w:r>
                  <w:r>
                    <w:rPr>
                      <w:rFonts w:hint="eastAsia" w:cs="Times New Roman"/>
                      <w:color w:val="auto"/>
                      <w:kern w:val="0"/>
                      <w:sz w:val="21"/>
                      <w:szCs w:val="21"/>
                      <w:highlight w:val="none"/>
                      <w:lang w:eastAsia="zh-CN"/>
                    </w:rPr>
                    <w:t>如皋恒发水处理有限公司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85"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368" w:type="dxa"/>
                  <w:vMerge w:val="restart"/>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废气</w:t>
                  </w:r>
                </w:p>
              </w:tc>
              <w:tc>
                <w:tcPr>
                  <w:tcW w:w="1157" w:type="dxa"/>
                  <w:tcBorders>
                    <w:tl2br w:val="nil"/>
                    <w:tr2bl w:val="nil"/>
                  </w:tcBorders>
                  <w:vAlign w:val="center"/>
                </w:tcPr>
                <w:p>
                  <w:pPr>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布袋除尘器</w:t>
                  </w:r>
                </w:p>
              </w:tc>
              <w:tc>
                <w:tcPr>
                  <w:tcW w:w="1279"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1套布袋除尘器+ 1#排气筒</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bidi="ar-SA"/>
                    </w:rPr>
                    <w:t>1套布袋除尘器+ DA001排气筒</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不变</w:t>
                  </w:r>
                </w:p>
              </w:tc>
              <w:tc>
                <w:tcPr>
                  <w:tcW w:w="1422"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达标排放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368"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157" w:type="dxa"/>
                  <w:vMerge w:val="restart"/>
                  <w:tcBorders>
                    <w:tl2br w:val="nil"/>
                    <w:tr2bl w:val="nil"/>
                  </w:tcBorders>
                  <w:vAlign w:val="center"/>
                </w:tcPr>
                <w:p>
                  <w:pPr>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活性炭吸附</w:t>
                  </w:r>
                </w:p>
              </w:tc>
              <w:tc>
                <w:tcPr>
                  <w:tcW w:w="1279"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1套活性炭吸附装置+ 1#排气筒</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bidi="ar-SA"/>
                    </w:rPr>
                    <w:t>1套二级活性炭吸附装置+DA001排气筒</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不变</w:t>
                  </w:r>
                </w:p>
              </w:tc>
              <w:tc>
                <w:tcPr>
                  <w:tcW w:w="1422" w:type="dxa"/>
                  <w:vMerge w:val="restart"/>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达标排放</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3" w:hRule="atLeast"/>
              </w:trPr>
              <w:tc>
                <w:tcPr>
                  <w:tcW w:w="827" w:type="dxa"/>
                  <w:vMerge w:val="continue"/>
                  <w:tcBorders>
                    <w:tl2br w:val="nil"/>
                    <w:tr2bl w:val="nil"/>
                  </w:tcBorders>
                  <w:vAlign w:val="center"/>
                </w:tcPr>
                <w:p>
                  <w:pPr>
                    <w:adjustRightInd w:val="0"/>
                    <w:snapToGrid w:val="0"/>
                    <w:jc w:val="center"/>
                    <w:rPr>
                      <w:color w:val="auto"/>
                    </w:rPr>
                  </w:pPr>
                </w:p>
              </w:tc>
              <w:tc>
                <w:tcPr>
                  <w:tcW w:w="368" w:type="dxa"/>
                  <w:vMerge w:val="continue"/>
                  <w:tcBorders>
                    <w:tl2br w:val="nil"/>
                    <w:tr2bl w:val="nil"/>
                  </w:tcBorders>
                  <w:vAlign w:val="center"/>
                </w:tcPr>
                <w:p>
                  <w:pPr>
                    <w:adjustRightInd w:val="0"/>
                    <w:snapToGrid w:val="0"/>
                    <w:jc w:val="center"/>
                    <w:rPr>
                      <w:color w:val="auto"/>
                    </w:rPr>
                  </w:pPr>
                </w:p>
              </w:tc>
              <w:tc>
                <w:tcPr>
                  <w:tcW w:w="1157" w:type="dxa"/>
                  <w:vMerge w:val="continue"/>
                  <w:tcBorders>
                    <w:tl2br w:val="nil"/>
                    <w:tr2bl w:val="nil"/>
                  </w:tcBorders>
                  <w:vAlign w:val="center"/>
                </w:tcPr>
                <w:p>
                  <w:pPr>
                    <w:adjustRightInd w:val="0"/>
                    <w:snapToGrid w:val="0"/>
                    <w:jc w:val="center"/>
                    <w:rPr>
                      <w:color w:val="auto"/>
                    </w:rPr>
                  </w:pPr>
                </w:p>
              </w:tc>
              <w:tc>
                <w:tcPr>
                  <w:tcW w:w="1279" w:type="dxa"/>
                  <w:vMerge w:val="continue"/>
                  <w:tcBorders>
                    <w:tl2br w:val="nil"/>
                    <w:tr2bl w:val="nil"/>
                  </w:tcBorders>
                  <w:vAlign w:val="center"/>
                </w:tcPr>
                <w:p>
                  <w:pPr>
                    <w:adjustRightInd w:val="0"/>
                    <w:snapToGrid w:val="0"/>
                    <w:jc w:val="center"/>
                    <w:rPr>
                      <w:color w:val="auto"/>
                    </w:rPr>
                  </w:pP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1套二级活性炭吸附装置+DA002排气筒</w:t>
                  </w:r>
                </w:p>
              </w:tc>
              <w:tc>
                <w:tcPr>
                  <w:tcW w:w="1422" w:type="dxa"/>
                  <w:tcBorders>
                    <w:tl2br w:val="nil"/>
                    <w:tr2bl w:val="nil"/>
                  </w:tcBorders>
                  <w:vAlign w:val="center"/>
                </w:tcPr>
                <w:p>
                  <w:pPr>
                    <w:adjustRightInd w:val="0"/>
                    <w:snapToGrid w:val="0"/>
                    <w:jc w:val="center"/>
                    <w:rPr>
                      <w:rFonts w:hint="default"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+一套活性炭处理设施+DA002排气筒</w:t>
                  </w:r>
                </w:p>
              </w:tc>
              <w:tc>
                <w:tcPr>
                  <w:tcW w:w="1422" w:type="dxa"/>
                  <w:vMerge w:val="continue"/>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bidi="ar-SA"/>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85"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1525" w:type="dxa"/>
                  <w:gridSpan w:val="2"/>
                  <w:tcBorders>
                    <w:tl2br w:val="nil"/>
                    <w:tr2bl w:val="nil"/>
                  </w:tcBorders>
                  <w:vAlign w:val="center"/>
                </w:tcPr>
                <w:p>
                  <w:pPr>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噪声</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隔声、减振</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隔声、减振</w:t>
                  </w:r>
                </w:p>
              </w:tc>
              <w:tc>
                <w:tcPr>
                  <w:tcW w:w="1422" w:type="dxa"/>
                  <w:tcBorders>
                    <w:tl2br w:val="nil"/>
                    <w:tr2bl w:val="nil"/>
                  </w:tcBorders>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厂界达标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28"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368" w:type="dxa"/>
                  <w:vMerge w:val="restart"/>
                  <w:tcBorders>
                    <w:tl2br w:val="nil"/>
                    <w:tr2bl w:val="nil"/>
                  </w:tcBorders>
                  <w:vAlign w:val="center"/>
                </w:tcPr>
                <w:p>
                  <w:pPr>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固废</w:t>
                  </w:r>
                </w:p>
              </w:tc>
              <w:tc>
                <w:tcPr>
                  <w:tcW w:w="1157" w:type="dxa"/>
                  <w:tcBorders>
                    <w:tl2br w:val="nil"/>
                    <w:tr2bl w:val="nil"/>
                  </w:tcBorders>
                  <w:vAlign w:val="center"/>
                </w:tcPr>
                <w:p>
                  <w:pPr>
                    <w:adjustRightInd w:val="0"/>
                    <w:snapToGrid w:val="0"/>
                    <w:jc w:val="center"/>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cs="Times New Roman"/>
                      <w:b w:val="0"/>
                      <w:color w:val="auto"/>
                      <w:kern w:val="0"/>
                      <w:sz w:val="21"/>
                      <w:szCs w:val="21"/>
                      <w:highlight w:val="none"/>
                    </w:rPr>
                    <w:t>一般固废</w:t>
                  </w:r>
                  <w:r>
                    <w:rPr>
                      <w:rFonts w:hint="eastAsia" w:cs="Times New Roman"/>
                      <w:b w:val="0"/>
                      <w:color w:val="auto"/>
                      <w:kern w:val="0"/>
                      <w:sz w:val="21"/>
                      <w:szCs w:val="21"/>
                      <w:highlight w:val="none"/>
                      <w:lang w:val="en-US" w:eastAsia="zh-CN"/>
                    </w:rPr>
                    <w:t>库</w:t>
                  </w:r>
                </w:p>
              </w:tc>
              <w:tc>
                <w:tcPr>
                  <w:tcW w:w="1279"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100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shd w:val="clear" w:color="auto" w:fill="auto"/>
                  <w:vAlign w:val="center"/>
                </w:tcPr>
                <w:p>
                  <w:pPr>
                    <w:adjustRightInd w:val="0"/>
                    <w:snapToGrid w:val="0"/>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rPr>
                    <w:t>100</w:t>
                  </w:r>
                  <w:r>
                    <w:rPr>
                      <w:rFonts w:hint="eastAsia" w:ascii="Times New Roman" w:hAnsi="Times New Roman" w:eastAsia="宋体" w:cs="Times New Roman"/>
                      <w:color w:val="auto"/>
                      <w:kern w:val="0"/>
                      <w:sz w:val="21"/>
                      <w:szCs w:val="21"/>
                      <w:highlight w:val="none"/>
                      <w:lang w:val="en-US" w:eastAsia="zh-CN"/>
                    </w:rPr>
                    <w:t>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依托现有项目一般固废仓库，</w:t>
                  </w:r>
                  <w:r>
                    <w:rPr>
                      <w:rFonts w:hint="default" w:ascii="Times New Roman" w:hAnsi="Times New Roman" w:cs="Times New Roman"/>
                      <w:color w:val="auto"/>
                      <w:kern w:val="0"/>
                      <w:sz w:val="21"/>
                      <w:szCs w:val="21"/>
                      <w:highlight w:val="none"/>
                    </w:rPr>
                    <w:t>分类收集、安全暂存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827" w:type="dxa"/>
                  <w:vMerge w:val="continue"/>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p>
              </w:tc>
              <w:tc>
                <w:tcPr>
                  <w:tcW w:w="368" w:type="dxa"/>
                  <w:vMerge w:val="continue"/>
                  <w:tcBorders>
                    <w:tl2br w:val="nil"/>
                    <w:tr2bl w:val="nil"/>
                  </w:tcBorders>
                  <w:vAlign w:val="center"/>
                </w:tcPr>
                <w:p>
                  <w:pPr>
                    <w:snapToGrid w:val="0"/>
                    <w:jc w:val="center"/>
                    <w:rPr>
                      <w:rFonts w:hint="default" w:ascii="Times New Roman" w:hAnsi="Times New Roman" w:cs="Times New Roman"/>
                      <w:color w:val="auto"/>
                      <w:kern w:val="0"/>
                      <w:sz w:val="21"/>
                      <w:szCs w:val="21"/>
                      <w:highlight w:val="none"/>
                    </w:rPr>
                  </w:pPr>
                </w:p>
              </w:tc>
              <w:tc>
                <w:tcPr>
                  <w:tcW w:w="1157" w:type="dxa"/>
                  <w:tcBorders>
                    <w:tl2br w:val="nil"/>
                    <w:tr2bl w:val="nil"/>
                  </w:tcBorders>
                  <w:vAlign w:val="center"/>
                </w:tcPr>
                <w:p>
                  <w:pPr>
                    <w:pStyle w:val="5"/>
                    <w:spacing w:before="0" w:after="0" w:line="240" w:lineRule="auto"/>
                    <w:jc w:val="center"/>
                    <w:outlineLvl w:val="2"/>
                    <w:rPr>
                      <w:rFonts w:hint="eastAsia" w:ascii="Times New Roman" w:hAnsi="Times New Roman" w:eastAsia="宋体" w:cs="Times New Roman"/>
                      <w:b w:val="0"/>
                      <w:bCs w:val="0"/>
                      <w:color w:val="auto"/>
                      <w:kern w:val="0"/>
                      <w:sz w:val="21"/>
                      <w:szCs w:val="21"/>
                      <w:highlight w:val="none"/>
                      <w:lang w:val="en-US" w:eastAsia="zh-CN"/>
                    </w:rPr>
                  </w:pPr>
                  <w:r>
                    <w:rPr>
                      <w:rFonts w:hint="default" w:ascii="Times New Roman" w:hAnsi="Times New Roman" w:cs="Times New Roman"/>
                      <w:b w:val="0"/>
                      <w:bCs w:val="0"/>
                      <w:color w:val="auto"/>
                      <w:kern w:val="0"/>
                      <w:sz w:val="21"/>
                      <w:szCs w:val="21"/>
                      <w:highlight w:val="none"/>
                    </w:rPr>
                    <w:t>危废</w:t>
                  </w:r>
                  <w:r>
                    <w:rPr>
                      <w:rFonts w:hint="eastAsia" w:cs="Times New Roman"/>
                      <w:b w:val="0"/>
                      <w:bCs w:val="0"/>
                      <w:color w:val="auto"/>
                      <w:kern w:val="0"/>
                      <w:sz w:val="21"/>
                      <w:szCs w:val="21"/>
                      <w:highlight w:val="none"/>
                      <w:lang w:val="en-US" w:eastAsia="zh-CN"/>
                    </w:rPr>
                    <w:t>库</w:t>
                  </w:r>
                </w:p>
              </w:tc>
              <w:tc>
                <w:tcPr>
                  <w:tcW w:w="1279" w:type="dxa"/>
                  <w:tcBorders>
                    <w:tl2br w:val="nil"/>
                    <w:tr2bl w:val="nil"/>
                  </w:tcBorders>
                  <w:vAlign w:val="center"/>
                </w:tcPr>
                <w:p>
                  <w:pPr>
                    <w:pStyle w:val="5"/>
                    <w:spacing w:before="0" w:after="0" w:line="240" w:lineRule="auto"/>
                    <w:jc w:val="center"/>
                    <w:outlineLvl w:val="2"/>
                    <w:rPr>
                      <w:rFonts w:hint="default" w:ascii="Times New Roman" w:hAnsi="Times New Roman" w:cs="Times New Roman"/>
                      <w:b w:val="0"/>
                      <w:bCs/>
                      <w:color w:val="auto"/>
                      <w:kern w:val="0"/>
                      <w:sz w:val="21"/>
                      <w:szCs w:val="21"/>
                      <w:highlight w:val="none"/>
                    </w:rPr>
                  </w:pPr>
                  <w:r>
                    <w:rPr>
                      <w:rFonts w:hint="eastAsia" w:cs="Times New Roman"/>
                      <w:b w:val="0"/>
                      <w:bCs/>
                      <w:color w:val="auto"/>
                      <w:kern w:val="0"/>
                      <w:sz w:val="21"/>
                      <w:szCs w:val="21"/>
                      <w:highlight w:val="none"/>
                      <w:lang w:val="en-US" w:eastAsia="zh-CN"/>
                    </w:rPr>
                    <w:t>20</w:t>
                  </w:r>
                  <w:r>
                    <w:rPr>
                      <w:rFonts w:hint="eastAsia" w:ascii="Times New Roman" w:hAnsi="Times New Roman" w:eastAsia="宋体" w:cs="Times New Roman"/>
                      <w:b w:val="0"/>
                      <w:bCs/>
                      <w:color w:val="auto"/>
                      <w:kern w:val="0"/>
                      <w:sz w:val="21"/>
                      <w:szCs w:val="21"/>
                      <w:highlight w:val="none"/>
                      <w:lang w:val="en-US" w:eastAsia="zh-CN"/>
                    </w:rPr>
                    <w:t>m</w:t>
                  </w:r>
                  <w:r>
                    <w:rPr>
                      <w:rFonts w:hint="eastAsia" w:ascii="Times New Roman" w:hAnsi="Times New Roman" w:eastAsia="宋体" w:cs="Times New Roman"/>
                      <w:b w:val="0"/>
                      <w:bCs/>
                      <w:color w:val="auto"/>
                      <w:kern w:val="0"/>
                      <w:sz w:val="21"/>
                      <w:szCs w:val="21"/>
                      <w:highlight w:val="none"/>
                      <w:vertAlign w:val="superscript"/>
                      <w:lang w:val="en-US" w:eastAsia="zh-CN"/>
                    </w:rPr>
                    <w:t>2</w:t>
                  </w:r>
                </w:p>
              </w:tc>
              <w:tc>
                <w:tcPr>
                  <w:tcW w:w="1422" w:type="dxa"/>
                  <w:tcBorders>
                    <w:tl2br w:val="nil"/>
                    <w:tr2bl w:val="nil"/>
                  </w:tcBorders>
                  <w:shd w:val="clear" w:color="auto" w:fill="auto"/>
                  <w:vAlign w:val="center"/>
                </w:tcPr>
                <w:p>
                  <w:pPr>
                    <w:pStyle w:val="5"/>
                    <w:spacing w:before="0" w:after="0" w:line="240" w:lineRule="auto"/>
                    <w:jc w:val="center"/>
                    <w:outlineLvl w:val="2"/>
                    <w:rPr>
                      <w:rFonts w:hint="default" w:ascii="Times New Roman" w:hAnsi="Times New Roman" w:eastAsia="宋体" w:cs="Times New Roman"/>
                      <w:b w:val="0"/>
                      <w:bCs/>
                      <w:color w:val="auto"/>
                      <w:kern w:val="0"/>
                      <w:sz w:val="21"/>
                      <w:szCs w:val="21"/>
                      <w:highlight w:val="none"/>
                      <w:lang w:val="en-US" w:eastAsia="zh-CN" w:bidi="ar-SA"/>
                    </w:rPr>
                  </w:pPr>
                  <w:r>
                    <w:rPr>
                      <w:rFonts w:hint="eastAsia" w:cs="Times New Roman"/>
                      <w:b w:val="0"/>
                      <w:bCs/>
                      <w:color w:val="auto"/>
                      <w:kern w:val="0"/>
                      <w:sz w:val="21"/>
                      <w:szCs w:val="21"/>
                      <w:highlight w:val="none"/>
                      <w:lang w:val="en-US" w:eastAsia="zh-CN"/>
                    </w:rPr>
                    <w:t>20</w:t>
                  </w:r>
                  <w:r>
                    <w:rPr>
                      <w:rFonts w:hint="eastAsia" w:ascii="Times New Roman" w:hAnsi="Times New Roman" w:eastAsia="宋体" w:cs="Times New Roman"/>
                      <w:b w:val="0"/>
                      <w:bCs/>
                      <w:color w:val="auto"/>
                      <w:kern w:val="0"/>
                      <w:sz w:val="21"/>
                      <w:szCs w:val="21"/>
                      <w:highlight w:val="none"/>
                      <w:lang w:val="en-US" w:eastAsia="zh-CN"/>
                    </w:rPr>
                    <w:t>m</w:t>
                  </w:r>
                  <w:r>
                    <w:rPr>
                      <w:rFonts w:hint="eastAsia" w:ascii="Times New Roman" w:hAnsi="Times New Roman" w:eastAsia="宋体" w:cs="Times New Roman"/>
                      <w:b w:val="0"/>
                      <w:bCs/>
                      <w:color w:val="auto"/>
                      <w:kern w:val="0"/>
                      <w:sz w:val="21"/>
                      <w:szCs w:val="21"/>
                      <w:highlight w:val="none"/>
                      <w:vertAlign w:val="superscript"/>
                      <w:lang w:val="en-US" w:eastAsia="zh-CN"/>
                    </w:rPr>
                    <w:t>2</w:t>
                  </w:r>
                </w:p>
              </w:tc>
              <w:tc>
                <w:tcPr>
                  <w:tcW w:w="1422" w:type="dxa"/>
                  <w:tcBorders>
                    <w:tl2br w:val="nil"/>
                    <w:tr2bl w:val="nil"/>
                  </w:tcBorders>
                  <w:vAlign w:val="center"/>
                </w:tcPr>
                <w:p>
                  <w:pPr>
                    <w:pStyle w:val="5"/>
                    <w:spacing w:before="0" w:after="0" w:line="240" w:lineRule="auto"/>
                    <w:jc w:val="center"/>
                    <w:outlineLvl w:val="2"/>
                    <w:rPr>
                      <w:rFonts w:hint="eastAsia" w:cs="Times New Roman"/>
                      <w:b w:val="0"/>
                      <w:bCs/>
                      <w:color w:val="auto"/>
                      <w:kern w:val="0"/>
                      <w:sz w:val="21"/>
                      <w:szCs w:val="21"/>
                      <w:highlight w:val="none"/>
                      <w:lang w:val="en-US" w:eastAsia="zh-CN"/>
                    </w:rPr>
                  </w:pPr>
                  <w:r>
                    <w:rPr>
                      <w:rFonts w:hint="eastAsia" w:cs="Times New Roman"/>
                      <w:b w:val="0"/>
                      <w:bCs/>
                      <w:color w:val="auto"/>
                      <w:kern w:val="0"/>
                      <w:sz w:val="21"/>
                      <w:szCs w:val="21"/>
                      <w:highlight w:val="none"/>
                      <w:lang w:val="en-US" w:eastAsia="zh-CN"/>
                    </w:rPr>
                    <w:t>不变</w:t>
                  </w:r>
                </w:p>
              </w:tc>
              <w:tc>
                <w:tcPr>
                  <w:tcW w:w="1422" w:type="dxa"/>
                  <w:tcBorders>
                    <w:tl2br w:val="nil"/>
                    <w:tr2bl w:val="nil"/>
                  </w:tcBorders>
                  <w:vAlign w:val="center"/>
                </w:tcPr>
                <w:p>
                  <w:pPr>
                    <w:adjustRightInd w:val="0"/>
                    <w:snapToGrid w:val="0"/>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依托现有项目危废仓库，</w:t>
                  </w:r>
                  <w:r>
                    <w:rPr>
                      <w:rFonts w:hint="default" w:ascii="Times New Roman" w:hAnsi="Times New Roman" w:cs="Times New Roman"/>
                      <w:color w:val="auto"/>
                      <w:kern w:val="0"/>
                      <w:sz w:val="21"/>
                      <w:szCs w:val="21"/>
                      <w:highlight w:val="none"/>
                    </w:rPr>
                    <w:t>分类收集、安全暂存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827" w:type="dxa"/>
                  <w:tcBorders>
                    <w:tl2br w:val="nil"/>
                    <w:tr2bl w:val="nil"/>
                  </w:tcBorders>
                  <w:vAlign w:val="center"/>
                </w:tcPr>
                <w:p>
                  <w:pPr>
                    <w:adjustRightInd w:val="0"/>
                    <w:snapToGrid w:val="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环境风险</w:t>
                  </w:r>
                </w:p>
              </w:tc>
              <w:tc>
                <w:tcPr>
                  <w:tcW w:w="1525" w:type="dxa"/>
                  <w:gridSpan w:val="2"/>
                  <w:tcBorders>
                    <w:tl2br w:val="nil"/>
                    <w:tr2bl w:val="nil"/>
                  </w:tcBorders>
                  <w:vAlign w:val="center"/>
                </w:tcPr>
                <w:p>
                  <w:pPr>
                    <w:pStyle w:val="5"/>
                    <w:spacing w:before="0" w:after="0" w:line="240" w:lineRule="auto"/>
                    <w:jc w:val="center"/>
                    <w:outlineLvl w:val="2"/>
                    <w:rPr>
                      <w:rFonts w:hint="default" w:ascii="Times New Roman" w:hAnsi="Times New Roman" w:eastAsia="宋体" w:cs="Times New Roman"/>
                      <w:b w:val="0"/>
                      <w:bCs w:val="0"/>
                      <w:color w:val="auto"/>
                      <w:kern w:val="0"/>
                      <w:sz w:val="21"/>
                      <w:szCs w:val="21"/>
                      <w:highlight w:val="none"/>
                      <w:lang w:val="en-US" w:eastAsia="zh-CN"/>
                    </w:rPr>
                  </w:pPr>
                  <w:r>
                    <w:rPr>
                      <w:rFonts w:hint="eastAsia" w:cs="Times New Roman"/>
                      <w:b w:val="0"/>
                      <w:bCs w:val="0"/>
                      <w:color w:val="auto"/>
                      <w:kern w:val="0"/>
                      <w:sz w:val="21"/>
                      <w:szCs w:val="21"/>
                      <w:highlight w:val="none"/>
                      <w:lang w:val="en-US" w:eastAsia="zh-CN"/>
                    </w:rPr>
                    <w:t>事故应急池</w:t>
                  </w:r>
                </w:p>
              </w:tc>
              <w:tc>
                <w:tcPr>
                  <w:tcW w:w="1279" w:type="dxa"/>
                  <w:tcBorders>
                    <w:tl2br w:val="nil"/>
                    <w:tr2bl w:val="nil"/>
                  </w:tcBorders>
                  <w:vAlign w:val="center"/>
                </w:tcPr>
                <w:p>
                  <w:pPr>
                    <w:pStyle w:val="5"/>
                    <w:spacing w:before="0" w:after="0" w:line="240" w:lineRule="auto"/>
                    <w:jc w:val="center"/>
                    <w:outlineLvl w:val="2"/>
                    <w:rPr>
                      <w:rFonts w:hint="default" w:cs="Times New Roman"/>
                      <w:b w:val="0"/>
                      <w:color w:val="auto"/>
                      <w:kern w:val="0"/>
                      <w:sz w:val="21"/>
                      <w:szCs w:val="21"/>
                      <w:highlight w:val="none"/>
                      <w:lang w:val="en-US" w:eastAsia="zh-CN"/>
                    </w:rPr>
                  </w:pPr>
                  <w:r>
                    <w:rPr>
                      <w:rFonts w:hint="eastAsia" w:cs="Times New Roman"/>
                      <w:b w:val="0"/>
                      <w:color w:val="auto"/>
                      <w:kern w:val="0"/>
                      <w:sz w:val="21"/>
                      <w:szCs w:val="21"/>
                      <w:highlight w:val="none"/>
                      <w:lang w:val="en-US" w:eastAsia="zh-CN"/>
                    </w:rPr>
                    <w:t>0</w:t>
                  </w:r>
                </w:p>
              </w:tc>
              <w:tc>
                <w:tcPr>
                  <w:tcW w:w="1422" w:type="dxa"/>
                  <w:tcBorders>
                    <w:tl2br w:val="nil"/>
                    <w:tr2bl w:val="nil"/>
                  </w:tcBorders>
                  <w:shd w:val="clear" w:color="auto" w:fill="auto"/>
                  <w:vAlign w:val="center"/>
                </w:tcPr>
                <w:p>
                  <w:pPr>
                    <w:pStyle w:val="5"/>
                    <w:spacing w:before="0" w:after="0" w:line="240" w:lineRule="auto"/>
                    <w:jc w:val="center"/>
                    <w:outlineLvl w:val="2"/>
                    <w:rPr>
                      <w:rFonts w:hint="default" w:cs="Times New Roman"/>
                      <w:b w:val="0"/>
                      <w:color w:val="auto"/>
                      <w:kern w:val="0"/>
                      <w:sz w:val="21"/>
                      <w:szCs w:val="21"/>
                      <w:highlight w:val="none"/>
                      <w:lang w:val="en-US" w:eastAsia="zh-CN"/>
                    </w:rPr>
                  </w:pPr>
                  <w:r>
                    <w:rPr>
                      <w:rFonts w:hint="eastAsia" w:cs="Times New Roman"/>
                      <w:b w:val="0"/>
                      <w:color w:val="auto"/>
                      <w:kern w:val="0"/>
                      <w:sz w:val="21"/>
                      <w:szCs w:val="21"/>
                      <w:highlight w:val="none"/>
                      <w:lang w:val="en-US" w:eastAsia="zh-CN"/>
                    </w:rPr>
                    <w:t>230</w:t>
                  </w:r>
                  <w:r>
                    <w:rPr>
                      <w:rFonts w:hint="eastAsia" w:ascii="Times New Roman" w:hAnsi="Times New Roman" w:eastAsia="宋体" w:cs="Times New Roman"/>
                      <w:b w:val="0"/>
                      <w:bCs/>
                      <w:color w:val="auto"/>
                      <w:kern w:val="0"/>
                      <w:sz w:val="21"/>
                      <w:szCs w:val="21"/>
                      <w:highlight w:val="none"/>
                      <w:lang w:val="en-US" w:eastAsia="zh-CN"/>
                    </w:rPr>
                    <w:t>m</w:t>
                  </w:r>
                  <w:r>
                    <w:rPr>
                      <w:rFonts w:hint="eastAsia" w:ascii="Times New Roman" w:hAnsi="Times New Roman" w:eastAsia="宋体" w:cs="Times New Roman"/>
                      <w:b w:val="0"/>
                      <w:bCs/>
                      <w:color w:val="auto"/>
                      <w:kern w:val="0"/>
                      <w:sz w:val="21"/>
                      <w:szCs w:val="21"/>
                      <w:highlight w:val="none"/>
                      <w:vertAlign w:val="superscript"/>
                      <w:lang w:val="en-US" w:eastAsia="zh-CN"/>
                    </w:rPr>
                    <w:t>3</w:t>
                  </w:r>
                </w:p>
              </w:tc>
              <w:tc>
                <w:tcPr>
                  <w:tcW w:w="1422" w:type="dxa"/>
                  <w:tcBorders>
                    <w:tl2br w:val="nil"/>
                    <w:tr2bl w:val="nil"/>
                  </w:tcBorders>
                  <w:vAlign w:val="center"/>
                </w:tcPr>
                <w:p>
                  <w:pPr>
                    <w:pStyle w:val="5"/>
                    <w:spacing w:before="0" w:after="0" w:line="240" w:lineRule="auto"/>
                    <w:jc w:val="center"/>
                    <w:outlineLvl w:val="2"/>
                    <w:rPr>
                      <w:rFonts w:hint="default" w:cs="Times New Roman"/>
                      <w:b w:val="0"/>
                      <w:color w:val="auto"/>
                      <w:kern w:val="0"/>
                      <w:sz w:val="21"/>
                      <w:szCs w:val="21"/>
                      <w:highlight w:val="none"/>
                      <w:lang w:val="en-US" w:eastAsia="zh-CN"/>
                    </w:rPr>
                  </w:pPr>
                  <w:r>
                    <w:rPr>
                      <w:rFonts w:hint="eastAsia" w:cs="Times New Roman"/>
                      <w:b w:val="0"/>
                      <w:color w:val="auto"/>
                      <w:kern w:val="0"/>
                      <w:sz w:val="21"/>
                      <w:szCs w:val="21"/>
                      <w:highlight w:val="none"/>
                      <w:lang w:val="en-US" w:eastAsia="zh-CN"/>
                    </w:rPr>
                    <w:t>+230</w:t>
                  </w:r>
                  <w:r>
                    <w:rPr>
                      <w:rFonts w:hint="eastAsia" w:ascii="Times New Roman" w:hAnsi="Times New Roman" w:eastAsia="宋体" w:cs="Times New Roman"/>
                      <w:b w:val="0"/>
                      <w:bCs/>
                      <w:color w:val="auto"/>
                      <w:kern w:val="0"/>
                      <w:sz w:val="21"/>
                      <w:szCs w:val="21"/>
                      <w:highlight w:val="none"/>
                      <w:lang w:val="en-US" w:eastAsia="zh-CN"/>
                    </w:rPr>
                    <w:t>m</w:t>
                  </w:r>
                  <w:r>
                    <w:rPr>
                      <w:rFonts w:hint="eastAsia" w:ascii="Times New Roman" w:hAnsi="Times New Roman" w:eastAsia="宋体" w:cs="Times New Roman"/>
                      <w:b w:val="0"/>
                      <w:bCs/>
                      <w:color w:val="auto"/>
                      <w:kern w:val="0"/>
                      <w:sz w:val="21"/>
                      <w:szCs w:val="21"/>
                      <w:highlight w:val="none"/>
                      <w:vertAlign w:val="superscript"/>
                      <w:lang w:val="en-US" w:eastAsia="zh-CN"/>
                    </w:rPr>
                    <w:t>3</w:t>
                  </w:r>
                </w:p>
              </w:tc>
              <w:tc>
                <w:tcPr>
                  <w:tcW w:w="1422" w:type="dxa"/>
                  <w:tcBorders>
                    <w:tl2br w:val="nil"/>
                    <w:tr2bl w:val="nil"/>
                  </w:tcBorders>
                  <w:vAlign w:val="center"/>
                </w:tcPr>
                <w:p>
                  <w:pPr>
                    <w:adjustRightInd w:val="0"/>
                    <w:snapToGrid w:val="0"/>
                    <w:jc w:val="center"/>
                    <w:rPr>
                      <w:rFonts w:hint="eastAsia" w:cs="Times New Roman"/>
                      <w:color w:val="auto"/>
                      <w:kern w:val="0"/>
                      <w:sz w:val="21"/>
                      <w:szCs w:val="21"/>
                      <w:highlight w:val="none"/>
                      <w:lang w:val="en-US" w:eastAsia="zh-CN"/>
                    </w:rPr>
                  </w:pPr>
                  <w:r>
                    <w:rPr>
                      <w:rFonts w:hint="eastAsia" w:cs="Times New Roman"/>
                      <w:b w:val="0"/>
                      <w:color w:val="auto"/>
                      <w:kern w:val="0"/>
                      <w:sz w:val="21"/>
                      <w:szCs w:val="21"/>
                      <w:highlight w:val="none"/>
                      <w:lang w:val="en-US" w:eastAsia="zh-CN"/>
                    </w:rPr>
                    <w:t>新增一座230</w:t>
                  </w:r>
                  <w:r>
                    <w:rPr>
                      <w:rFonts w:hint="eastAsia" w:ascii="Times New Roman" w:hAnsi="Times New Roman" w:eastAsia="宋体" w:cs="Times New Roman"/>
                      <w:b w:val="0"/>
                      <w:bCs/>
                      <w:color w:val="auto"/>
                      <w:kern w:val="0"/>
                      <w:sz w:val="21"/>
                      <w:szCs w:val="21"/>
                      <w:highlight w:val="none"/>
                      <w:lang w:val="en-US" w:eastAsia="zh-CN"/>
                    </w:rPr>
                    <w:t>m</w:t>
                  </w:r>
                  <w:r>
                    <w:rPr>
                      <w:rFonts w:hint="eastAsia" w:ascii="Times New Roman" w:hAnsi="Times New Roman" w:eastAsia="宋体" w:cs="Times New Roman"/>
                      <w:b w:val="0"/>
                      <w:bCs/>
                      <w:color w:val="auto"/>
                      <w:kern w:val="0"/>
                      <w:sz w:val="21"/>
                      <w:szCs w:val="21"/>
                      <w:highlight w:val="none"/>
                      <w:vertAlign w:val="superscript"/>
                      <w:lang w:val="en-US" w:eastAsia="zh-CN"/>
                    </w:rPr>
                    <w:t>3</w:t>
                  </w:r>
                  <w:r>
                    <w:rPr>
                      <w:rFonts w:hint="eastAsia" w:cs="Times New Roman"/>
                      <w:b w:val="0"/>
                      <w:color w:val="auto"/>
                      <w:kern w:val="0"/>
                      <w:sz w:val="21"/>
                      <w:szCs w:val="21"/>
                      <w:highlight w:val="none"/>
                      <w:lang w:val="en-US" w:eastAsia="zh-CN"/>
                    </w:rPr>
                    <w:t>事故应急池</w:t>
                  </w:r>
                </w:p>
              </w:tc>
            </w:tr>
          </w:tbl>
          <w:p>
            <w:pPr>
              <w:adjustRightInd w:val="0"/>
              <w:snapToGrid w:val="0"/>
              <w:spacing w:line="360" w:lineRule="auto"/>
              <w:ind w:firstLine="420" w:firstLineChars="200"/>
              <w:rPr>
                <w:rFonts w:hint="eastAsia"/>
                <w:color w:val="auto"/>
                <w:lang w:val="en-US" w:eastAsia="zh-CN"/>
              </w:rPr>
            </w:pPr>
          </w:p>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本项目依托可行性：</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①一般固废库依托可行性：</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本项目依托现有项目一般固废库约100m</w:t>
            </w:r>
            <w:r>
              <w:rPr>
                <w:rFonts w:hint="eastAsia" w:cs="Times New Roman"/>
                <w:color w:val="auto"/>
                <w:kern w:val="0"/>
                <w:sz w:val="24"/>
                <w:szCs w:val="24"/>
                <w:highlight w:val="none"/>
                <w:vertAlign w:val="superscript"/>
                <w:lang w:val="en-US" w:eastAsia="zh-CN"/>
              </w:rPr>
              <w:t>2</w:t>
            </w:r>
            <w:r>
              <w:rPr>
                <w:rFonts w:hint="eastAsia" w:cs="Times New Roman"/>
                <w:color w:val="auto"/>
                <w:kern w:val="0"/>
                <w:sz w:val="24"/>
                <w:szCs w:val="24"/>
                <w:highlight w:val="none"/>
                <w:lang w:val="en-US" w:eastAsia="zh-CN"/>
              </w:rPr>
              <w:t>，</w:t>
            </w:r>
            <w:r>
              <w:rPr>
                <w:rFonts w:hint="default" w:ascii="Times New Roman" w:hAnsi="Times New Roman" w:cs="Times New Roman"/>
                <w:color w:val="auto"/>
                <w:kern w:val="0"/>
                <w:sz w:val="21"/>
                <w:szCs w:val="21"/>
                <w:highlight w:val="none"/>
                <w:lang w:val="en-US" w:eastAsia="zh-CN"/>
              </w:rPr>
              <w:t>现有项目一般固废最大占地面积约为68m</w:t>
            </w:r>
            <w:r>
              <w:rPr>
                <w:rFonts w:hint="default" w:ascii="Times New Roman" w:hAnsi="Times New Roman" w:cs="Times New Roman"/>
                <w:color w:val="auto"/>
                <w:kern w:val="0"/>
                <w:sz w:val="21"/>
                <w:szCs w:val="21"/>
                <w:highlight w:val="none"/>
                <w:vertAlign w:val="superscript"/>
                <w:lang w:val="en-US" w:eastAsia="zh-CN"/>
              </w:rPr>
              <w:t>2</w:t>
            </w:r>
            <w:r>
              <w:rPr>
                <w:rFonts w:hint="default" w:ascii="Times New Roman" w:hAnsi="Times New Roman" w:cs="Times New Roman"/>
                <w:color w:val="auto"/>
                <w:kern w:val="0"/>
                <w:sz w:val="21"/>
                <w:szCs w:val="21"/>
                <w:highlight w:val="none"/>
                <w:lang w:val="en-US" w:eastAsia="zh-CN"/>
              </w:rPr>
              <w:t>，本项目一般固废均为日产日清，预计需占用面积2m</w:t>
            </w:r>
            <w:r>
              <w:rPr>
                <w:rFonts w:hint="default" w:ascii="Times New Roman" w:hAnsi="Times New Roman" w:cs="Times New Roman"/>
                <w:color w:val="auto"/>
                <w:kern w:val="0"/>
                <w:sz w:val="21"/>
                <w:szCs w:val="21"/>
                <w:highlight w:val="none"/>
                <w:vertAlign w:val="superscript"/>
                <w:lang w:val="en-US" w:eastAsia="zh-CN"/>
              </w:rPr>
              <w:t>2</w:t>
            </w:r>
            <w:r>
              <w:rPr>
                <w:rFonts w:hint="default" w:ascii="Times New Roman" w:hAnsi="Times New Roman" w:cs="Times New Roman"/>
                <w:color w:val="auto"/>
                <w:kern w:val="0"/>
                <w:sz w:val="21"/>
                <w:szCs w:val="21"/>
                <w:highlight w:val="none"/>
                <w:lang w:val="en-US" w:eastAsia="zh-CN"/>
              </w:rPr>
              <w:t>，依托可行</w:t>
            </w:r>
            <w:r>
              <w:rPr>
                <w:rFonts w:hint="eastAsia" w:cs="Times New Roman"/>
                <w:color w:val="auto"/>
                <w:kern w:val="0"/>
                <w:sz w:val="21"/>
                <w:szCs w:val="21"/>
                <w:highlight w:val="none"/>
                <w:lang w:val="en-US" w:eastAsia="zh-CN"/>
              </w:rPr>
              <w:t>。</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②危废仓库依托可行性：</w:t>
            </w:r>
          </w:p>
          <w:p>
            <w:pPr>
              <w:adjustRightInd w:val="0"/>
              <w:snapToGrid w:val="0"/>
              <w:spacing w:line="360" w:lineRule="auto"/>
              <w:ind w:firstLine="480" w:firstLineChars="200"/>
              <w:rPr>
                <w:rFonts w:hint="default" w:ascii="Times New Roman" w:hAnsi="Times New Roman" w:cs="Times New Roman"/>
                <w:b/>
                <w:bCs/>
                <w:color w:val="auto"/>
                <w:kern w:val="0"/>
                <w:sz w:val="24"/>
                <w:szCs w:val="24"/>
                <w:highlight w:val="none"/>
                <w:lang w:val="en-US" w:eastAsia="zh-CN"/>
              </w:rPr>
            </w:pPr>
            <w:r>
              <w:rPr>
                <w:rFonts w:hint="eastAsia" w:cs="Times New Roman"/>
                <w:color w:val="auto"/>
                <w:kern w:val="0"/>
                <w:sz w:val="24"/>
                <w:szCs w:val="24"/>
                <w:highlight w:val="none"/>
                <w:lang w:val="en-US" w:eastAsia="zh-CN"/>
              </w:rPr>
              <w:t>本项目依托现有项目危废库约20m</w:t>
            </w:r>
            <w:r>
              <w:rPr>
                <w:rFonts w:hint="eastAsia" w:cs="Times New Roman"/>
                <w:color w:val="auto"/>
                <w:kern w:val="0"/>
                <w:sz w:val="24"/>
                <w:szCs w:val="24"/>
                <w:highlight w:val="none"/>
                <w:vertAlign w:val="superscript"/>
                <w:lang w:val="en-US" w:eastAsia="zh-CN"/>
              </w:rPr>
              <w:t>2</w:t>
            </w:r>
            <w:r>
              <w:rPr>
                <w:rFonts w:hint="eastAsia" w:cs="Times New Roman"/>
                <w:color w:val="auto"/>
                <w:kern w:val="0"/>
                <w:sz w:val="24"/>
                <w:szCs w:val="24"/>
                <w:highlight w:val="none"/>
                <w:lang w:val="en-US" w:eastAsia="zh-CN"/>
              </w:rPr>
              <w:t>，</w:t>
            </w:r>
            <w:r>
              <w:rPr>
                <w:rFonts w:hint="default" w:ascii="Times New Roman" w:hAnsi="Times New Roman" w:cs="Times New Roman"/>
                <w:color w:val="auto"/>
                <w:kern w:val="0"/>
                <w:sz w:val="21"/>
                <w:szCs w:val="21"/>
                <w:highlight w:val="none"/>
                <w:lang w:val="en-US" w:eastAsia="zh-CN"/>
              </w:rPr>
              <w:t>现有项</w:t>
            </w:r>
            <w:r>
              <w:rPr>
                <w:rFonts w:hint="eastAsia" w:ascii="Times New Roman" w:hAnsi="Times New Roman" w:cs="Times New Roman"/>
                <w:color w:val="auto"/>
                <w:kern w:val="0"/>
                <w:sz w:val="21"/>
                <w:szCs w:val="21"/>
                <w:highlight w:val="none"/>
                <w:lang w:val="en-US" w:eastAsia="zh-CN"/>
              </w:rPr>
              <w:t>危险废物</w:t>
            </w:r>
            <w:r>
              <w:rPr>
                <w:rFonts w:hint="default" w:ascii="Times New Roman" w:hAnsi="Times New Roman" w:cs="Times New Roman"/>
                <w:color w:val="auto"/>
                <w:kern w:val="0"/>
                <w:sz w:val="21"/>
                <w:szCs w:val="21"/>
                <w:highlight w:val="none"/>
                <w:lang w:val="en-US" w:eastAsia="zh-CN"/>
              </w:rPr>
              <w:t>最大占地面积约为</w:t>
            </w:r>
            <w:r>
              <w:rPr>
                <w:rFonts w:hint="eastAsia" w:ascii="Times New Roman" w:hAnsi="Times New Roman" w:cs="Times New Roman"/>
                <w:color w:val="auto"/>
                <w:kern w:val="0"/>
                <w:sz w:val="21"/>
                <w:szCs w:val="21"/>
                <w:highlight w:val="none"/>
                <w:lang w:val="en-US" w:eastAsia="zh-CN"/>
              </w:rPr>
              <w:t>5</w:t>
            </w:r>
            <w:r>
              <w:rPr>
                <w:rFonts w:hint="default" w:ascii="Times New Roman" w:hAnsi="Times New Roman" w:cs="Times New Roman"/>
                <w:color w:val="auto"/>
                <w:kern w:val="0"/>
                <w:sz w:val="21"/>
                <w:szCs w:val="21"/>
                <w:highlight w:val="none"/>
                <w:lang w:val="en-US" w:eastAsia="zh-CN"/>
              </w:rPr>
              <w:t>m</w:t>
            </w:r>
            <w:r>
              <w:rPr>
                <w:rFonts w:hint="default" w:ascii="Times New Roman" w:hAnsi="Times New Roman" w:cs="Times New Roman"/>
                <w:color w:val="auto"/>
                <w:kern w:val="0"/>
                <w:sz w:val="21"/>
                <w:szCs w:val="21"/>
                <w:highlight w:val="none"/>
                <w:vertAlign w:val="superscript"/>
                <w:lang w:val="en-US" w:eastAsia="zh-CN"/>
              </w:rPr>
              <w:t>2</w:t>
            </w:r>
            <w:r>
              <w:rPr>
                <w:rFonts w:hint="default" w:ascii="Times New Roman" w:hAnsi="Times New Roman" w:cs="Times New Roman"/>
                <w:color w:val="auto"/>
                <w:kern w:val="0"/>
                <w:sz w:val="21"/>
                <w:szCs w:val="21"/>
                <w:highlight w:val="none"/>
                <w:lang w:val="en-US" w:eastAsia="zh-CN"/>
              </w:rPr>
              <w:t>，本项目</w:t>
            </w:r>
            <w:r>
              <w:rPr>
                <w:rFonts w:hint="eastAsia" w:ascii="Times New Roman" w:hAnsi="Times New Roman" w:cs="Times New Roman"/>
                <w:color w:val="auto"/>
                <w:kern w:val="0"/>
                <w:sz w:val="21"/>
                <w:szCs w:val="21"/>
                <w:highlight w:val="none"/>
                <w:lang w:val="en-US" w:eastAsia="zh-CN"/>
              </w:rPr>
              <w:t>新增危废</w:t>
            </w:r>
            <w:r>
              <w:rPr>
                <w:rFonts w:hint="default" w:ascii="Times New Roman" w:hAnsi="Times New Roman" w:cs="Times New Roman"/>
                <w:color w:val="auto"/>
                <w:kern w:val="0"/>
                <w:sz w:val="21"/>
                <w:szCs w:val="21"/>
                <w:highlight w:val="none"/>
                <w:lang w:val="en-US" w:eastAsia="zh-CN"/>
              </w:rPr>
              <w:t>预计需占用面积</w:t>
            </w:r>
            <w:r>
              <w:rPr>
                <w:rFonts w:hint="eastAsia" w:ascii="Times New Roman" w:hAnsi="Times New Roman" w:cs="Times New Roman"/>
                <w:color w:val="auto"/>
                <w:kern w:val="0"/>
                <w:sz w:val="21"/>
                <w:szCs w:val="21"/>
                <w:highlight w:val="none"/>
                <w:lang w:val="en-US" w:eastAsia="zh-CN"/>
              </w:rPr>
              <w:t>10</w:t>
            </w:r>
            <w:r>
              <w:rPr>
                <w:rFonts w:hint="default" w:ascii="Times New Roman" w:hAnsi="Times New Roman" w:cs="Times New Roman"/>
                <w:color w:val="auto"/>
                <w:kern w:val="0"/>
                <w:sz w:val="21"/>
                <w:szCs w:val="21"/>
                <w:highlight w:val="none"/>
                <w:lang w:val="en-US" w:eastAsia="zh-CN"/>
              </w:rPr>
              <w:t>m</w:t>
            </w:r>
            <w:r>
              <w:rPr>
                <w:rFonts w:hint="default" w:ascii="Times New Roman" w:hAnsi="Times New Roman" w:cs="Times New Roman"/>
                <w:color w:val="auto"/>
                <w:kern w:val="0"/>
                <w:sz w:val="21"/>
                <w:szCs w:val="21"/>
                <w:highlight w:val="none"/>
                <w:vertAlign w:val="superscript"/>
                <w:lang w:val="en-US" w:eastAsia="zh-CN"/>
              </w:rPr>
              <w:t>2</w:t>
            </w:r>
            <w:r>
              <w:rPr>
                <w:rFonts w:hint="default" w:ascii="Times New Roman" w:hAnsi="Times New Roman" w:cs="Times New Roman"/>
                <w:color w:val="auto"/>
                <w:kern w:val="0"/>
                <w:sz w:val="21"/>
                <w:szCs w:val="21"/>
                <w:highlight w:val="none"/>
                <w:lang w:val="en-US" w:eastAsia="zh-CN"/>
              </w:rPr>
              <w:t>，依托可行</w:t>
            </w:r>
            <w:r>
              <w:rPr>
                <w:rFonts w:hint="eastAsia" w:cs="Times New Roman"/>
                <w:color w:val="auto"/>
                <w:kern w:val="0"/>
                <w:sz w:val="21"/>
                <w:szCs w:val="21"/>
                <w:highlight w:val="none"/>
                <w:lang w:val="en-US" w:eastAsia="zh-CN"/>
              </w:rPr>
              <w:t>。</w:t>
            </w:r>
          </w:p>
          <w:p>
            <w:pPr>
              <w:adjustRightInd w:val="0"/>
              <w:snapToGrid w:val="0"/>
              <w:spacing w:line="360" w:lineRule="auto"/>
              <w:ind w:firstLine="482" w:firstLineChars="200"/>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lang w:val="en-US" w:eastAsia="zh-CN"/>
              </w:rPr>
              <w:t>3、</w:t>
            </w:r>
            <w:r>
              <w:rPr>
                <w:rFonts w:hint="default" w:ascii="Times New Roman" w:hAnsi="Times New Roman" w:cs="Times New Roman"/>
                <w:b/>
                <w:bCs/>
                <w:color w:val="auto"/>
                <w:kern w:val="0"/>
                <w:sz w:val="24"/>
                <w:szCs w:val="24"/>
                <w:highlight w:val="none"/>
              </w:rPr>
              <w:t>建设项目主要产品及产能、生产设施、原辅材料</w:t>
            </w:r>
          </w:p>
          <w:p>
            <w:pPr>
              <w:pStyle w:val="5"/>
              <w:adjustRightInd w:val="0"/>
              <w:snapToGrid w:val="0"/>
              <w:spacing w:before="0" w:after="0" w:line="360" w:lineRule="auto"/>
              <w:ind w:firstLine="482" w:firstLineChars="200"/>
              <w:jc w:val="left"/>
              <w:outlineLvl w:val="2"/>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1</w:t>
            </w:r>
            <w:r>
              <w:rPr>
                <w:rFonts w:hint="eastAsia"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主要产品及产能</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本公司主要进行滚筒刷、板刷、漆刷的生产，本项目技改扩建后产品方案见表2-2。</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rPr>
            </w:pPr>
            <w:r>
              <w:rPr>
                <w:rFonts w:hint="default" w:ascii="Times New Roman" w:hAnsi="Times New Roman" w:eastAsia="宋体" w:cs="Times New Roman"/>
                <w:b/>
                <w:color w:val="auto"/>
                <w:kern w:val="0"/>
                <w:sz w:val="24"/>
                <w:szCs w:val="24"/>
                <w:highlight w:val="none"/>
              </w:rPr>
              <w:t>表</w:t>
            </w:r>
            <w:r>
              <w:rPr>
                <w:rFonts w:hint="default" w:ascii="Times New Roman" w:hAnsi="Times New Roman" w:eastAsia="宋体" w:cs="Times New Roman"/>
                <w:b/>
                <w:color w:val="auto"/>
                <w:kern w:val="0"/>
                <w:sz w:val="24"/>
                <w:szCs w:val="24"/>
                <w:highlight w:val="none"/>
                <w:lang w:val="en-US" w:eastAsia="zh-CN"/>
              </w:rPr>
              <w:t>2-</w:t>
            </w:r>
            <w:r>
              <w:rPr>
                <w:rFonts w:hint="eastAsia" w:ascii="Times New Roman" w:hAnsi="Times New Roman" w:eastAsia="宋体" w:cs="Times New Roman"/>
                <w:b/>
                <w:color w:val="auto"/>
                <w:kern w:val="0"/>
                <w:sz w:val="24"/>
                <w:szCs w:val="24"/>
                <w:highlight w:val="none"/>
                <w:lang w:val="en-US" w:eastAsia="zh-CN"/>
              </w:rPr>
              <w:t>2</w:t>
            </w:r>
            <w:r>
              <w:rPr>
                <w:rFonts w:hint="eastAsia" w:cs="Times New Roman"/>
                <w:b/>
                <w:color w:val="auto"/>
                <w:kern w:val="0"/>
                <w:sz w:val="24"/>
                <w:szCs w:val="24"/>
                <w:highlight w:val="none"/>
                <w:lang w:val="en-US" w:eastAsia="zh-CN"/>
              </w:rPr>
              <w:t xml:space="preserve">.1 </w:t>
            </w:r>
            <w:r>
              <w:rPr>
                <w:rFonts w:hint="default" w:ascii="Times New Roman" w:hAnsi="Times New Roman" w:eastAsia="宋体" w:cs="Times New Roman"/>
                <w:b/>
                <w:color w:val="auto"/>
                <w:kern w:val="0"/>
                <w:sz w:val="24"/>
                <w:szCs w:val="24"/>
                <w:highlight w:val="none"/>
                <w:lang w:eastAsia="zh-CN"/>
              </w:rPr>
              <w:t>本</w:t>
            </w:r>
            <w:r>
              <w:rPr>
                <w:rFonts w:hint="default" w:ascii="Times New Roman" w:hAnsi="Times New Roman" w:eastAsia="宋体" w:cs="Times New Roman"/>
                <w:b/>
                <w:color w:val="auto"/>
                <w:kern w:val="0"/>
                <w:sz w:val="24"/>
                <w:szCs w:val="24"/>
                <w:highlight w:val="none"/>
              </w:rPr>
              <w:t>项目产品方案</w:t>
            </w:r>
          </w:p>
          <w:tbl>
            <w:tblPr>
              <w:tblStyle w:val="25"/>
              <w:tblW w:w="789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26"/>
              <w:gridCol w:w="1029"/>
              <w:gridCol w:w="1253"/>
              <w:gridCol w:w="1079"/>
              <w:gridCol w:w="1202"/>
              <w:gridCol w:w="1059"/>
              <w:gridCol w:w="8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1426"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工程名称（车间、生产装置或生产线）</w:t>
                  </w:r>
                </w:p>
              </w:tc>
              <w:tc>
                <w:tcPr>
                  <w:tcW w:w="102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eastAsia="宋体" w:cs="Times New Roman"/>
                      <w:b/>
                      <w:color w:val="auto"/>
                      <w:sz w:val="21"/>
                      <w:szCs w:val="21"/>
                      <w:highlight w:val="none"/>
                      <w:lang w:eastAsia="zh-CN"/>
                    </w:rPr>
                  </w:pPr>
                  <w:r>
                    <w:rPr>
                      <w:rFonts w:hint="default" w:ascii="Times New Roman" w:hAnsi="Times New Roman" w:cs="Times New Roman"/>
                      <w:b/>
                      <w:color w:val="auto"/>
                      <w:sz w:val="21"/>
                      <w:szCs w:val="21"/>
                      <w:highlight w:val="none"/>
                    </w:rPr>
                    <w:t>产品名称</w:t>
                  </w:r>
                </w:p>
              </w:tc>
              <w:tc>
                <w:tcPr>
                  <w:tcW w:w="1253"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产品规格</w:t>
                  </w:r>
                </w:p>
              </w:tc>
              <w:tc>
                <w:tcPr>
                  <w:tcW w:w="107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ascii="Times New Roman" w:hAnsi="Times New Roman" w:eastAsia="宋体" w:cs="Times New Roman"/>
                      <w:b/>
                      <w:color w:val="auto"/>
                      <w:sz w:val="21"/>
                      <w:szCs w:val="21"/>
                      <w:highlight w:val="none"/>
                      <w:lang w:eastAsia="zh-CN"/>
                    </w:rPr>
                  </w:pPr>
                  <w:r>
                    <w:rPr>
                      <w:rFonts w:hint="eastAsia" w:cs="Times New Roman"/>
                      <w:b/>
                      <w:color w:val="auto"/>
                      <w:sz w:val="21"/>
                      <w:szCs w:val="21"/>
                      <w:highlight w:val="none"/>
                      <w:lang w:val="en-US" w:eastAsia="zh-CN"/>
                    </w:rPr>
                    <w:t>扩建前</w:t>
                  </w:r>
                </w:p>
              </w:tc>
              <w:tc>
                <w:tcPr>
                  <w:tcW w:w="1202"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ascii="Times New Roman" w:hAnsi="Times New Roman" w:eastAsia="宋体" w:cs="Times New Roman"/>
                      <w:b/>
                      <w:color w:val="auto"/>
                      <w:sz w:val="21"/>
                      <w:szCs w:val="21"/>
                      <w:highlight w:val="none"/>
                      <w:lang w:val="en-US" w:eastAsia="zh-CN"/>
                    </w:rPr>
                  </w:pPr>
                  <w:r>
                    <w:rPr>
                      <w:rFonts w:hint="eastAsia" w:cs="Times New Roman"/>
                      <w:b/>
                      <w:color w:val="auto"/>
                      <w:sz w:val="21"/>
                      <w:szCs w:val="21"/>
                      <w:highlight w:val="none"/>
                      <w:lang w:val="en-US" w:eastAsia="zh-CN"/>
                    </w:rPr>
                    <w:t>扩建后</w:t>
                  </w:r>
                </w:p>
              </w:tc>
              <w:tc>
                <w:tcPr>
                  <w:tcW w:w="105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cs="Times New Roman"/>
                      <w:b/>
                      <w:color w:val="auto"/>
                      <w:sz w:val="21"/>
                      <w:szCs w:val="21"/>
                      <w:highlight w:val="none"/>
                      <w:lang w:val="en-US" w:eastAsia="zh-CN"/>
                    </w:rPr>
                  </w:pPr>
                  <w:r>
                    <w:rPr>
                      <w:rFonts w:hint="eastAsia" w:cs="Times New Roman"/>
                      <w:b/>
                      <w:color w:val="auto"/>
                      <w:sz w:val="21"/>
                      <w:szCs w:val="21"/>
                      <w:highlight w:val="none"/>
                      <w:lang w:val="en-US" w:eastAsia="zh-CN"/>
                    </w:rPr>
                    <w:t>变化量</w:t>
                  </w:r>
                </w:p>
              </w:tc>
              <w:tc>
                <w:tcPr>
                  <w:tcW w:w="84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年运行时数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1426" w:type="dxa"/>
                  <w:vMerge w:val="restart"/>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cs="Times New Roman"/>
                      <w:color w:val="auto"/>
                      <w:sz w:val="21"/>
                      <w:szCs w:val="21"/>
                      <w:highlight w:val="none"/>
                    </w:rPr>
                  </w:pPr>
                  <w:r>
                    <w:rPr>
                      <w:rFonts w:hint="eastAsia" w:ascii="Times New Roman" w:hAnsi="宋体"/>
                      <w:color w:val="auto"/>
                      <w:sz w:val="21"/>
                      <w:szCs w:val="21"/>
                      <w:highlight w:val="none"/>
                      <w:lang w:val="en-US" w:eastAsia="zh-CN"/>
                    </w:rPr>
                    <w:t>生产车间</w:t>
                  </w:r>
                </w:p>
              </w:tc>
              <w:tc>
                <w:tcPr>
                  <w:tcW w:w="1029"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滚筒刷</w:t>
                  </w:r>
                </w:p>
              </w:tc>
              <w:tc>
                <w:tcPr>
                  <w:tcW w:w="1253"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4寸、6寸</w:t>
                  </w:r>
                </w:p>
              </w:tc>
              <w:tc>
                <w:tcPr>
                  <w:tcW w:w="107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color w:val="auto"/>
                      <w:sz w:val="21"/>
                      <w:szCs w:val="21"/>
                      <w:highlight w:val="none"/>
                      <w:lang w:val="en-US" w:eastAsia="zh-CN"/>
                    </w:rPr>
                  </w:pPr>
                  <w:r>
                    <w:rPr>
                      <w:rFonts w:hint="eastAsia"/>
                      <w:color w:val="auto"/>
                      <w:sz w:val="21"/>
                      <w:szCs w:val="21"/>
                      <w:highlight w:val="none"/>
                      <w:lang w:val="en-US" w:eastAsia="zh-CN"/>
                    </w:rPr>
                    <w:t>1676万把</w:t>
                  </w:r>
                </w:p>
              </w:tc>
              <w:tc>
                <w:tcPr>
                  <w:tcW w:w="1202"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ascii="Times New Roman" w:hAnsi="Times New Roman"/>
                      <w:color w:val="auto"/>
                      <w:sz w:val="21"/>
                      <w:szCs w:val="21"/>
                      <w:highlight w:val="none"/>
                      <w:lang w:val="en-US" w:eastAsia="zh-CN"/>
                    </w:rPr>
                  </w:pPr>
                  <w:r>
                    <w:rPr>
                      <w:rFonts w:hint="eastAsia"/>
                      <w:color w:val="auto"/>
                      <w:sz w:val="21"/>
                      <w:szCs w:val="21"/>
                      <w:highlight w:val="none"/>
                      <w:lang w:val="en-US" w:eastAsia="zh-CN"/>
                    </w:rPr>
                    <w:t>5000万把</w:t>
                  </w:r>
                </w:p>
              </w:tc>
              <w:tc>
                <w:tcPr>
                  <w:tcW w:w="105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color w:val="auto"/>
                      <w:sz w:val="21"/>
                      <w:szCs w:val="21"/>
                      <w:highlight w:val="none"/>
                      <w:lang w:val="en-US" w:eastAsia="zh-CN"/>
                    </w:rPr>
                  </w:pPr>
                  <w:r>
                    <w:rPr>
                      <w:rFonts w:hint="eastAsia"/>
                      <w:color w:val="auto"/>
                      <w:sz w:val="21"/>
                      <w:szCs w:val="21"/>
                      <w:highlight w:val="none"/>
                      <w:lang w:val="en-US" w:eastAsia="zh-CN"/>
                    </w:rPr>
                    <w:t>+3324万把</w:t>
                  </w:r>
                </w:p>
              </w:tc>
              <w:tc>
                <w:tcPr>
                  <w:tcW w:w="849" w:type="dxa"/>
                  <w:vMerge w:val="restart"/>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2400</w:t>
                  </w:r>
                  <w:r>
                    <w:rPr>
                      <w:rFonts w:hint="default" w:ascii="Times New Roman" w:hAnsi="Times New Roman" w:cs="Times New Roman"/>
                      <w:color w:val="auto"/>
                      <w:sz w:val="21"/>
                      <w:szCs w:val="21"/>
                      <w:highlight w:val="none"/>
                    </w:rPr>
                    <w:t>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1426" w:type="dxa"/>
                  <w:vMerge w:val="continue"/>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宋体"/>
                      <w:color w:val="auto"/>
                      <w:sz w:val="21"/>
                      <w:szCs w:val="21"/>
                      <w:highlight w:val="none"/>
                      <w:lang w:val="en-US" w:eastAsia="zh-CN"/>
                    </w:rPr>
                  </w:pPr>
                </w:p>
              </w:tc>
              <w:tc>
                <w:tcPr>
                  <w:tcW w:w="1029"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板刷</w:t>
                  </w:r>
                </w:p>
              </w:tc>
              <w:tc>
                <w:tcPr>
                  <w:tcW w:w="1253"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7寸、9寸</w:t>
                  </w:r>
                </w:p>
              </w:tc>
              <w:tc>
                <w:tcPr>
                  <w:tcW w:w="107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color w:val="auto"/>
                      <w:sz w:val="21"/>
                      <w:szCs w:val="21"/>
                      <w:highlight w:val="none"/>
                      <w:lang w:val="en-US" w:eastAsia="zh-CN"/>
                    </w:rPr>
                  </w:pPr>
                  <w:r>
                    <w:rPr>
                      <w:rFonts w:hint="eastAsia"/>
                      <w:color w:val="auto"/>
                      <w:sz w:val="21"/>
                      <w:szCs w:val="21"/>
                      <w:highlight w:val="none"/>
                      <w:lang w:val="en-US" w:eastAsia="zh-CN"/>
                    </w:rPr>
                    <w:t>900万把</w:t>
                  </w:r>
                </w:p>
              </w:tc>
              <w:tc>
                <w:tcPr>
                  <w:tcW w:w="1202"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ascii="Times New Roman" w:hAnsi="Times New Roman"/>
                      <w:color w:val="auto"/>
                      <w:sz w:val="21"/>
                      <w:szCs w:val="21"/>
                      <w:highlight w:val="none"/>
                      <w:lang w:val="en-US" w:eastAsia="zh-CN"/>
                    </w:rPr>
                  </w:pPr>
                  <w:r>
                    <w:rPr>
                      <w:rFonts w:hint="eastAsia"/>
                      <w:color w:val="auto"/>
                      <w:sz w:val="21"/>
                      <w:szCs w:val="21"/>
                      <w:highlight w:val="none"/>
                      <w:lang w:val="en-US" w:eastAsia="zh-CN"/>
                    </w:rPr>
                    <w:t>5000万把</w:t>
                  </w:r>
                </w:p>
              </w:tc>
              <w:tc>
                <w:tcPr>
                  <w:tcW w:w="105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color w:val="auto"/>
                      <w:sz w:val="21"/>
                      <w:szCs w:val="21"/>
                      <w:highlight w:val="none"/>
                      <w:lang w:val="en-US" w:eastAsia="zh-CN"/>
                    </w:rPr>
                  </w:pPr>
                  <w:r>
                    <w:rPr>
                      <w:rFonts w:hint="eastAsia"/>
                      <w:color w:val="auto"/>
                      <w:sz w:val="21"/>
                      <w:szCs w:val="21"/>
                      <w:highlight w:val="none"/>
                      <w:lang w:val="en-US" w:eastAsia="zh-CN"/>
                    </w:rPr>
                    <w:t>+4100万把</w:t>
                  </w:r>
                </w:p>
              </w:tc>
              <w:tc>
                <w:tcPr>
                  <w:tcW w:w="849" w:type="dxa"/>
                  <w:vMerge w:val="continue"/>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1426" w:type="dxa"/>
                  <w:vMerge w:val="continue"/>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eastAsia" w:ascii="Times New Roman" w:hAnsi="宋体"/>
                      <w:color w:val="auto"/>
                      <w:sz w:val="21"/>
                      <w:szCs w:val="21"/>
                      <w:highlight w:val="none"/>
                      <w:lang w:val="en-US" w:eastAsia="zh-CN"/>
                    </w:rPr>
                  </w:pPr>
                </w:p>
              </w:tc>
              <w:tc>
                <w:tcPr>
                  <w:tcW w:w="1029"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color w:val="auto"/>
                      <w:kern w:val="0"/>
                      <w:sz w:val="21"/>
                      <w:szCs w:val="21"/>
                      <w:highlight w:val="none"/>
                      <w:lang w:val="en-US" w:eastAsia="zh-CN"/>
                    </w:rPr>
                  </w:pPr>
                  <w:r>
                    <w:rPr>
                      <w:rFonts w:hint="eastAsia"/>
                      <w:color w:val="auto"/>
                      <w:kern w:val="0"/>
                      <w:sz w:val="21"/>
                      <w:szCs w:val="21"/>
                      <w:highlight w:val="none"/>
                      <w:lang w:val="en-US" w:eastAsia="zh-CN"/>
                    </w:rPr>
                    <w:t>漆刷</w:t>
                  </w:r>
                </w:p>
              </w:tc>
              <w:tc>
                <w:tcPr>
                  <w:tcW w:w="1253" w:type="dxa"/>
                  <w:noWrap w:val="0"/>
                  <w:vAlign w:val="center"/>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1寸、1.5寸、2寸、2.5寸、3寸</w:t>
                  </w:r>
                </w:p>
              </w:tc>
              <w:tc>
                <w:tcPr>
                  <w:tcW w:w="107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ascii="Times New Roman" w:hAnsi="Times New Roman"/>
                      <w:color w:val="auto"/>
                      <w:sz w:val="21"/>
                      <w:szCs w:val="21"/>
                      <w:highlight w:val="none"/>
                      <w:lang w:val="en-US" w:eastAsia="zh-CN"/>
                    </w:rPr>
                  </w:pPr>
                  <w:r>
                    <w:rPr>
                      <w:rFonts w:hint="eastAsia"/>
                      <w:color w:val="auto"/>
                      <w:sz w:val="21"/>
                      <w:szCs w:val="21"/>
                      <w:highlight w:val="none"/>
                      <w:lang w:val="en-US" w:eastAsia="zh-CN"/>
                    </w:rPr>
                    <w:t>/</w:t>
                  </w:r>
                </w:p>
              </w:tc>
              <w:tc>
                <w:tcPr>
                  <w:tcW w:w="1202"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ascii="Times New Roman" w:hAnsi="Times New Roman"/>
                      <w:color w:val="auto"/>
                      <w:sz w:val="21"/>
                      <w:szCs w:val="21"/>
                      <w:highlight w:val="none"/>
                      <w:lang w:val="en-US" w:eastAsia="zh-CN"/>
                    </w:rPr>
                  </w:pPr>
                  <w:r>
                    <w:rPr>
                      <w:rFonts w:hint="eastAsia"/>
                      <w:color w:val="auto"/>
                      <w:sz w:val="21"/>
                      <w:szCs w:val="21"/>
                      <w:highlight w:val="none"/>
                      <w:lang w:val="en-US" w:eastAsia="zh-CN"/>
                    </w:rPr>
                    <w:t>5000万把</w:t>
                  </w:r>
                </w:p>
              </w:tc>
              <w:tc>
                <w:tcPr>
                  <w:tcW w:w="1059" w:type="dxa"/>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default"/>
                      <w:color w:val="auto"/>
                      <w:sz w:val="21"/>
                      <w:szCs w:val="21"/>
                      <w:highlight w:val="none"/>
                      <w:lang w:val="en-US" w:eastAsia="zh-CN"/>
                    </w:rPr>
                  </w:pPr>
                  <w:r>
                    <w:rPr>
                      <w:rFonts w:hint="eastAsia"/>
                      <w:color w:val="auto"/>
                      <w:sz w:val="21"/>
                      <w:szCs w:val="21"/>
                      <w:highlight w:val="none"/>
                      <w:lang w:val="en-US" w:eastAsia="zh-CN"/>
                    </w:rPr>
                    <w:t>+5000万把</w:t>
                  </w:r>
                </w:p>
              </w:tc>
              <w:tc>
                <w:tcPr>
                  <w:tcW w:w="849" w:type="dxa"/>
                  <w:vMerge w:val="continue"/>
                  <w:noWrap w:val="0"/>
                  <w:vAlign w:val="center"/>
                </w:tcPr>
                <w:p>
                  <w:pPr>
                    <w:pStyle w:val="77"/>
                    <w:keepNext w:val="0"/>
                    <w:keepLines w:val="0"/>
                    <w:pageBreakBefore w:val="0"/>
                    <w:widowControl w:val="0"/>
                    <w:kinsoku/>
                    <w:wordWrap/>
                    <w:overflowPunct/>
                    <w:topLinePunct w:val="0"/>
                    <w:autoSpaceDE/>
                    <w:autoSpaceDN/>
                    <w:bidi w:val="0"/>
                    <w:spacing w:line="320" w:lineRule="exact"/>
                    <w:rPr>
                      <w:rFonts w:hint="eastAsia" w:cs="Times New Roman"/>
                      <w:color w:val="auto"/>
                      <w:sz w:val="21"/>
                      <w:szCs w:val="21"/>
                      <w:highlight w:val="none"/>
                      <w:lang w:val="en-US" w:eastAsia="zh-CN"/>
                    </w:rPr>
                  </w:pPr>
                </w:p>
              </w:tc>
            </w:tr>
          </w:tbl>
          <w:p>
            <w:pPr>
              <w:pStyle w:val="5"/>
              <w:adjustRightInd w:val="0"/>
              <w:snapToGrid w:val="0"/>
              <w:spacing w:before="0" w:after="0" w:line="360" w:lineRule="auto"/>
              <w:ind w:firstLine="643" w:firstLineChars="200"/>
              <w:jc w:val="left"/>
              <w:outlineLvl w:val="2"/>
              <w:rPr>
                <w:rFonts w:hint="eastAsia" w:eastAsia="宋体"/>
                <w:color w:val="auto"/>
                <w:lang w:eastAsia="zh-CN"/>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4"/>
                <w:szCs w:val="24"/>
                <w:highlight w:val="none"/>
                <w:lang w:eastAsia="zh-CN"/>
              </w:rPr>
            </w:pPr>
            <w:r>
              <w:rPr>
                <w:rFonts w:hint="default" w:ascii="Times New Roman" w:hAnsi="Times New Roman" w:eastAsia="宋体" w:cs="Times New Roman"/>
                <w:b/>
                <w:color w:val="auto"/>
                <w:kern w:val="0"/>
                <w:sz w:val="24"/>
                <w:szCs w:val="24"/>
                <w:highlight w:val="none"/>
              </w:rPr>
              <w:t>表</w:t>
            </w:r>
            <w:r>
              <w:rPr>
                <w:rFonts w:hint="default" w:ascii="Times New Roman" w:hAnsi="Times New Roman" w:eastAsia="宋体" w:cs="Times New Roman"/>
                <w:b/>
                <w:color w:val="auto"/>
                <w:kern w:val="0"/>
                <w:sz w:val="24"/>
                <w:szCs w:val="24"/>
                <w:highlight w:val="none"/>
                <w:lang w:val="en-US" w:eastAsia="zh-CN"/>
              </w:rPr>
              <w:t>2-</w:t>
            </w:r>
            <w:r>
              <w:rPr>
                <w:rFonts w:hint="eastAsia" w:ascii="Times New Roman" w:hAnsi="Times New Roman" w:eastAsia="宋体" w:cs="Times New Roman"/>
                <w:b/>
                <w:color w:val="auto"/>
                <w:kern w:val="0"/>
                <w:sz w:val="24"/>
                <w:szCs w:val="24"/>
                <w:highlight w:val="none"/>
                <w:lang w:val="en-US" w:eastAsia="zh-CN"/>
              </w:rPr>
              <w:t xml:space="preserve">2.2 </w:t>
            </w:r>
            <w:r>
              <w:rPr>
                <w:rFonts w:hint="default" w:ascii="Times New Roman" w:hAnsi="Times New Roman" w:eastAsia="宋体" w:cs="Times New Roman"/>
                <w:b/>
                <w:color w:val="auto"/>
                <w:kern w:val="0"/>
                <w:sz w:val="24"/>
                <w:szCs w:val="24"/>
                <w:highlight w:val="none"/>
                <w:lang w:eastAsia="zh-CN"/>
              </w:rPr>
              <w:t>本</w:t>
            </w:r>
            <w:r>
              <w:rPr>
                <w:rFonts w:hint="default" w:ascii="Times New Roman" w:hAnsi="Times New Roman" w:eastAsia="宋体" w:cs="Times New Roman"/>
                <w:b/>
                <w:color w:val="auto"/>
                <w:kern w:val="0"/>
                <w:sz w:val="24"/>
                <w:szCs w:val="24"/>
                <w:highlight w:val="none"/>
              </w:rPr>
              <w:t>项目产品</w:t>
            </w:r>
            <w:r>
              <w:rPr>
                <w:rFonts w:hint="eastAsia" w:ascii="Times New Roman" w:hAnsi="Times New Roman" w:eastAsia="宋体" w:cs="Times New Roman"/>
                <w:b/>
                <w:color w:val="auto"/>
                <w:kern w:val="0"/>
                <w:sz w:val="24"/>
                <w:szCs w:val="24"/>
                <w:highlight w:val="none"/>
                <w:lang w:val="en-US" w:eastAsia="zh-CN"/>
              </w:rPr>
              <w:t>图片</w:t>
            </w:r>
          </w:p>
          <w:tbl>
            <w:tblPr>
              <w:tblStyle w:val="26"/>
              <w:tblW w:w="7830"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610"/>
              <w:gridCol w:w="2610"/>
              <w:gridCol w:w="261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85" w:hRule="atLeast"/>
              </w:trPr>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drawing>
                      <wp:inline distT="0" distB="0" distL="114300" distR="114300">
                        <wp:extent cx="1520190" cy="1937385"/>
                        <wp:effectExtent l="0" t="0" r="0" b="0"/>
                        <wp:docPr id="7" name="图片 7" descr="3f7a9ed5ff811b4ded8ea3990cf72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3f7a9ed5ff811b4ded8ea3990cf72388"/>
                                <pic:cNvPicPr>
                                  <a:picLocks noChangeAspect="1"/>
                                </pic:cNvPicPr>
                              </pic:nvPicPr>
                              <pic:blipFill>
                                <a:blip r:embed="rId7"/>
                                <a:srcRect t="25476" b="2820"/>
                                <a:stretch>
                                  <a:fillRect/>
                                </a:stretch>
                              </pic:blipFill>
                              <pic:spPr>
                                <a:xfrm>
                                  <a:off x="0" y="0"/>
                                  <a:ext cx="1520190" cy="1937385"/>
                                </a:xfrm>
                                <a:prstGeom prst="rect">
                                  <a:avLst/>
                                </a:prstGeom>
                              </pic:spPr>
                            </pic:pic>
                          </a:graphicData>
                        </a:graphic>
                      </wp:inline>
                    </w:drawing>
                  </w:r>
                </w:p>
              </w:tc>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drawing>
                      <wp:inline distT="0" distB="0" distL="114300" distR="114300">
                        <wp:extent cx="1435100" cy="1915160"/>
                        <wp:effectExtent l="0" t="0" r="12700" b="8890"/>
                        <wp:docPr id="1" name="图片 1" descr="bc13d0b0a95987a8dc9e5202396a6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bc13d0b0a95987a8dc9e5202396a6018"/>
                                <pic:cNvPicPr>
                                  <a:picLocks noChangeAspect="1"/>
                                </pic:cNvPicPr>
                              </pic:nvPicPr>
                              <pic:blipFill>
                                <a:blip r:embed="rId8"/>
                                <a:stretch>
                                  <a:fillRect/>
                                </a:stretch>
                              </pic:blipFill>
                              <pic:spPr>
                                <a:xfrm>
                                  <a:off x="0" y="0"/>
                                  <a:ext cx="1435100" cy="1915160"/>
                                </a:xfrm>
                                <a:prstGeom prst="rect">
                                  <a:avLst/>
                                </a:prstGeom>
                              </pic:spPr>
                            </pic:pic>
                          </a:graphicData>
                        </a:graphic>
                      </wp:inline>
                    </w:drawing>
                  </w:r>
                </w:p>
              </w:tc>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color w:val="auto"/>
                      <w:sz w:val="21"/>
                      <w:szCs w:val="21"/>
                      <w:highlight w:val="none"/>
                      <w:lang w:val="en-US" w:eastAsia="zh-CN"/>
                    </w:rPr>
                  </w:pPr>
                  <w:r>
                    <w:rPr>
                      <w:color w:val="auto"/>
                    </w:rPr>
                    <w:drawing>
                      <wp:inline distT="0" distB="0" distL="114300" distR="114300">
                        <wp:extent cx="1518285" cy="1856105"/>
                        <wp:effectExtent l="0" t="0" r="5715" b="10795"/>
                        <wp:docPr id="1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0"/>
                                <pic:cNvPicPr>
                                  <a:picLocks noChangeAspect="1"/>
                                </pic:cNvPicPr>
                              </pic:nvPicPr>
                              <pic:blipFill>
                                <a:blip r:embed="rId9"/>
                                <a:stretch>
                                  <a:fillRect/>
                                </a:stretch>
                              </pic:blipFill>
                              <pic:spPr>
                                <a:xfrm>
                                  <a:off x="0" y="0"/>
                                  <a:ext cx="1518285" cy="1856105"/>
                                </a:xfrm>
                                <a:prstGeom prst="rect">
                                  <a:avLst/>
                                </a:prstGeom>
                                <a:noFill/>
                                <a:ln>
                                  <a:noFill/>
                                </a:ln>
                              </pic:spPr>
                            </pic:pic>
                          </a:graphicData>
                        </a:graphic>
                      </wp:inline>
                    </w:drawing>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滚筒刷</w:t>
                  </w:r>
                </w:p>
              </w:tc>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板刷</w:t>
                  </w:r>
                </w:p>
              </w:tc>
              <w:tc>
                <w:tcPr>
                  <w:tcW w:w="2610" w:type="dxa"/>
                  <w:tcBorders>
                    <w:tl2br w:val="nil"/>
                    <w:tr2bl w:val="nil"/>
                  </w:tcBorders>
                  <w:vAlign w:val="top"/>
                </w:tcPr>
                <w:p>
                  <w:pPr>
                    <w:pStyle w:val="14"/>
                    <w:keepNext w:val="0"/>
                    <w:keepLines w:val="0"/>
                    <w:pageBreakBefore w:val="0"/>
                    <w:widowControl w:val="0"/>
                    <w:kinsoku/>
                    <w:wordWrap/>
                    <w:overflowPunct/>
                    <w:topLinePunct w:val="0"/>
                    <w:autoSpaceDE/>
                    <w:autoSpaceDN/>
                    <w:bidi w:val="0"/>
                    <w:adjustRightInd/>
                    <w:snapToGrid/>
                    <w:spacing w:line="320" w:lineRule="exact"/>
                    <w:ind w:firstLine="0" w:firstLineChars="0"/>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漆刷</w:t>
                  </w:r>
                </w:p>
              </w:tc>
            </w:tr>
          </w:tbl>
          <w:p>
            <w:pPr>
              <w:pStyle w:val="5"/>
              <w:adjustRightInd w:val="0"/>
              <w:snapToGrid w:val="0"/>
              <w:spacing w:before="0" w:after="0" w:line="360" w:lineRule="auto"/>
              <w:ind w:firstLine="482" w:firstLineChars="200"/>
              <w:jc w:val="left"/>
              <w:outlineLvl w:val="2"/>
              <w:rPr>
                <w:rFonts w:hint="eastAsia" w:cs="Times New Roman"/>
                <w:color w:val="auto"/>
                <w:kern w:val="0"/>
                <w:sz w:val="24"/>
                <w:szCs w:val="24"/>
                <w:highlight w:val="none"/>
                <w:lang w:eastAsia="zh-CN"/>
              </w:rPr>
            </w:pPr>
          </w:p>
          <w:p>
            <w:pPr>
              <w:pStyle w:val="5"/>
              <w:adjustRightInd w:val="0"/>
              <w:snapToGrid w:val="0"/>
              <w:spacing w:before="0" w:after="0" w:line="360" w:lineRule="auto"/>
              <w:ind w:firstLine="482" w:firstLineChars="200"/>
              <w:jc w:val="left"/>
              <w:outlineLvl w:val="2"/>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2</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主要生产设施及设施参数</w:t>
            </w:r>
          </w:p>
          <w:p>
            <w:pPr>
              <w:jc w:val="center"/>
              <w:rPr>
                <w:rFonts w:hint="default"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表2-3</w:t>
            </w:r>
            <w:r>
              <w:rPr>
                <w:rFonts w:hint="eastAsia" w:cs="Times New Roman"/>
                <w:b/>
                <w:bCs/>
                <w:color w:val="auto"/>
                <w:sz w:val="24"/>
                <w:szCs w:val="32"/>
                <w:highlight w:val="none"/>
                <w:lang w:val="en-US" w:eastAsia="zh-CN"/>
              </w:rPr>
              <w:t>.1本项技改扩建后</w:t>
            </w:r>
            <w:r>
              <w:rPr>
                <w:rFonts w:hint="eastAsia" w:ascii="Times New Roman" w:hAnsi="Times New Roman" w:cs="Times New Roman"/>
                <w:b/>
                <w:bCs/>
                <w:color w:val="auto"/>
                <w:sz w:val="24"/>
                <w:szCs w:val="32"/>
                <w:highlight w:val="none"/>
                <w:lang w:val="en-US" w:eastAsia="zh-CN"/>
              </w:rPr>
              <w:t>主要生产设施及设施参数</w:t>
            </w:r>
          </w:p>
          <w:tbl>
            <w:tblPr>
              <w:tblStyle w:val="25"/>
              <w:tblW w:w="7896"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02"/>
              <w:gridCol w:w="1354"/>
              <w:gridCol w:w="930"/>
              <w:gridCol w:w="1357"/>
              <w:gridCol w:w="1251"/>
              <w:gridCol w:w="1251"/>
              <w:gridCol w:w="125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blHeader/>
                <w:jc w:val="center"/>
              </w:trPr>
              <w:tc>
                <w:tcPr>
                  <w:tcW w:w="502" w:type="dxa"/>
                  <w:vAlign w:val="center"/>
                </w:tcPr>
                <w:p>
                  <w:pPr>
                    <w:spacing w:line="240" w:lineRule="auto"/>
                    <w:jc w:val="center"/>
                    <w:rPr>
                      <w:b/>
                      <w:bCs/>
                      <w:color w:val="auto"/>
                      <w:sz w:val="21"/>
                      <w:szCs w:val="21"/>
                      <w:highlight w:val="none"/>
                    </w:rPr>
                  </w:pPr>
                  <w:r>
                    <w:rPr>
                      <w:b/>
                      <w:bCs/>
                      <w:color w:val="auto"/>
                      <w:sz w:val="21"/>
                      <w:szCs w:val="21"/>
                      <w:highlight w:val="none"/>
                    </w:rPr>
                    <w:t>序号</w:t>
                  </w:r>
                </w:p>
              </w:tc>
              <w:tc>
                <w:tcPr>
                  <w:tcW w:w="1354" w:type="dxa"/>
                  <w:vAlign w:val="center"/>
                </w:tcPr>
                <w:p>
                  <w:pPr>
                    <w:spacing w:line="240" w:lineRule="auto"/>
                    <w:jc w:val="center"/>
                    <w:rPr>
                      <w:b/>
                      <w:bCs/>
                      <w:color w:val="auto"/>
                      <w:sz w:val="21"/>
                      <w:szCs w:val="21"/>
                      <w:highlight w:val="none"/>
                    </w:rPr>
                  </w:pPr>
                  <w:r>
                    <w:rPr>
                      <w:b/>
                      <w:bCs/>
                      <w:color w:val="auto"/>
                      <w:sz w:val="21"/>
                      <w:szCs w:val="21"/>
                      <w:highlight w:val="none"/>
                    </w:rPr>
                    <w:t>生产设施</w:t>
                  </w:r>
                </w:p>
              </w:tc>
              <w:tc>
                <w:tcPr>
                  <w:tcW w:w="930" w:type="dxa"/>
                  <w:vAlign w:val="center"/>
                </w:tcPr>
                <w:p>
                  <w:pPr>
                    <w:spacing w:line="240" w:lineRule="auto"/>
                    <w:jc w:val="center"/>
                    <w:rPr>
                      <w:b/>
                      <w:bCs/>
                      <w:color w:val="auto"/>
                      <w:sz w:val="21"/>
                      <w:szCs w:val="21"/>
                      <w:highlight w:val="none"/>
                    </w:rPr>
                  </w:pPr>
                  <w:r>
                    <w:rPr>
                      <w:b/>
                      <w:bCs/>
                      <w:color w:val="auto"/>
                      <w:sz w:val="21"/>
                      <w:szCs w:val="21"/>
                      <w:highlight w:val="none"/>
                    </w:rPr>
                    <w:t>型号/规格</w:t>
                  </w:r>
                </w:p>
              </w:tc>
              <w:tc>
                <w:tcPr>
                  <w:tcW w:w="1357" w:type="dxa"/>
                  <w:vAlign w:val="center"/>
                </w:tcPr>
                <w:p>
                  <w:pPr>
                    <w:spacing w:line="240" w:lineRule="auto"/>
                    <w:jc w:val="cente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扩建前</w:t>
                  </w:r>
                  <w:r>
                    <w:rPr>
                      <w:rFonts w:hint="eastAsia"/>
                      <w:b/>
                      <w:bCs/>
                      <w:color w:val="auto"/>
                      <w:sz w:val="21"/>
                      <w:szCs w:val="21"/>
                      <w:highlight w:val="none"/>
                      <w:lang w:eastAsia="zh-CN"/>
                    </w:rPr>
                    <w:t>（</w:t>
                  </w:r>
                  <w:r>
                    <w:rPr>
                      <w:b/>
                      <w:bCs/>
                      <w:color w:val="auto"/>
                      <w:sz w:val="21"/>
                      <w:szCs w:val="21"/>
                      <w:highlight w:val="none"/>
                    </w:rPr>
                    <w:t>台/套</w:t>
                  </w:r>
                  <w:r>
                    <w:rPr>
                      <w:rFonts w:hint="eastAsia"/>
                      <w:b/>
                      <w:bCs/>
                      <w:color w:val="auto"/>
                      <w:sz w:val="21"/>
                      <w:szCs w:val="21"/>
                      <w:highlight w:val="none"/>
                      <w:lang w:eastAsia="zh-CN"/>
                    </w:rPr>
                    <w:t>）</w:t>
                  </w:r>
                </w:p>
              </w:tc>
              <w:tc>
                <w:tcPr>
                  <w:tcW w:w="1251" w:type="dxa"/>
                  <w:vAlign w:val="center"/>
                </w:tcPr>
                <w:p>
                  <w:pPr>
                    <w:spacing w:line="240" w:lineRule="auto"/>
                    <w:jc w:val="center"/>
                    <w:rPr>
                      <w:rFonts w:hint="eastAsia" w:eastAsia="宋体"/>
                      <w:b/>
                      <w:bCs/>
                      <w:color w:val="auto"/>
                      <w:sz w:val="21"/>
                      <w:szCs w:val="21"/>
                      <w:highlight w:val="none"/>
                      <w:lang w:eastAsia="zh-CN"/>
                    </w:rPr>
                  </w:pPr>
                  <w:r>
                    <w:rPr>
                      <w:rFonts w:hint="eastAsia"/>
                      <w:b/>
                      <w:bCs/>
                      <w:color w:val="auto"/>
                      <w:sz w:val="21"/>
                      <w:szCs w:val="21"/>
                      <w:highlight w:val="none"/>
                      <w:lang w:val="en-US" w:eastAsia="zh-CN"/>
                    </w:rPr>
                    <w:t>扩建后</w:t>
                  </w:r>
                  <w:r>
                    <w:rPr>
                      <w:rFonts w:hint="eastAsia"/>
                      <w:b/>
                      <w:bCs/>
                      <w:color w:val="auto"/>
                      <w:sz w:val="21"/>
                      <w:szCs w:val="21"/>
                      <w:highlight w:val="none"/>
                      <w:lang w:eastAsia="zh-CN"/>
                    </w:rPr>
                    <w:t>（</w:t>
                  </w:r>
                  <w:r>
                    <w:rPr>
                      <w:b/>
                      <w:bCs/>
                      <w:color w:val="auto"/>
                      <w:sz w:val="21"/>
                      <w:szCs w:val="21"/>
                      <w:highlight w:val="none"/>
                    </w:rPr>
                    <w:t>台/套</w:t>
                  </w:r>
                  <w:r>
                    <w:rPr>
                      <w:rFonts w:hint="eastAsia"/>
                      <w:b/>
                      <w:bCs/>
                      <w:color w:val="auto"/>
                      <w:sz w:val="21"/>
                      <w:szCs w:val="21"/>
                      <w:highlight w:val="none"/>
                      <w:lang w:eastAsia="zh-CN"/>
                    </w:rPr>
                    <w:t>）</w:t>
                  </w:r>
                </w:p>
              </w:tc>
              <w:tc>
                <w:tcPr>
                  <w:tcW w:w="1251" w:type="dxa"/>
                  <w:vAlign w:val="center"/>
                </w:tcPr>
                <w:p>
                  <w:pPr>
                    <w:spacing w:line="240" w:lineRule="auto"/>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增减量</w:t>
                  </w:r>
                  <w:r>
                    <w:rPr>
                      <w:rFonts w:hint="eastAsia"/>
                      <w:b/>
                      <w:bCs/>
                      <w:color w:val="auto"/>
                      <w:sz w:val="21"/>
                      <w:szCs w:val="21"/>
                      <w:highlight w:val="none"/>
                      <w:lang w:eastAsia="zh-CN"/>
                    </w:rPr>
                    <w:t>（</w:t>
                  </w:r>
                  <w:r>
                    <w:rPr>
                      <w:b/>
                      <w:bCs/>
                      <w:color w:val="auto"/>
                      <w:sz w:val="21"/>
                      <w:szCs w:val="21"/>
                      <w:highlight w:val="none"/>
                    </w:rPr>
                    <w:t>台/套</w:t>
                  </w:r>
                  <w:r>
                    <w:rPr>
                      <w:rFonts w:hint="eastAsia"/>
                      <w:b/>
                      <w:bCs/>
                      <w:color w:val="auto"/>
                      <w:sz w:val="21"/>
                      <w:szCs w:val="21"/>
                      <w:highlight w:val="none"/>
                      <w:lang w:eastAsia="zh-CN"/>
                    </w:rPr>
                    <w:t>）</w:t>
                  </w:r>
                </w:p>
              </w:tc>
              <w:tc>
                <w:tcPr>
                  <w:tcW w:w="1251" w:type="dxa"/>
                  <w:vAlign w:val="center"/>
                </w:tcPr>
                <w:p>
                  <w:pPr>
                    <w:spacing w:line="240" w:lineRule="auto"/>
                    <w:jc w:val="center"/>
                    <w:rPr>
                      <w:rFonts w:hint="default"/>
                      <w:b/>
                      <w:bCs/>
                      <w:color w:val="auto"/>
                      <w:sz w:val="21"/>
                      <w:szCs w:val="21"/>
                      <w:highlight w:val="none"/>
                      <w:lang w:val="en-US" w:eastAsia="zh-CN"/>
                    </w:rPr>
                  </w:pPr>
                  <w:r>
                    <w:rPr>
                      <w:rFonts w:hint="eastAsia"/>
                      <w:b/>
                      <w:bCs/>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1</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切割机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2kw</w:t>
                  </w:r>
                </w:p>
              </w:tc>
              <w:tc>
                <w:tcPr>
                  <w:tcW w:w="1357"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11</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+9</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切割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9"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2</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平切机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35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3</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迷你刷切割机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35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5</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-5</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4</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迷你刷吸塑机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35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5</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-5</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5</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磨头敲盖机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10</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+7</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磨头敲盖</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6</w:t>
                  </w:r>
                </w:p>
              </w:tc>
              <w:tc>
                <w:tcPr>
                  <w:tcW w:w="1354"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钻孔机</w:t>
                  </w:r>
                </w:p>
              </w:tc>
              <w:tc>
                <w:tcPr>
                  <w:tcW w:w="930"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35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w:t>
                  </w:r>
                </w:p>
              </w:tc>
              <w:tc>
                <w:tcPr>
                  <w:tcW w:w="1251"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7</w:t>
                  </w:r>
                </w:p>
              </w:tc>
              <w:tc>
                <w:tcPr>
                  <w:tcW w:w="1354" w:type="dxa"/>
                  <w:vAlign w:val="center"/>
                </w:tcPr>
                <w:p>
                  <w:pPr>
                    <w:keepNext w:val="0"/>
                    <w:keepLines w:val="0"/>
                    <w:widowControl/>
                    <w:suppressLineNumbers w:val="0"/>
                    <w:jc w:val="center"/>
                    <w:textAlignment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压条机</w:t>
                  </w:r>
                </w:p>
              </w:tc>
              <w:tc>
                <w:tcPr>
                  <w:tcW w:w="930" w:type="dxa"/>
                  <w:vAlign w:val="center"/>
                </w:tcPr>
                <w:p>
                  <w:pPr>
                    <w:spacing w:line="240" w:lineRule="auto"/>
                    <w:jc w:val="center"/>
                    <w:rPr>
                      <w:color w:val="auto"/>
                      <w:sz w:val="21"/>
                      <w:szCs w:val="21"/>
                      <w:highlight w:val="none"/>
                    </w:rPr>
                  </w:pPr>
                  <w:r>
                    <w:rPr>
                      <w:rFonts w:hint="eastAsia"/>
                      <w:color w:val="auto"/>
                      <w:sz w:val="21"/>
                      <w:szCs w:val="21"/>
                      <w:highlight w:val="none"/>
                      <w:lang w:val="en-US" w:eastAsia="zh-CN"/>
                    </w:rPr>
                    <w:t>/</w:t>
                  </w:r>
                </w:p>
              </w:tc>
              <w:tc>
                <w:tcPr>
                  <w:tcW w:w="1357"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1</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-1</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8</w:t>
                  </w:r>
                </w:p>
              </w:tc>
              <w:tc>
                <w:tcPr>
                  <w:tcW w:w="1354" w:type="dxa"/>
                  <w:vAlign w:val="center"/>
                </w:tcPr>
                <w:p>
                  <w:pPr>
                    <w:keepNext w:val="0"/>
                    <w:keepLines w:val="0"/>
                    <w:widowControl/>
                    <w:suppressLineNumbers w:val="0"/>
                    <w:jc w:val="center"/>
                    <w:textAlignment w:val="center"/>
                    <w:rPr>
                      <w:rFonts w:hint="default" w:eastAsia="宋体"/>
                      <w:color w:val="auto"/>
                      <w:sz w:val="21"/>
                      <w:szCs w:val="21"/>
                      <w:highlight w:val="none"/>
                      <w:lang w:val="en-US" w:eastAsia="zh-CN"/>
                    </w:rPr>
                  </w:pPr>
                  <w:r>
                    <w:rPr>
                      <w:rFonts w:hint="eastAsia"/>
                      <w:color w:val="auto"/>
                      <w:sz w:val="21"/>
                      <w:szCs w:val="21"/>
                      <w:highlight w:val="none"/>
                      <w:lang w:val="en-US" w:eastAsia="zh-CN"/>
                    </w:rPr>
                    <w:t>版刷机</w:t>
                  </w:r>
                </w:p>
              </w:tc>
              <w:tc>
                <w:tcPr>
                  <w:tcW w:w="930" w:type="dxa"/>
                  <w:vAlign w:val="center"/>
                </w:tcPr>
                <w:p>
                  <w:pPr>
                    <w:spacing w:line="240" w:lineRule="auto"/>
                    <w:jc w:val="center"/>
                    <w:rPr>
                      <w:rFonts w:hint="default"/>
                      <w:color w:val="auto"/>
                      <w:sz w:val="21"/>
                      <w:szCs w:val="21"/>
                      <w:highlight w:val="none"/>
                      <w:lang w:val="en-US"/>
                    </w:rPr>
                  </w:pPr>
                  <w:r>
                    <w:rPr>
                      <w:rFonts w:hint="eastAsia"/>
                      <w:color w:val="auto"/>
                      <w:sz w:val="21"/>
                      <w:szCs w:val="21"/>
                      <w:highlight w:val="none"/>
                      <w:lang w:val="en-US" w:eastAsia="zh-CN"/>
                    </w:rPr>
                    <w:t>15kw</w:t>
                  </w:r>
                </w:p>
              </w:tc>
              <w:tc>
                <w:tcPr>
                  <w:tcW w:w="1357" w:type="dxa"/>
                  <w:vAlign w:val="center"/>
                </w:tcPr>
                <w:p>
                  <w:pPr>
                    <w:spacing w:line="240" w:lineRule="auto"/>
                    <w:jc w:val="center"/>
                    <w:rPr>
                      <w:rFonts w:hint="eastAsia"/>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3</w:t>
                  </w:r>
                </w:p>
              </w:tc>
              <w:tc>
                <w:tcPr>
                  <w:tcW w:w="1251"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+3</w:t>
                  </w:r>
                </w:p>
              </w:tc>
              <w:tc>
                <w:tcPr>
                  <w:tcW w:w="1251"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胶合板刷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9</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冲孔机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1</w:t>
                  </w:r>
                </w:p>
              </w:tc>
              <w:tc>
                <w:tcPr>
                  <w:tcW w:w="1251" w:type="dxa"/>
                  <w:vMerge w:val="restar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冲孔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10</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冲眼机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1</w:t>
                  </w:r>
                </w:p>
              </w:tc>
              <w:tc>
                <w:tcPr>
                  <w:tcW w:w="1251" w:type="dxa"/>
                  <w:vMerge w:val="continue"/>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11</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打钉机</w:t>
                  </w:r>
                </w:p>
              </w:tc>
              <w:tc>
                <w:tcPr>
                  <w:tcW w:w="93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4</w:t>
                  </w:r>
                </w:p>
              </w:tc>
              <w:tc>
                <w:tcPr>
                  <w:tcW w:w="1251" w:type="dxa"/>
                  <w:vMerge w:val="restar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打钉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color w:val="auto"/>
                      <w:sz w:val="21"/>
                      <w:szCs w:val="21"/>
                      <w:highlight w:val="none"/>
                    </w:rPr>
                  </w:pPr>
                  <w:r>
                    <w:rPr>
                      <w:color w:val="auto"/>
                      <w:sz w:val="21"/>
                      <w:szCs w:val="21"/>
                      <w:highlight w:val="none"/>
                    </w:rPr>
                    <w:t>12</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装柄机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4</w:t>
                  </w:r>
                </w:p>
              </w:tc>
              <w:tc>
                <w:tcPr>
                  <w:tcW w:w="1251" w:type="dxa"/>
                  <w:vMerge w:val="continue"/>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13</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剪毛机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6</w:t>
                  </w:r>
                </w:p>
              </w:tc>
              <w:tc>
                <w:tcPr>
                  <w:tcW w:w="1251" w:type="dxa"/>
                  <w:vMerge w:val="restar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混丝</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14</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清毛机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3</w:t>
                  </w:r>
                </w:p>
              </w:tc>
              <w:tc>
                <w:tcPr>
                  <w:tcW w:w="1251" w:type="dxa"/>
                  <w:vMerge w:val="continue"/>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15</w:t>
                  </w:r>
                </w:p>
              </w:tc>
              <w:tc>
                <w:tcPr>
                  <w:tcW w:w="1354"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混丝机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1251" w:type="dxa"/>
                  <w:vAlign w:val="center"/>
                </w:tcPr>
                <w:p>
                  <w:pPr>
                    <w:keepNext w:val="0"/>
                    <w:keepLines w:val="0"/>
                    <w:widowControl/>
                    <w:suppressLineNumbers w:val="0"/>
                    <w:jc w:val="center"/>
                    <w:textAlignment w:val="center"/>
                    <w:rPr>
                      <w:rFonts w:hint="eastAsia" w:ascii="Times New Roman" w:hAnsi="Times New Roman"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3</w:t>
                  </w:r>
                </w:p>
              </w:tc>
              <w:tc>
                <w:tcPr>
                  <w:tcW w:w="1251" w:type="dxa"/>
                  <w:vMerge w:val="continue"/>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16</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灌胶机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1</w:t>
                  </w:r>
                </w:p>
              </w:tc>
              <w:tc>
                <w:tcPr>
                  <w:tcW w:w="1251" w:type="dxa"/>
                  <w:vMerge w:val="restart"/>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灌胶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17</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装毛机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6</w:t>
                  </w:r>
                </w:p>
              </w:tc>
              <w:tc>
                <w:tcPr>
                  <w:tcW w:w="1251" w:type="dxa"/>
                  <w:vMerge w:val="continue"/>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18</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注塑机</w:t>
                  </w:r>
                </w:p>
              </w:tc>
              <w:tc>
                <w:tcPr>
                  <w:tcW w:w="93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100T</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12</w:t>
                  </w:r>
                </w:p>
              </w:tc>
              <w:tc>
                <w:tcPr>
                  <w:tcW w:w="125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注塑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19</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冲压机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8</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8</w:t>
                  </w:r>
                </w:p>
              </w:tc>
              <w:tc>
                <w:tcPr>
                  <w:tcW w:w="125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冲压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502"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20</w:t>
                  </w:r>
                </w:p>
              </w:tc>
              <w:tc>
                <w:tcPr>
                  <w:tcW w:w="1354"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植绒机</w:t>
                  </w:r>
                </w:p>
              </w:tc>
              <w:tc>
                <w:tcPr>
                  <w:tcW w:w="930"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定制</w:t>
                  </w:r>
                </w:p>
              </w:tc>
              <w:tc>
                <w:tcPr>
                  <w:tcW w:w="1357"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251" w:type="dxa"/>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color w:val="auto"/>
                      <w:sz w:val="21"/>
                      <w:szCs w:val="21"/>
                      <w:highlight w:val="none"/>
                      <w:lang w:val="en-US" w:eastAsia="zh-CN"/>
                    </w:rPr>
                    <w:t>+</w:t>
                  </w:r>
                  <w:r>
                    <w:rPr>
                      <w:rFonts w:hint="eastAsia" w:ascii="Times New Roman" w:hAnsi="Times New Roman" w:eastAsia="宋体" w:cs="Times New Roman"/>
                      <w:color w:val="auto"/>
                      <w:sz w:val="21"/>
                      <w:szCs w:val="21"/>
                      <w:highlight w:val="none"/>
                      <w:lang w:val="en-US" w:eastAsia="zh-CN"/>
                    </w:rPr>
                    <w:t>1</w:t>
                  </w:r>
                </w:p>
              </w:tc>
              <w:tc>
                <w:tcPr>
                  <w:tcW w:w="125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植绒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2786" w:type="dxa"/>
                  <w:gridSpan w:val="3"/>
                  <w:vAlign w:val="center"/>
                </w:tcPr>
                <w:p>
                  <w:pPr>
                    <w:keepNext w:val="0"/>
                    <w:keepLines w:val="0"/>
                    <w:widowControl/>
                    <w:suppressLineNumbers w:val="0"/>
                    <w:jc w:val="center"/>
                    <w:textAlignment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合计</w:t>
                  </w:r>
                </w:p>
              </w:tc>
              <w:tc>
                <w:tcPr>
                  <w:tcW w:w="1357"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251"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79</w:t>
                  </w:r>
                </w:p>
              </w:tc>
              <w:tc>
                <w:tcPr>
                  <w:tcW w:w="1251" w:type="dxa"/>
                  <w:vAlign w:val="center"/>
                </w:tcPr>
                <w:p>
                  <w:pPr>
                    <w:keepNext w:val="0"/>
                    <w:keepLines w:val="0"/>
                    <w:widowControl/>
                    <w:suppressLineNumbers w:val="0"/>
                    <w:jc w:val="center"/>
                    <w:textAlignment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51" w:type="dxa"/>
                  <w:vAlign w:val="center"/>
                </w:tcPr>
                <w:p>
                  <w:pPr>
                    <w:keepNext w:val="0"/>
                    <w:keepLines w:val="0"/>
                    <w:widowControl/>
                    <w:suppressLineNumbers w:val="0"/>
                    <w:jc w:val="center"/>
                    <w:textAlignment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7896" w:type="dxa"/>
                  <w:gridSpan w:val="7"/>
                  <w:vAlign w:val="center"/>
                </w:tcPr>
                <w:p>
                  <w:pPr>
                    <w:keepNext w:val="0"/>
                    <w:keepLines w:val="0"/>
                    <w:widowControl/>
                    <w:suppressLineNumbers w:val="0"/>
                    <w:jc w:val="both"/>
                    <w:textAlignment w:val="center"/>
                    <w:rPr>
                      <w:rFonts w:hint="default" w:cs="Times New Roman"/>
                      <w:color w:val="auto"/>
                      <w:sz w:val="21"/>
                      <w:szCs w:val="21"/>
                      <w:highlight w:val="none"/>
                      <w:lang w:val="en-US" w:eastAsia="zh-CN"/>
                    </w:rPr>
                  </w:pPr>
                  <w:r>
                    <w:rPr>
                      <w:rFonts w:hint="eastAsia" w:cs="Times New Roman"/>
                      <w:color w:val="auto"/>
                      <w:sz w:val="18"/>
                      <w:szCs w:val="18"/>
                      <w:highlight w:val="none"/>
                      <w:lang w:val="en-US" w:eastAsia="zh-CN"/>
                    </w:rPr>
                    <w:t>注：现有项目设备中平切机、迷你刷切割机、迷你刷吸塑机、钻孔机、压条机等通过本次技改扩建项目淘汰更新。</w:t>
                  </w:r>
                </w:p>
              </w:tc>
            </w:tr>
          </w:tbl>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vertAlign w:val="baseline"/>
                <w:lang w:val="en-US" w:eastAsia="zh-CN"/>
              </w:rPr>
            </w:pPr>
            <w:r>
              <w:rPr>
                <w:rFonts w:hint="eastAsia" w:ascii="Times New Roman" w:hAnsi="Times New Roman" w:eastAsia="宋体" w:cs="Times New Roman"/>
                <w:b/>
                <w:color w:val="auto"/>
                <w:kern w:val="0"/>
                <w:sz w:val="24"/>
                <w:szCs w:val="24"/>
                <w:highlight w:val="none"/>
                <w:lang w:val="en-US" w:eastAsia="zh-CN"/>
              </w:rPr>
              <w:t>表2-3.2主要设备产能匹配性说明</w:t>
            </w:r>
          </w:p>
          <w:tbl>
            <w:tblPr>
              <w:tblStyle w:val="26"/>
              <w:tblW w:w="789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86"/>
              <w:gridCol w:w="986"/>
              <w:gridCol w:w="780"/>
              <w:gridCol w:w="1194"/>
              <w:gridCol w:w="966"/>
              <w:gridCol w:w="1110"/>
              <w:gridCol w:w="1100"/>
              <w:gridCol w:w="77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产品名称</w:t>
                  </w:r>
                </w:p>
              </w:tc>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设备名称</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数量（台）</w:t>
                  </w:r>
                </w:p>
              </w:tc>
              <w:tc>
                <w:tcPr>
                  <w:tcW w:w="11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单台设计产能</w:t>
                  </w:r>
                </w:p>
              </w:tc>
              <w:tc>
                <w:tcPr>
                  <w:tcW w:w="96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年运行时间（h）</w:t>
                  </w:r>
                </w:p>
              </w:tc>
              <w:tc>
                <w:tcPr>
                  <w:tcW w:w="111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设计产能合计</w:t>
                  </w:r>
                </w:p>
              </w:tc>
              <w:tc>
                <w:tcPr>
                  <w:tcW w:w="11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本项目产能</w:t>
                  </w:r>
                </w:p>
              </w:tc>
              <w:tc>
                <w:tcPr>
                  <w:tcW w:w="7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是否满足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8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滚筒刷</w:t>
                  </w:r>
                </w:p>
              </w:tc>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冲孔机</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w:t>
                  </w:r>
                </w:p>
              </w:tc>
              <w:tc>
                <w:tcPr>
                  <w:tcW w:w="11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25000套/h</w:t>
                  </w:r>
                </w:p>
              </w:tc>
              <w:tc>
                <w:tcPr>
                  <w:tcW w:w="96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2400</w:t>
                  </w:r>
                </w:p>
              </w:tc>
              <w:tc>
                <w:tcPr>
                  <w:tcW w:w="111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6000万套</w:t>
                  </w:r>
                </w:p>
              </w:tc>
              <w:tc>
                <w:tcPr>
                  <w:tcW w:w="1100"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5000万把</w:t>
                  </w:r>
                </w:p>
              </w:tc>
              <w:tc>
                <w:tcPr>
                  <w:tcW w:w="77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8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p>
              </w:tc>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冲眼机</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w:t>
                  </w:r>
                </w:p>
              </w:tc>
              <w:tc>
                <w:tcPr>
                  <w:tcW w:w="11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25000套/h</w:t>
                  </w:r>
                </w:p>
              </w:tc>
              <w:tc>
                <w:tcPr>
                  <w:tcW w:w="96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1"/>
                      <w:szCs w:val="21"/>
                      <w:highlight w:val="none"/>
                      <w:vertAlign w:val="baseline"/>
                      <w:lang w:val="en-US" w:eastAsia="zh-CN"/>
                    </w:rPr>
                  </w:pPr>
                </w:p>
              </w:tc>
              <w:tc>
                <w:tcPr>
                  <w:tcW w:w="111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6000万套</w:t>
                  </w:r>
                </w:p>
              </w:tc>
              <w:tc>
                <w:tcPr>
                  <w:tcW w:w="1100"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i w:val="0"/>
                      <w:iCs w:val="0"/>
                      <w:color w:val="auto"/>
                      <w:kern w:val="0"/>
                      <w:sz w:val="21"/>
                      <w:szCs w:val="21"/>
                      <w:highlight w:val="none"/>
                      <w:vertAlign w:val="baseline"/>
                      <w:lang w:val="en-US" w:eastAsia="zh-CN"/>
                    </w:rPr>
                  </w:pPr>
                </w:p>
              </w:tc>
              <w:tc>
                <w:tcPr>
                  <w:tcW w:w="77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i w:val="0"/>
                      <w:iCs w:val="0"/>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板刷</w:t>
                  </w:r>
                </w:p>
              </w:tc>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注塑机</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12</w:t>
                  </w:r>
                </w:p>
              </w:tc>
              <w:tc>
                <w:tcPr>
                  <w:tcW w:w="11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1750</w:t>
                  </w:r>
                  <w:r>
                    <w:rPr>
                      <w:rFonts w:hint="eastAsia" w:ascii="Times New Roman" w:hAnsi="Times New Roman" w:eastAsia="宋体" w:cs="Times New Roman"/>
                      <w:b w:val="0"/>
                      <w:bCs/>
                      <w:color w:val="auto"/>
                      <w:kern w:val="0"/>
                      <w:sz w:val="21"/>
                      <w:szCs w:val="21"/>
                      <w:highlight w:val="none"/>
                      <w:vertAlign w:val="baseline"/>
                      <w:lang w:val="en-US" w:eastAsia="zh-CN"/>
                    </w:rPr>
                    <w:t>件</w:t>
                  </w:r>
                  <w:r>
                    <w:rPr>
                      <w:rFonts w:hint="eastAsia" w:cs="Times New Roman"/>
                      <w:b w:val="0"/>
                      <w:bCs/>
                      <w:color w:val="auto"/>
                      <w:kern w:val="0"/>
                      <w:sz w:val="21"/>
                      <w:szCs w:val="21"/>
                      <w:highlight w:val="none"/>
                      <w:vertAlign w:val="baseline"/>
                      <w:lang w:val="en-US" w:eastAsia="zh-CN"/>
                    </w:rPr>
                    <w:t>/h</w:t>
                  </w:r>
                </w:p>
              </w:tc>
              <w:tc>
                <w:tcPr>
                  <w:tcW w:w="96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c>
                <w:tcPr>
                  <w:tcW w:w="111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5040万件</w:t>
                  </w:r>
                </w:p>
              </w:tc>
              <w:tc>
                <w:tcPr>
                  <w:tcW w:w="11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5000万把</w:t>
                  </w:r>
                </w:p>
              </w:tc>
              <w:tc>
                <w:tcPr>
                  <w:tcW w:w="7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漆刷</w:t>
                  </w:r>
                </w:p>
              </w:tc>
              <w:tc>
                <w:tcPr>
                  <w:tcW w:w="98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冲压机</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8</w:t>
                  </w:r>
                </w:p>
              </w:tc>
              <w:tc>
                <w:tcPr>
                  <w:tcW w:w="119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2900</w:t>
                  </w:r>
                  <w:r>
                    <w:rPr>
                      <w:rFonts w:hint="eastAsia" w:ascii="Times New Roman" w:hAnsi="Times New Roman" w:eastAsia="宋体" w:cs="Times New Roman"/>
                      <w:b w:val="0"/>
                      <w:bCs/>
                      <w:color w:val="auto"/>
                      <w:kern w:val="0"/>
                      <w:sz w:val="21"/>
                      <w:szCs w:val="21"/>
                      <w:highlight w:val="none"/>
                      <w:vertAlign w:val="baseline"/>
                      <w:lang w:val="en-US" w:eastAsia="zh-CN"/>
                    </w:rPr>
                    <w:t>件</w:t>
                  </w:r>
                  <w:r>
                    <w:rPr>
                      <w:rFonts w:hint="eastAsia" w:cs="Times New Roman"/>
                      <w:b w:val="0"/>
                      <w:bCs/>
                      <w:color w:val="auto"/>
                      <w:kern w:val="0"/>
                      <w:sz w:val="21"/>
                      <w:szCs w:val="21"/>
                      <w:highlight w:val="none"/>
                      <w:vertAlign w:val="baseline"/>
                      <w:lang w:val="en-US" w:eastAsia="zh-CN"/>
                    </w:rPr>
                    <w:t>/h</w:t>
                  </w:r>
                </w:p>
              </w:tc>
              <w:tc>
                <w:tcPr>
                  <w:tcW w:w="96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p>
              </w:tc>
              <w:tc>
                <w:tcPr>
                  <w:tcW w:w="111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5568</w:t>
                  </w:r>
                  <w:r>
                    <w:rPr>
                      <w:rFonts w:hint="eastAsia" w:ascii="Times New Roman" w:hAnsi="Times New Roman" w:eastAsia="宋体" w:cs="Times New Roman"/>
                      <w:b w:val="0"/>
                      <w:bCs/>
                      <w:color w:val="auto"/>
                      <w:kern w:val="0"/>
                      <w:sz w:val="21"/>
                      <w:szCs w:val="21"/>
                      <w:highlight w:val="none"/>
                      <w:vertAlign w:val="baseline"/>
                      <w:lang w:val="en-US" w:eastAsia="zh-CN"/>
                    </w:rPr>
                    <w:t>万件</w:t>
                  </w:r>
                </w:p>
              </w:tc>
              <w:tc>
                <w:tcPr>
                  <w:tcW w:w="110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5000万把</w:t>
                  </w:r>
                </w:p>
              </w:tc>
              <w:tc>
                <w:tcPr>
                  <w:tcW w:w="7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ascii="Times New Roman" w:hAnsi="Times New Roman" w:eastAsia="宋体" w:cs="Times New Roman"/>
                      <w:b w:val="0"/>
                      <w:bCs/>
                      <w:i w:val="0"/>
                      <w:iCs w:val="0"/>
                      <w:color w:val="auto"/>
                      <w:kern w:val="0"/>
                      <w:sz w:val="21"/>
                      <w:szCs w:val="21"/>
                      <w:highlight w:val="none"/>
                      <w:vertAlign w:val="baseline"/>
                      <w:lang w:val="en-US" w:eastAsia="zh-CN"/>
                    </w:rPr>
                    <w:t>是</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98" w:type="dxa"/>
                  <w:gridSpan w:val="8"/>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default" w:ascii="Times New Roman" w:hAnsi="Times New Roman" w:eastAsia="宋体" w:cs="Times New Roman"/>
                      <w:b w:val="0"/>
                      <w:bCs/>
                      <w:i w:val="0"/>
                      <w:iCs w:val="0"/>
                      <w:color w:val="auto"/>
                      <w:kern w:val="0"/>
                      <w:sz w:val="21"/>
                      <w:szCs w:val="21"/>
                      <w:highlight w:val="none"/>
                      <w:vertAlign w:val="baseline"/>
                      <w:lang w:val="en-US" w:eastAsia="zh-CN"/>
                    </w:rPr>
                  </w:pPr>
                  <w:r>
                    <w:rPr>
                      <w:rFonts w:hint="eastAsia" w:cs="Times New Roman"/>
                      <w:color w:val="auto"/>
                      <w:sz w:val="18"/>
                      <w:szCs w:val="18"/>
                      <w:highlight w:val="none"/>
                      <w:lang w:val="en-US" w:eastAsia="zh-CN"/>
                    </w:rPr>
                    <w:t>注：滚筒刷设备主要用于对海绵冲孔、冲眼。</w:t>
                  </w:r>
                </w:p>
              </w:tc>
            </w:tr>
          </w:tbl>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lang w:val="en-US" w:eastAsia="zh-CN"/>
              </w:rPr>
            </w:pPr>
          </w:p>
          <w:p>
            <w:pPr>
              <w:pStyle w:val="5"/>
              <w:adjustRightInd w:val="0"/>
              <w:snapToGrid w:val="0"/>
              <w:spacing w:before="0" w:after="0" w:line="360" w:lineRule="auto"/>
              <w:ind w:firstLine="482" w:firstLineChars="200"/>
              <w:jc w:val="left"/>
              <w:outlineLvl w:val="2"/>
              <w:rPr>
                <w:rFonts w:hint="eastAsia" w:ascii="Times New Roman" w:hAnsi="Times New Roman" w:eastAsia="宋体" w:cs="Times New Roman"/>
                <w:color w:val="auto"/>
                <w:kern w:val="0"/>
                <w:sz w:val="24"/>
                <w:szCs w:val="24"/>
                <w:highlight w:val="none"/>
                <w:lang w:val="en-US" w:eastAsia="zh-CN"/>
              </w:rPr>
            </w:pPr>
          </w:p>
          <w:p>
            <w:pPr>
              <w:jc w:val="both"/>
              <w:rPr>
                <w:rFonts w:hint="default"/>
                <w:color w:val="auto"/>
              </w:rPr>
            </w:pPr>
          </w:p>
        </w:tc>
      </w:tr>
    </w:tbl>
    <w:p>
      <w:pPr>
        <w:rPr>
          <w:rFonts w:hint="default" w:ascii="Times New Roman" w:hAnsi="Times New Roman" w:cs="Times New Roman"/>
          <w:color w:val="auto"/>
          <w:spacing w:val="-20"/>
          <w:kern w:val="0"/>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9"/>
        <w:gridCol w:w="137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c>
          <w:tcPr>
            <w:tcW w:w="429" w:type="dxa"/>
            <w:vAlign w:val="center"/>
          </w:tcPr>
          <w:p>
            <w:pPr>
              <w:jc w:val="center"/>
              <w:rPr>
                <w:rFonts w:hint="default" w:ascii="Times New Roman" w:hAnsi="Times New Roman" w:eastAsia="宋体" w:cs="Times New Roman"/>
                <w:color w:val="auto"/>
                <w:spacing w:val="-20"/>
                <w:kern w:val="0"/>
                <w:sz w:val="24"/>
                <w:szCs w:val="24"/>
                <w:highlight w:val="none"/>
              </w:rPr>
            </w:pPr>
            <w:r>
              <w:rPr>
                <w:rFonts w:hint="default" w:ascii="Times New Roman" w:hAnsi="Times New Roman" w:cs="Times New Roman"/>
                <w:color w:val="auto"/>
                <w:spacing w:val="-20"/>
                <w:kern w:val="0"/>
                <w:sz w:val="24"/>
                <w:szCs w:val="24"/>
                <w:highlight w:val="none"/>
              </w:rPr>
              <w:t>建</w:t>
            </w:r>
            <w:r>
              <w:rPr>
                <w:rFonts w:hint="default" w:ascii="Times New Roman" w:hAnsi="Times New Roman" w:cs="Times New Roman"/>
                <w:color w:val="auto"/>
                <w:spacing w:val="-18"/>
                <w:kern w:val="0"/>
                <w:sz w:val="24"/>
                <w:szCs w:val="24"/>
                <w:highlight w:val="none"/>
              </w:rPr>
              <w:t>设内容</w:t>
            </w:r>
          </w:p>
        </w:tc>
        <w:tc>
          <w:tcPr>
            <w:tcW w:w="13745" w:type="dxa"/>
          </w:tcPr>
          <w:p>
            <w:pPr>
              <w:pStyle w:val="5"/>
              <w:adjustRightInd w:val="0"/>
              <w:snapToGrid w:val="0"/>
              <w:spacing w:before="0" w:after="0" w:line="360" w:lineRule="auto"/>
              <w:ind w:firstLine="482" w:firstLineChars="200"/>
              <w:jc w:val="left"/>
              <w:outlineLvl w:val="2"/>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（3）主要原辅材料消耗情况</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主要原辅材料见表2-4。</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lang w:val="en-US" w:eastAsia="zh-CN"/>
              </w:rPr>
            </w:pPr>
            <w:r>
              <w:rPr>
                <w:rFonts w:hint="eastAsia" w:ascii="Times New Roman" w:hAnsi="Times New Roman" w:eastAsia="宋体" w:cs="Times New Roman"/>
                <w:b/>
                <w:color w:val="auto"/>
                <w:kern w:val="0"/>
                <w:sz w:val="24"/>
                <w:szCs w:val="24"/>
                <w:highlight w:val="none"/>
                <w:lang w:val="en-US" w:eastAsia="zh-CN"/>
              </w:rPr>
              <w:t>表2-4</w:t>
            </w:r>
            <w:r>
              <w:rPr>
                <w:rFonts w:hint="eastAsia" w:cs="Times New Roman"/>
                <w:b/>
                <w:color w:val="auto"/>
                <w:kern w:val="0"/>
                <w:sz w:val="24"/>
                <w:szCs w:val="24"/>
                <w:highlight w:val="none"/>
                <w:lang w:val="en-US" w:eastAsia="zh-CN"/>
              </w:rPr>
              <w:t>-1本项技改扩建后</w:t>
            </w:r>
            <w:r>
              <w:rPr>
                <w:rFonts w:hint="eastAsia" w:ascii="Times New Roman" w:hAnsi="Times New Roman" w:eastAsia="宋体" w:cs="Times New Roman"/>
                <w:b/>
                <w:color w:val="auto"/>
                <w:kern w:val="0"/>
                <w:sz w:val="24"/>
                <w:szCs w:val="24"/>
                <w:highlight w:val="none"/>
                <w:lang w:val="en-US" w:eastAsia="zh-CN"/>
              </w:rPr>
              <w:t>主要原辅材料消耗一览表（单位：t/a）</w:t>
            </w:r>
          </w:p>
          <w:tbl>
            <w:tblPr>
              <w:tblStyle w:val="26"/>
              <w:tblW w:w="13529"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333"/>
              <w:gridCol w:w="1204"/>
              <w:gridCol w:w="1207"/>
              <w:gridCol w:w="1502"/>
              <w:gridCol w:w="1502"/>
              <w:gridCol w:w="1375"/>
              <w:gridCol w:w="1456"/>
              <w:gridCol w:w="1015"/>
              <w:gridCol w:w="1080"/>
              <w:gridCol w:w="116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序号</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名称</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形态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规格/成分</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扩建前</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扩建后</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变化量</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最大储存量</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储存方式</w:t>
                  </w:r>
                </w:p>
              </w:tc>
              <w:tc>
                <w:tcPr>
                  <w:tcW w:w="1080" w:type="dxa"/>
                  <w:tcBorders>
                    <w:tl2br w:val="nil"/>
                    <w:tr2bl w:val="nil"/>
                  </w:tcBorders>
                  <w:vAlign w:val="center"/>
                </w:tcPr>
                <w:p>
                  <w:pPr>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储存位置</w:t>
                  </w:r>
                </w:p>
              </w:tc>
              <w:tc>
                <w:tcPr>
                  <w:tcW w:w="1166" w:type="dxa"/>
                  <w:tcBorders>
                    <w:tl2br w:val="nil"/>
                    <w:tr2bl w:val="nil"/>
                  </w:tcBorders>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海绵</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海绵</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170t</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700t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530t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olor w:val="auto"/>
                      <w:lang w:val="en-US" w:eastAsia="zh-CN"/>
                    </w:rPr>
                    <w:t>60t</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原料仓库</w:t>
                  </w:r>
                </w:p>
              </w:tc>
              <w:tc>
                <w:tcPr>
                  <w:tcW w:w="1166"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滚筒刷工序、板刷</w:t>
                  </w:r>
                  <w:r>
                    <w:rPr>
                      <w:rFonts w:hint="eastAsia"/>
                      <w:color w:val="auto"/>
                      <w:lang w:val="en-US" w:eastAsia="zh-CN"/>
                    </w:rPr>
                    <w:t>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手柄</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木头、塑料</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1200万个</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5000万个</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+3800万个</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80万个</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restart"/>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滚筒刷工序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尼龙管</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PA</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1200万个</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olor w:val="auto"/>
                      <w:lang w:val="en-US" w:eastAsia="zh-CN"/>
                    </w:rPr>
                    <w:t>5000万个</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+3800万个</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100万个</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滚架</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eastAsia"/>
                      <w:color w:val="auto"/>
                      <w:lang w:val="en-US" w:eastAsia="zh-CN"/>
                    </w:rPr>
                  </w:pPr>
                  <w:r>
                    <w:rPr>
                      <w:rFonts w:hint="eastAsia" w:cs="Times New Roman"/>
                      <w:b w:val="0"/>
                      <w:bCs w:val="0"/>
                      <w:color w:val="auto"/>
                      <w:sz w:val="21"/>
                      <w:szCs w:val="21"/>
                      <w:highlight w:val="none"/>
                      <w:lang w:val="en-US" w:eastAsia="zh-CN"/>
                    </w:rPr>
                    <w:t>5000万套</w:t>
                  </w:r>
                </w:p>
              </w:tc>
              <w:tc>
                <w:tcPr>
                  <w:tcW w:w="137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+5000万套</w:t>
                  </w:r>
                </w:p>
              </w:tc>
              <w:tc>
                <w:tcPr>
                  <w:tcW w:w="145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400</w:t>
                  </w:r>
                  <w:r>
                    <w:rPr>
                      <w:rFonts w:hint="eastAsia" w:cs="Times New Roman"/>
                      <w:b w:val="0"/>
                      <w:bCs w:val="0"/>
                      <w:color w:val="auto"/>
                      <w:sz w:val="21"/>
                      <w:szCs w:val="21"/>
                      <w:highlight w:val="none"/>
                      <w:lang w:val="en-US" w:eastAsia="zh-CN"/>
                    </w:rPr>
                    <w:t>万套</w:t>
                  </w:r>
                </w:p>
              </w:tc>
              <w:tc>
                <w:tcPr>
                  <w:tcW w:w="1015"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桶盖、筒头</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eastAsia"/>
                      <w:color w:val="auto"/>
                      <w:lang w:val="en-US" w:eastAsia="zh-CN"/>
                    </w:rPr>
                  </w:pPr>
                  <w:r>
                    <w:rPr>
                      <w:rFonts w:hint="eastAsia" w:cs="Times New Roman"/>
                      <w:b w:val="0"/>
                      <w:bCs w:val="0"/>
                      <w:color w:val="auto"/>
                      <w:sz w:val="21"/>
                      <w:szCs w:val="21"/>
                      <w:highlight w:val="none"/>
                      <w:lang w:val="en-US" w:eastAsia="zh-CN"/>
                    </w:rPr>
                    <w:t>5000万套</w:t>
                  </w:r>
                </w:p>
              </w:tc>
              <w:tc>
                <w:tcPr>
                  <w:tcW w:w="137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+5000万套</w:t>
                  </w:r>
                </w:p>
              </w:tc>
              <w:tc>
                <w:tcPr>
                  <w:tcW w:w="145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400</w:t>
                  </w:r>
                  <w:r>
                    <w:rPr>
                      <w:rFonts w:hint="eastAsia" w:cs="Times New Roman"/>
                      <w:b w:val="0"/>
                      <w:bCs w:val="0"/>
                      <w:color w:val="auto"/>
                      <w:sz w:val="21"/>
                      <w:szCs w:val="21"/>
                      <w:highlight w:val="none"/>
                      <w:lang w:val="en-US" w:eastAsia="zh-CN"/>
                    </w:rPr>
                    <w:t>万套</w:t>
                  </w:r>
                </w:p>
              </w:tc>
              <w:tc>
                <w:tcPr>
                  <w:tcW w:w="1015"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eastAsia" w:eastAsia="宋体" w:cs="Times New Roman"/>
                      <w:color w:val="auto"/>
                      <w:sz w:val="21"/>
                      <w:szCs w:val="21"/>
                      <w:highlight w:val="none"/>
                      <w:lang w:val="en-US" w:eastAsia="zh-CN"/>
                    </w:rPr>
                  </w:pPr>
                  <w:r>
                    <w:rPr>
                      <w:rFonts w:hint="eastAsia"/>
                      <w:color w:val="auto"/>
                      <w:lang w:val="en-US" w:eastAsia="zh-CN"/>
                    </w:rPr>
                    <w:t>6</w:t>
                  </w:r>
                </w:p>
              </w:tc>
              <w:tc>
                <w:tcPr>
                  <w:tcW w:w="1333"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聚氨酯AB胶</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见下表</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21t</w:t>
                  </w:r>
                </w:p>
              </w:tc>
              <w:tc>
                <w:tcPr>
                  <w:tcW w:w="1375"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color w:val="auto"/>
                      <w:sz w:val="21"/>
                      <w:szCs w:val="21"/>
                      <w:highlight w:val="none"/>
                      <w:lang w:val="en-US" w:eastAsia="zh-CN"/>
                    </w:rPr>
                    <w:t>+21t</w:t>
                  </w:r>
                </w:p>
              </w:tc>
              <w:tc>
                <w:tcPr>
                  <w:tcW w:w="145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015"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20kg/桶装</w:t>
                  </w:r>
                </w:p>
              </w:tc>
              <w:tc>
                <w:tcPr>
                  <w:tcW w:w="1080"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甲类库</w:t>
                  </w: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水性胶黏剂</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4t</w:t>
                  </w:r>
                </w:p>
              </w:tc>
              <w:tc>
                <w:tcPr>
                  <w:tcW w:w="1502"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375" w:type="dxa"/>
                  <w:tcBorders>
                    <w:tl2br w:val="nil"/>
                    <w:tr2bl w:val="nil"/>
                  </w:tcBorders>
                  <w:vAlign w:val="center"/>
                </w:tcPr>
                <w:p>
                  <w:pPr>
                    <w:spacing w:line="240" w:lineRule="auto"/>
                    <w:jc w:val="center"/>
                    <w:rPr>
                      <w:rFonts w:hint="eastAsia" w:cs="Times New Roman"/>
                      <w:b w:val="0"/>
                      <w:bCs w:val="0"/>
                      <w:color w:val="auto"/>
                      <w:sz w:val="21"/>
                      <w:szCs w:val="21"/>
                      <w:highlight w:val="none"/>
                      <w:lang w:val="en-US" w:eastAsia="zh-CN"/>
                    </w:rPr>
                  </w:pPr>
                  <w:r>
                    <w:rPr>
                      <w:rFonts w:hint="eastAsia" w:cs="Times New Roman"/>
                      <w:color w:val="auto"/>
                      <w:sz w:val="21"/>
                      <w:szCs w:val="21"/>
                      <w:highlight w:val="none"/>
                      <w:lang w:val="en-US" w:eastAsia="zh-CN"/>
                    </w:rPr>
                    <w:t>-4t</w:t>
                  </w:r>
                </w:p>
              </w:tc>
              <w:tc>
                <w:tcPr>
                  <w:tcW w:w="145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15"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1333" w:type="dxa"/>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PP</w:t>
                  </w:r>
                  <w:r>
                    <w:rPr>
                      <w:rFonts w:hint="eastAsia"/>
                      <w:color w:val="auto"/>
                      <w:lang w:val="en-US" w:eastAsia="zh-CN"/>
                    </w:rPr>
                    <w:t>粒子</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PP</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100t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w:t>
                  </w:r>
                  <w:r>
                    <w:rPr>
                      <w:rFonts w:hint="eastAsia" w:cs="Times New Roman"/>
                      <w:b w:val="0"/>
                      <w:bCs w:val="0"/>
                      <w:color w:val="auto"/>
                      <w:sz w:val="21"/>
                      <w:szCs w:val="21"/>
                      <w:highlight w:val="none"/>
                      <w:lang w:val="en-US" w:eastAsia="zh-CN"/>
                    </w:rPr>
                    <w:t>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8t</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原料仓库</w:t>
                  </w:r>
                </w:p>
              </w:tc>
              <w:tc>
                <w:tcPr>
                  <w:tcW w:w="1166"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板刷</w:t>
                  </w:r>
                </w:p>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色粉</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100kg</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+100kg</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100kg</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36" w:hRule="atLeast"/>
              </w:trPr>
              <w:tc>
                <w:tcPr>
                  <w:tcW w:w="68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PVC板</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PVC</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80万米</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220万米</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140万米</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140万米</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植绒毛</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4</w:t>
                  </w:r>
                  <w:r>
                    <w:rPr>
                      <w:rFonts w:hint="eastAsia" w:cs="Times New Roman"/>
                      <w:color w:val="auto"/>
                      <w:sz w:val="21"/>
                      <w:szCs w:val="21"/>
                      <w:highlight w:val="none"/>
                      <w:lang w:val="en-US" w:eastAsia="zh-CN"/>
                    </w:rPr>
                    <w:t>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default"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default"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olor w:val="auto"/>
                      <w:lang w:val="en-US" w:eastAsia="zh-CN"/>
                    </w:rPr>
                    <w:t>水基型胶黏剂</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见下表</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w:t>
                  </w:r>
                  <w:r>
                    <w:rPr>
                      <w:rFonts w:hint="eastAsia" w:cs="Times New Roman"/>
                      <w:color w:val="auto"/>
                      <w:sz w:val="21"/>
                      <w:szCs w:val="21"/>
                      <w:highlight w:val="none"/>
                      <w:lang w:val="en-US" w:eastAsia="zh-CN"/>
                    </w:rPr>
                    <w:t>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20kg/桶装</w:t>
                  </w:r>
                </w:p>
              </w:tc>
              <w:tc>
                <w:tcPr>
                  <w:tcW w:w="1080"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甲类库</w:t>
                  </w:r>
                </w:p>
              </w:tc>
              <w:tc>
                <w:tcPr>
                  <w:tcW w:w="1166" w:type="dxa"/>
                  <w:vMerge w:val="continue"/>
                  <w:tcBorders>
                    <w:tl2br w:val="nil"/>
                    <w:tr2bl w:val="nil"/>
                  </w:tcBorders>
                  <w:vAlign w:val="center"/>
                </w:tcPr>
                <w:p>
                  <w:pPr>
                    <w:spacing w:line="240" w:lineRule="auto"/>
                    <w:jc w:val="center"/>
                    <w:rPr>
                      <w:rFonts w:hint="default"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1333" w:type="dxa"/>
                  <w:tcBorders>
                    <w:tl2br w:val="nil"/>
                    <w:tr2bl w:val="nil"/>
                  </w:tcBorders>
                  <w:vAlign w:val="center"/>
                </w:tcPr>
                <w:p>
                  <w:pPr>
                    <w:spacing w:line="240" w:lineRule="auto"/>
                    <w:jc w:val="center"/>
                    <w:rPr>
                      <w:color w:val="auto"/>
                    </w:rPr>
                  </w:pPr>
                  <w:r>
                    <w:rPr>
                      <w:rFonts w:hint="eastAsia" w:cs="Times New Roman"/>
                      <w:color w:val="auto"/>
                      <w:sz w:val="21"/>
                      <w:szCs w:val="21"/>
                      <w:highlight w:val="none"/>
                      <w:lang w:val="en-US" w:eastAsia="zh-CN"/>
                    </w:rPr>
                    <w:t>植绒胶</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见下表</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15t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+15t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桶装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14</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水性胶黏剂</w:t>
                  </w:r>
                </w:p>
              </w:tc>
              <w:tc>
                <w:tcPr>
                  <w:tcW w:w="120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6t</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15"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15</w:t>
                  </w:r>
                </w:p>
              </w:tc>
              <w:tc>
                <w:tcPr>
                  <w:tcW w:w="1333" w:type="dxa"/>
                  <w:tcBorders>
                    <w:tl2br w:val="nil"/>
                    <w:tr2bl w:val="nil"/>
                  </w:tcBorders>
                  <w:vAlign w:val="center"/>
                </w:tcPr>
                <w:p>
                  <w:pPr>
                    <w:spacing w:line="240" w:lineRule="auto"/>
                    <w:jc w:val="center"/>
                    <w:rPr>
                      <w:rFonts w:hint="default"/>
                      <w:color w:val="auto"/>
                      <w:lang w:val="en-US"/>
                    </w:rPr>
                  </w:pPr>
                  <w:r>
                    <w:rPr>
                      <w:rFonts w:hint="eastAsia"/>
                      <w:color w:val="auto"/>
                      <w:lang w:val="en-US" w:eastAsia="zh-CN"/>
                    </w:rPr>
                    <w:t>环氧树脂胶</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见下表</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20kg/桶装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漆刷工序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16</w:t>
                  </w:r>
                </w:p>
              </w:tc>
              <w:tc>
                <w:tcPr>
                  <w:tcW w:w="1333"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水性漆</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见下表</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9.</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+9</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20kg/桶装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17</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毛丝</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240t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+240t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原料仓库</w:t>
                  </w: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18</w:t>
                  </w:r>
                </w:p>
              </w:tc>
              <w:tc>
                <w:tcPr>
                  <w:tcW w:w="133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铁皮</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铁</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300t</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+300t</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5t</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19</w:t>
                  </w:r>
                </w:p>
              </w:tc>
              <w:tc>
                <w:tcPr>
                  <w:tcW w:w="1333"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木柄</w:t>
                  </w:r>
                </w:p>
              </w:tc>
              <w:tc>
                <w:tcPr>
                  <w:tcW w:w="120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固态</w:t>
                  </w:r>
                </w:p>
              </w:tc>
              <w:tc>
                <w:tcPr>
                  <w:tcW w:w="1207"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木头</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0</w:t>
                  </w:r>
                </w:p>
              </w:tc>
              <w:tc>
                <w:tcPr>
                  <w:tcW w:w="1502" w:type="dxa"/>
                  <w:tcBorders>
                    <w:tl2br w:val="nil"/>
                    <w:tr2bl w:val="nil"/>
                  </w:tcBorders>
                  <w:vAlign w:val="center"/>
                </w:tcPr>
                <w:p>
                  <w:pPr>
                    <w:spacing w:line="240" w:lineRule="auto"/>
                    <w:jc w:val="center"/>
                    <w:rPr>
                      <w:rFonts w:hint="default" w:ascii="Times New Roman" w:hAnsi="Times New Roman" w:eastAsia="宋体"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5000万个</w:t>
                  </w:r>
                </w:p>
              </w:tc>
              <w:tc>
                <w:tcPr>
                  <w:tcW w:w="137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b w:val="0"/>
                      <w:bCs w:val="0"/>
                      <w:color w:val="auto"/>
                      <w:sz w:val="21"/>
                      <w:szCs w:val="21"/>
                      <w:highlight w:val="none"/>
                      <w:lang w:val="en-US" w:eastAsia="zh-CN"/>
                    </w:rPr>
                    <w:t>+5000万个</w:t>
                  </w:r>
                </w:p>
              </w:tc>
              <w:tc>
                <w:tcPr>
                  <w:tcW w:w="1456"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400</w:t>
                  </w:r>
                  <w:r>
                    <w:rPr>
                      <w:rFonts w:hint="eastAsia" w:cs="Times New Roman"/>
                      <w:b w:val="0"/>
                      <w:bCs w:val="0"/>
                      <w:color w:val="auto"/>
                      <w:sz w:val="21"/>
                      <w:szCs w:val="21"/>
                      <w:highlight w:val="none"/>
                      <w:lang w:val="en-US" w:eastAsia="zh-CN"/>
                    </w:rPr>
                    <w:t>万个</w:t>
                  </w:r>
                </w:p>
              </w:tc>
              <w:tc>
                <w:tcPr>
                  <w:tcW w:w="1015"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袋装</w:t>
                  </w:r>
                </w:p>
              </w:tc>
              <w:tc>
                <w:tcPr>
                  <w:tcW w:w="1080"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166"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68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w:t>
                  </w:r>
                </w:p>
              </w:tc>
              <w:tc>
                <w:tcPr>
                  <w:tcW w:w="1333"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机油</w:t>
                  </w:r>
                </w:p>
              </w:tc>
              <w:tc>
                <w:tcPr>
                  <w:tcW w:w="120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液态</w:t>
                  </w:r>
                </w:p>
              </w:tc>
              <w:tc>
                <w:tcPr>
                  <w:tcW w:w="120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502" w:type="dxa"/>
                  <w:tcBorders>
                    <w:tl2br w:val="nil"/>
                    <w:tr2bl w:val="nil"/>
                  </w:tcBorders>
                  <w:vAlign w:val="center"/>
                </w:tcPr>
                <w:p>
                  <w:pPr>
                    <w:spacing w:line="240" w:lineRule="auto"/>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50kg</w:t>
                  </w:r>
                </w:p>
              </w:tc>
              <w:tc>
                <w:tcPr>
                  <w:tcW w:w="1502" w:type="dxa"/>
                  <w:tcBorders>
                    <w:tl2br w:val="nil"/>
                    <w:tr2bl w:val="nil"/>
                  </w:tcBorders>
                  <w:vAlign w:val="center"/>
                </w:tcPr>
                <w:p>
                  <w:pPr>
                    <w:spacing w:line="240" w:lineRule="auto"/>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100kg</w:t>
                  </w:r>
                </w:p>
              </w:tc>
              <w:tc>
                <w:tcPr>
                  <w:tcW w:w="1375" w:type="dxa"/>
                  <w:tcBorders>
                    <w:tl2br w:val="nil"/>
                    <w:tr2bl w:val="nil"/>
                  </w:tcBorders>
                  <w:vAlign w:val="center"/>
                </w:tcPr>
                <w:p>
                  <w:pPr>
                    <w:spacing w:line="240" w:lineRule="auto"/>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50kg</w:t>
                  </w:r>
                </w:p>
              </w:tc>
              <w:tc>
                <w:tcPr>
                  <w:tcW w:w="1456"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50kg</w:t>
                  </w:r>
                </w:p>
              </w:tc>
              <w:tc>
                <w:tcPr>
                  <w:tcW w:w="1015"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桶装</w:t>
                  </w:r>
                </w:p>
              </w:tc>
              <w:tc>
                <w:tcPr>
                  <w:tcW w:w="10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甲类库</w:t>
                  </w:r>
                </w:p>
              </w:tc>
              <w:tc>
                <w:tcPr>
                  <w:tcW w:w="1166"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维修保养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529" w:type="dxa"/>
                  <w:gridSpan w:val="11"/>
                  <w:tcBorders>
                    <w:tl2br w:val="nil"/>
                    <w:tr2bl w:val="nil"/>
                  </w:tcBorders>
                  <w:vAlign w:val="center"/>
                </w:tcPr>
                <w:p>
                  <w:pPr>
                    <w:spacing w:line="240" w:lineRule="auto"/>
                    <w:jc w:val="both"/>
                    <w:rPr>
                      <w:rFonts w:hint="default" w:cs="Times New Roman"/>
                      <w:color w:val="auto"/>
                      <w:sz w:val="21"/>
                      <w:szCs w:val="21"/>
                      <w:highlight w:val="none"/>
                      <w:lang w:val="en-US" w:eastAsia="zh-CN"/>
                    </w:rPr>
                  </w:pPr>
                  <w:r>
                    <w:rPr>
                      <w:rFonts w:hint="eastAsia" w:cs="Times New Roman"/>
                      <w:color w:val="auto"/>
                      <w:sz w:val="18"/>
                      <w:szCs w:val="18"/>
                      <w:highlight w:val="none"/>
                      <w:lang w:val="en-US" w:eastAsia="zh-CN"/>
                    </w:rPr>
                    <w:t>注：由于现有项目使用水性胶黏剂的部分产品存在质量缺陷，未满足产品质量要求，本项目技改扩建后滚筒刷水性胶黏剂更新为聚氨酯AB胶，板刷水性胶黏剂更新为植绒胶和水基型胶黏剂。</w:t>
                  </w:r>
                </w:p>
              </w:tc>
            </w:tr>
          </w:tbl>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4"/>
                <w:szCs w:val="24"/>
                <w:highlight w:val="none"/>
                <w:lang w:val="en-US" w:eastAsia="zh-CN"/>
              </w:rPr>
            </w:pPr>
          </w:p>
          <w:p>
            <w:pPr>
              <w:autoSpaceDE w:val="0"/>
              <w:autoSpaceDN w:val="0"/>
              <w:adjustRightInd w:val="0"/>
              <w:snapToGrid w:val="0"/>
              <w:spacing w:line="360" w:lineRule="auto"/>
              <w:ind w:firstLine="482" w:firstLineChars="200"/>
              <w:rPr>
                <w:rFonts w:hint="eastAsia" w:cs="Times New Roman"/>
                <w:color w:val="auto"/>
                <w:kern w:val="0"/>
                <w:sz w:val="24"/>
                <w:szCs w:val="24"/>
                <w:highlight w:val="none"/>
                <w:lang w:val="en-US" w:eastAsia="zh-CN"/>
              </w:rPr>
            </w:pPr>
            <w:r>
              <w:rPr>
                <w:rFonts w:hint="eastAsia" w:cs="Times New Roman"/>
                <w:b/>
                <w:bCs/>
                <w:color w:val="auto"/>
                <w:kern w:val="0"/>
                <w:sz w:val="24"/>
                <w:szCs w:val="24"/>
                <w:highlight w:val="none"/>
                <w:lang w:val="en-US" w:eastAsia="zh-CN"/>
              </w:rPr>
              <w:t>原料与产能匹配性相符性分析</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本项目扩建后全厂产能为5000万把滚筒刷、5000万把板刷、5000万把漆刷。</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其中滚筒刷主要原料为海绵、手柄、尼龙管、滚架、桶盖、筒头等，其中手柄、尼龙管、滚架、桶盖、筒头属于组装原料，过程无损耗，扩建后全厂原料使用量与产能相符，每万把滚筒刷使用海绵约0.1t/a（包含生产过程损耗），总用量500t/a，与原料用量相符；</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板刷主要原料为海绵、PP粒子、PVC板材，每万把板刷使用PP粒子约200kg，PVC板材约440m，海绵约0.04t/a（包含生产过程损耗），总用量PP粒子100t，PVC板材220万m，海绵200t，扩建后全厂原料使用量与产能相符；</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漆刷主要原料为毛丝、铁皮、木柄，木柄属于组装原料，过程无损耗，扩建后全厂原料使用量与产能相符，每万把漆刷使用毛丝约0.048t，铁皮0.06t（包含生产过程损耗），总用量毛丝240t，铁皮300t，扩建后全厂原料使用量与产能相符。</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p>
        </w:tc>
      </w:tr>
    </w:tbl>
    <w:p>
      <w:pPr>
        <w:pStyle w:val="33"/>
        <w:rPr>
          <w:rFonts w:hint="default"/>
          <w:color w:val="auto"/>
        </w:rPr>
        <w:sectPr>
          <w:pgSz w:w="16838" w:h="11906" w:orient="landscape"/>
          <w:pgMar w:top="1800" w:right="1440" w:bottom="1800"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8"/>
        <w:gridCol w:w="80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7" w:hRule="atLeast"/>
        </w:trPr>
        <w:tc>
          <w:tcPr>
            <w:tcW w:w="438" w:type="dxa"/>
            <w:vAlign w:val="center"/>
          </w:tcPr>
          <w:p>
            <w:pPr>
              <w:pStyle w:val="22"/>
              <w:adjustRightInd w:val="0"/>
              <w:snapToGrid w:val="0"/>
              <w:spacing w:before="0" w:beforeAutospacing="0" w:after="0" w:afterAutospacing="0"/>
              <w:jc w:val="center"/>
              <w:rPr>
                <w:rFonts w:hint="default" w:ascii="Times New Roman" w:hAnsi="Times New Roman" w:eastAsia="宋体" w:cs="Times New Roman"/>
                <w:b/>
                <w:bCs/>
                <w:color w:val="auto"/>
                <w:sz w:val="24"/>
                <w:szCs w:val="24"/>
              </w:rPr>
            </w:pPr>
            <w:r>
              <w:rPr>
                <w:rFonts w:hint="default" w:ascii="Times New Roman" w:hAnsi="Times New Roman" w:cs="Times New Roman"/>
                <w:color w:val="auto"/>
                <w:spacing w:val="-20"/>
                <w:kern w:val="0"/>
                <w:sz w:val="24"/>
                <w:szCs w:val="24"/>
                <w:highlight w:val="none"/>
              </w:rPr>
              <w:t>建</w:t>
            </w:r>
            <w:r>
              <w:rPr>
                <w:rFonts w:hint="default" w:ascii="Times New Roman" w:hAnsi="Times New Roman" w:cs="Times New Roman"/>
                <w:color w:val="auto"/>
                <w:spacing w:val="-18"/>
                <w:kern w:val="0"/>
                <w:sz w:val="24"/>
                <w:szCs w:val="24"/>
                <w:highlight w:val="none"/>
              </w:rPr>
              <w:t>设内容</w:t>
            </w:r>
          </w:p>
        </w:tc>
        <w:tc>
          <w:tcPr>
            <w:tcW w:w="8084" w:type="dxa"/>
          </w:tcPr>
          <w:p>
            <w:pPr>
              <w:autoSpaceDE w:val="0"/>
              <w:autoSpaceDN w:val="0"/>
              <w:adjustRightInd w:val="0"/>
              <w:snapToGrid w:val="0"/>
              <w:spacing w:line="360" w:lineRule="auto"/>
              <w:ind w:firstLine="482" w:firstLineChars="200"/>
              <w:rPr>
                <w:rFonts w:hint="eastAsia"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水性涂料用量核算：</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本项目产品涂装工艺为浸漆（涂），项目使用的水性漆经外购后在厂区无需进行调配可直接使用。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a.涂料用量采用以下计算公式： </w:t>
            </w:r>
          </w:p>
          <w:p>
            <w:pPr>
              <w:autoSpaceDE w:val="0"/>
              <w:autoSpaceDN w:val="0"/>
              <w:adjustRightInd w:val="0"/>
              <w:snapToGrid w:val="0"/>
              <w:spacing w:line="360" w:lineRule="auto"/>
              <w:ind w:firstLine="480" w:firstLineChars="200"/>
              <w:jc w:val="center"/>
              <w:rPr>
                <w:rFonts w:hint="default" w:ascii="Times New Roman" w:hAnsi="Times New Roman"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m=ρδs×10-6/（NV·ε）</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其中：m——漆料总用量（t/a）；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ρ</w:t>
            </w:r>
            <w:r>
              <w:rPr>
                <w:rFonts w:hint="eastAsia" w:cs="Times New Roman"/>
                <w:color w:val="auto"/>
                <w:kern w:val="0"/>
                <w:sz w:val="24"/>
                <w:szCs w:val="24"/>
                <w:highlight w:val="none"/>
                <w:lang w:val="en-US" w:eastAsia="zh-CN"/>
              </w:rPr>
              <w:t>——漆料密度（g/cm</w:t>
            </w:r>
            <w:r>
              <w:rPr>
                <w:rFonts w:hint="eastAsia" w:cs="Times New Roman"/>
                <w:color w:val="auto"/>
                <w:kern w:val="0"/>
                <w:sz w:val="24"/>
                <w:szCs w:val="24"/>
                <w:highlight w:val="none"/>
                <w:vertAlign w:val="superscript"/>
                <w:lang w:val="en-US" w:eastAsia="zh-CN"/>
              </w:rPr>
              <w:t>3</w:t>
            </w:r>
            <w:r>
              <w:rPr>
                <w:rFonts w:hint="eastAsia" w:cs="Times New Roman"/>
                <w:color w:val="auto"/>
                <w:kern w:val="0"/>
                <w:sz w:val="24"/>
                <w:szCs w:val="24"/>
                <w:highlight w:val="none"/>
                <w:lang w:val="en-US" w:eastAsia="zh-CN"/>
              </w:rPr>
              <w:t xml:space="preserve">）；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δ</w:t>
            </w:r>
            <w:r>
              <w:rPr>
                <w:rFonts w:hint="eastAsia" w:cs="Times New Roman"/>
                <w:color w:val="auto"/>
                <w:kern w:val="0"/>
                <w:sz w:val="24"/>
                <w:szCs w:val="24"/>
                <w:highlight w:val="none"/>
                <w:lang w:val="en-US" w:eastAsia="zh-CN"/>
              </w:rPr>
              <w:t>——涂层厚度（</w:t>
            </w:r>
            <w:r>
              <w:rPr>
                <w:rFonts w:hint="default" w:ascii="Times New Roman" w:hAnsi="Times New Roman" w:cs="Times New Roman"/>
                <w:color w:val="auto"/>
                <w:kern w:val="0"/>
                <w:sz w:val="24"/>
                <w:szCs w:val="24"/>
                <w:highlight w:val="none"/>
                <w:lang w:val="en-US" w:eastAsia="zh-CN"/>
              </w:rPr>
              <w:t>μ</w:t>
            </w:r>
            <w:r>
              <w:rPr>
                <w:rFonts w:hint="eastAsia" w:cs="Times New Roman"/>
                <w:color w:val="auto"/>
                <w:kern w:val="0"/>
                <w:sz w:val="24"/>
                <w:szCs w:val="24"/>
                <w:highlight w:val="none"/>
                <w:lang w:val="en-US" w:eastAsia="zh-CN"/>
              </w:rPr>
              <w:t xml:space="preserve">m）；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s——喷漆总面积（m</w:t>
            </w:r>
            <w:r>
              <w:rPr>
                <w:rFonts w:hint="eastAsia" w:cs="Times New Roman"/>
                <w:color w:val="auto"/>
                <w:kern w:val="0"/>
                <w:sz w:val="24"/>
                <w:szCs w:val="24"/>
                <w:highlight w:val="none"/>
                <w:vertAlign w:val="superscript"/>
                <w:lang w:val="en-US" w:eastAsia="zh-CN"/>
              </w:rPr>
              <w:t>2</w:t>
            </w:r>
            <w:r>
              <w:rPr>
                <w:rFonts w:hint="eastAsia" w:cs="Times New Roman"/>
                <w:color w:val="auto"/>
                <w:kern w:val="0"/>
                <w:sz w:val="24"/>
                <w:szCs w:val="24"/>
                <w:highlight w:val="none"/>
                <w:lang w:val="en-US" w:eastAsia="zh-CN"/>
              </w:rPr>
              <w:t xml:space="preserve">/年）；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NV——漆料中（已配好）的固体份占比（%）； </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lang w:val="en-US" w:eastAsia="zh-CN"/>
              </w:rPr>
              <w:t>ε</w:t>
            </w:r>
            <w:r>
              <w:rPr>
                <w:rFonts w:hint="eastAsia" w:cs="Times New Roman"/>
                <w:color w:val="auto"/>
                <w:kern w:val="0"/>
                <w:sz w:val="24"/>
                <w:szCs w:val="24"/>
                <w:highlight w:val="none"/>
                <w:lang w:val="en-US" w:eastAsia="zh-CN"/>
              </w:rPr>
              <w:t>——上漆率。</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b.参数选定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①漆料密度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根据厂家提供的MSDS，工业防护水性漆密度约为1.09g/cm</w:t>
            </w:r>
            <w:r>
              <w:rPr>
                <w:rFonts w:hint="eastAsia" w:cs="Times New Roman"/>
                <w:color w:val="auto"/>
                <w:kern w:val="0"/>
                <w:sz w:val="24"/>
                <w:szCs w:val="24"/>
                <w:highlight w:val="none"/>
                <w:vertAlign w:val="superscript"/>
                <w:lang w:val="en-US" w:eastAsia="zh-CN"/>
              </w:rPr>
              <w:t>3</w:t>
            </w:r>
            <w:r>
              <w:rPr>
                <w:rFonts w:hint="eastAsia" w:cs="Times New Roman"/>
                <w:color w:val="auto"/>
                <w:kern w:val="0"/>
                <w:sz w:val="24"/>
                <w:szCs w:val="24"/>
                <w:highlight w:val="none"/>
                <w:lang w:val="en-US" w:eastAsia="zh-CN"/>
              </w:rPr>
              <w:t xml:space="preserve">。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②涂层厚度 </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公式中的涂层厚度指涂层的漆膜厚度，根据建设单位提供的产品技术参数，漆膜厚度约为35-40</w:t>
            </w:r>
            <w:r>
              <w:rPr>
                <w:rFonts w:hint="default" w:ascii="Times New Roman" w:hAnsi="Times New Roman" w:cs="Times New Roman"/>
                <w:color w:val="auto"/>
                <w:kern w:val="0"/>
                <w:sz w:val="24"/>
                <w:szCs w:val="24"/>
                <w:highlight w:val="none"/>
                <w:lang w:val="en-US" w:eastAsia="zh-CN"/>
              </w:rPr>
              <w:t>μ</w:t>
            </w:r>
            <w:r>
              <w:rPr>
                <w:rFonts w:hint="eastAsia" w:cs="Times New Roman"/>
                <w:color w:val="auto"/>
                <w:kern w:val="0"/>
                <w:sz w:val="24"/>
                <w:szCs w:val="24"/>
                <w:highlight w:val="none"/>
                <w:lang w:val="en-US" w:eastAsia="zh-CN"/>
              </w:rPr>
              <w:t>m</w:t>
            </w:r>
            <w:r>
              <w:rPr>
                <w:rFonts w:hint="eastAsia" w:cs="Times New Roman"/>
                <w:color w:val="auto"/>
                <w:kern w:val="0"/>
                <w:sz w:val="24"/>
                <w:szCs w:val="24"/>
                <w:highlight w:val="none"/>
                <w:u w:val="none"/>
                <w:lang w:val="en-US" w:eastAsia="zh-CN"/>
              </w:rPr>
              <w:t>，本次评价取37</w:t>
            </w:r>
            <w:r>
              <w:rPr>
                <w:rFonts w:hint="default" w:ascii="Times New Roman" w:hAnsi="Times New Roman" w:cs="Times New Roman"/>
                <w:color w:val="auto"/>
                <w:kern w:val="0"/>
                <w:sz w:val="24"/>
                <w:szCs w:val="24"/>
                <w:highlight w:val="none"/>
                <w:u w:val="none"/>
                <w:lang w:val="en-US" w:eastAsia="zh-CN"/>
              </w:rPr>
              <w:t>μ</w:t>
            </w:r>
            <w:r>
              <w:rPr>
                <w:rFonts w:hint="eastAsia" w:cs="Times New Roman"/>
                <w:color w:val="auto"/>
                <w:kern w:val="0"/>
                <w:sz w:val="24"/>
                <w:szCs w:val="24"/>
                <w:highlight w:val="none"/>
                <w:u w:val="none"/>
                <w:lang w:val="en-US" w:eastAsia="zh-CN"/>
              </w:rPr>
              <w:t>m。</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③涂装面积</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根据建设单位提供的产品技术参数，单个漆刷浸漆面积约20cm</w:t>
            </w:r>
            <w:r>
              <w:rPr>
                <w:rFonts w:hint="eastAsia" w:cs="Times New Roman"/>
                <w:color w:val="auto"/>
                <w:kern w:val="0"/>
                <w:sz w:val="24"/>
                <w:szCs w:val="24"/>
                <w:highlight w:val="none"/>
                <w:vertAlign w:val="superscript"/>
                <w:lang w:val="en-US" w:eastAsia="zh-CN"/>
              </w:rPr>
              <w:t>2</w:t>
            </w:r>
            <w:r>
              <w:rPr>
                <w:rFonts w:hint="eastAsia" w:cs="Times New Roman"/>
                <w:color w:val="auto"/>
                <w:kern w:val="0"/>
                <w:sz w:val="24"/>
                <w:szCs w:val="24"/>
                <w:highlight w:val="none"/>
                <w:lang w:val="en-US" w:eastAsia="zh-CN"/>
              </w:rPr>
              <w:t>，则本项目水性涂料总涂装面积为100000m</w:t>
            </w:r>
            <w:r>
              <w:rPr>
                <w:rFonts w:hint="eastAsia" w:cs="Times New Roman"/>
                <w:color w:val="auto"/>
                <w:kern w:val="0"/>
                <w:sz w:val="24"/>
                <w:szCs w:val="24"/>
                <w:highlight w:val="none"/>
                <w:vertAlign w:val="superscript"/>
                <w:lang w:val="en-US" w:eastAsia="zh-CN"/>
              </w:rPr>
              <w:t>2</w:t>
            </w:r>
            <w:r>
              <w:rPr>
                <w:rFonts w:hint="eastAsia" w:cs="Times New Roman"/>
                <w:color w:val="auto"/>
                <w:kern w:val="0"/>
                <w:sz w:val="24"/>
                <w:szCs w:val="24"/>
                <w:highlight w:val="none"/>
                <w:lang w:val="en-US" w:eastAsia="zh-CN"/>
              </w:rPr>
              <w:t>/a。</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④漆中固体份</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固体份指涂料中非挥发性成分与液态涂料的质量比，本项目漆料固体份按照最不利取50%。</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⑤上漆率</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采用浸漆方式，上漆率取90%（本项目主要浸漆产品为漆刷，参考《家具制造工业污染防治可行技术指南》（HJ11802021）5.1.2.3，辊涂/淋涂技术涂料利用率为90%以上。本项目采用浸漆工艺，参考《现代涂装手册》陈治良主编，14.1浸 涂14.1.1概述“浸涂是将被涂物浸入涂料中，使被涂物表面黏附涂料，滴去余漆形成漆膜的一种传统涂装方法。浸涂设备简单。容易实现机械化作业，操作简便，生产效率高，涂料损失少。”，较淋涂相比，浸涂过程中涂料中的固份可完全黏附到工件表面，涂料损失更少，但考虑到实际生产过程中会有疏漏，本环评浸涂工艺的上漆率取90%）。</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lang w:val="en-US" w:eastAsia="zh-CN"/>
              </w:rPr>
            </w:pPr>
            <w:r>
              <w:rPr>
                <w:rFonts w:hint="eastAsia" w:ascii="Times New Roman" w:hAnsi="Times New Roman" w:eastAsia="宋体" w:cs="Times New Roman"/>
                <w:b/>
                <w:color w:val="auto"/>
                <w:kern w:val="0"/>
                <w:sz w:val="24"/>
                <w:szCs w:val="24"/>
                <w:highlight w:val="none"/>
                <w:lang w:val="en-US" w:eastAsia="zh-CN"/>
              </w:rPr>
              <w:t>表2-4-</w:t>
            </w:r>
            <w:r>
              <w:rPr>
                <w:rFonts w:hint="eastAsia" w:cs="Times New Roman"/>
                <w:b/>
                <w:color w:val="auto"/>
                <w:kern w:val="0"/>
                <w:sz w:val="24"/>
                <w:szCs w:val="24"/>
                <w:highlight w:val="none"/>
                <w:lang w:val="en-US" w:eastAsia="zh-CN"/>
              </w:rPr>
              <w:t>2 水性涂料用量核算</w:t>
            </w:r>
          </w:p>
          <w:tbl>
            <w:tblPr>
              <w:tblStyle w:val="26"/>
              <w:tblW w:w="786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115"/>
              <w:gridCol w:w="1122"/>
              <w:gridCol w:w="922"/>
              <w:gridCol w:w="1124"/>
              <w:gridCol w:w="897"/>
              <w:gridCol w:w="882"/>
              <w:gridCol w:w="88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2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产品</w:t>
                  </w:r>
                </w:p>
              </w:tc>
              <w:tc>
                <w:tcPr>
                  <w:tcW w:w="111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涂装面积（m</w:t>
                  </w:r>
                  <w:r>
                    <w:rPr>
                      <w:rFonts w:hint="eastAsia" w:cs="Times New Roman"/>
                      <w:color w:val="auto"/>
                      <w:sz w:val="21"/>
                      <w:szCs w:val="21"/>
                      <w:highlight w:val="none"/>
                      <w:vertAlign w:val="superscript"/>
                      <w:lang w:val="en-US" w:eastAsia="zh-CN"/>
                    </w:rPr>
                    <w:t>2</w:t>
                  </w:r>
                  <w:r>
                    <w:rPr>
                      <w:rFonts w:hint="eastAsia" w:cs="Times New Roman"/>
                      <w:color w:val="auto"/>
                      <w:sz w:val="21"/>
                      <w:szCs w:val="21"/>
                      <w:highlight w:val="none"/>
                      <w:vertAlign w:val="baseline"/>
                      <w:lang w:val="en-US" w:eastAsia="zh-CN"/>
                    </w:rPr>
                    <w:t>/a</w:t>
                  </w:r>
                  <w:r>
                    <w:rPr>
                      <w:rFonts w:hint="eastAsia" w:cs="Times New Roman"/>
                      <w:color w:val="auto"/>
                      <w:sz w:val="21"/>
                      <w:szCs w:val="21"/>
                      <w:highlight w:val="none"/>
                      <w:lang w:val="en-US" w:eastAsia="zh-CN"/>
                    </w:rPr>
                    <w:t>）</w:t>
                  </w:r>
                </w:p>
              </w:tc>
              <w:tc>
                <w:tcPr>
                  <w:tcW w:w="112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涂装厚度（</w:t>
                  </w:r>
                  <w:r>
                    <w:rPr>
                      <w:rFonts w:hint="default" w:ascii="Times New Roman" w:hAnsi="Times New Roman" w:cs="Times New Roman"/>
                      <w:color w:val="auto"/>
                      <w:kern w:val="0"/>
                      <w:sz w:val="21"/>
                      <w:szCs w:val="21"/>
                      <w:highlight w:val="none"/>
                      <w:lang w:val="en-US" w:eastAsia="zh-CN"/>
                    </w:rPr>
                    <w:t>μ</w:t>
                  </w:r>
                  <w:r>
                    <w:rPr>
                      <w:rFonts w:hint="eastAsia" w:cs="Times New Roman"/>
                      <w:color w:val="auto"/>
                      <w:kern w:val="0"/>
                      <w:sz w:val="21"/>
                      <w:szCs w:val="21"/>
                      <w:highlight w:val="none"/>
                      <w:lang w:val="en-US" w:eastAsia="zh-CN"/>
                    </w:rPr>
                    <w:t>m</w:t>
                  </w:r>
                  <w:r>
                    <w:rPr>
                      <w:rFonts w:hint="eastAsia" w:cs="Times New Roman"/>
                      <w:color w:val="auto"/>
                      <w:sz w:val="21"/>
                      <w:szCs w:val="21"/>
                      <w:highlight w:val="none"/>
                      <w:lang w:val="en-US" w:eastAsia="zh-CN"/>
                    </w:rPr>
                    <w:t>）</w:t>
                  </w:r>
                </w:p>
              </w:tc>
              <w:tc>
                <w:tcPr>
                  <w:tcW w:w="92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涂料种类</w:t>
                  </w: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涂料密度（</w:t>
                  </w:r>
                  <w:r>
                    <w:rPr>
                      <w:rFonts w:hint="eastAsia" w:cs="Times New Roman"/>
                      <w:color w:val="auto"/>
                      <w:kern w:val="0"/>
                      <w:sz w:val="21"/>
                      <w:szCs w:val="21"/>
                      <w:highlight w:val="none"/>
                      <w:lang w:val="en-US" w:eastAsia="zh-CN"/>
                    </w:rPr>
                    <w:t>g/cm</w:t>
                  </w:r>
                  <w:r>
                    <w:rPr>
                      <w:rFonts w:hint="eastAsia" w:cs="Times New Roman"/>
                      <w:color w:val="auto"/>
                      <w:kern w:val="0"/>
                      <w:sz w:val="21"/>
                      <w:szCs w:val="21"/>
                      <w:highlight w:val="none"/>
                      <w:vertAlign w:val="superscript"/>
                      <w:lang w:val="en-US" w:eastAsia="zh-CN"/>
                    </w:rPr>
                    <w:t>3</w:t>
                  </w:r>
                  <w:r>
                    <w:rPr>
                      <w:rFonts w:hint="eastAsia" w:cs="Times New Roman"/>
                      <w:color w:val="auto"/>
                      <w:sz w:val="21"/>
                      <w:szCs w:val="21"/>
                      <w:highlight w:val="none"/>
                      <w:lang w:val="en-US" w:eastAsia="zh-CN"/>
                    </w:rPr>
                    <w:t>）</w:t>
                  </w:r>
                </w:p>
              </w:tc>
              <w:tc>
                <w:tcPr>
                  <w:tcW w:w="89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固含量（%）</w:t>
                  </w:r>
                </w:p>
              </w:tc>
              <w:tc>
                <w:tcPr>
                  <w:tcW w:w="88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上漆率（%）</w:t>
                  </w:r>
                </w:p>
              </w:tc>
              <w:tc>
                <w:tcPr>
                  <w:tcW w:w="88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用量（t/a）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2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漆刷木柄</w:t>
                  </w:r>
                </w:p>
              </w:tc>
              <w:tc>
                <w:tcPr>
                  <w:tcW w:w="111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100000</w:t>
                  </w:r>
                </w:p>
              </w:tc>
              <w:tc>
                <w:tcPr>
                  <w:tcW w:w="112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37</w:t>
                  </w:r>
                </w:p>
              </w:tc>
              <w:tc>
                <w:tcPr>
                  <w:tcW w:w="92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水性涂料</w:t>
                  </w:r>
                </w:p>
              </w:tc>
              <w:tc>
                <w:tcPr>
                  <w:tcW w:w="112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1.09</w:t>
                  </w:r>
                </w:p>
              </w:tc>
              <w:tc>
                <w:tcPr>
                  <w:tcW w:w="89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w:t>
                  </w:r>
                </w:p>
              </w:tc>
              <w:tc>
                <w:tcPr>
                  <w:tcW w:w="88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90%</w:t>
                  </w:r>
                </w:p>
              </w:tc>
              <w:tc>
                <w:tcPr>
                  <w:tcW w:w="88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w:t>
                  </w:r>
                  <w:r>
                    <w:rPr>
                      <w:rFonts w:hint="eastAsia"/>
                      <w:color w:val="auto"/>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68" w:type="dxa"/>
                  <w:gridSpan w:val="8"/>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default" w:cs="Times New Roman"/>
                      <w:color w:val="auto"/>
                      <w:sz w:val="21"/>
                      <w:szCs w:val="21"/>
                      <w:highlight w:val="none"/>
                      <w:lang w:val="en-US" w:eastAsia="zh-CN"/>
                    </w:rPr>
                  </w:pPr>
                  <w:r>
                    <w:rPr>
                      <w:rFonts w:hint="eastAsia" w:cs="Times New Roman"/>
                      <w:color w:val="auto"/>
                      <w:sz w:val="18"/>
                      <w:szCs w:val="18"/>
                      <w:highlight w:val="none"/>
                      <w:lang w:val="en-US" w:eastAsia="zh-CN"/>
                    </w:rPr>
                    <w:t>注：*计算值为8.96t/a，考虑日常生产过程的损耗，用量为9t/a。</w:t>
                  </w:r>
                </w:p>
              </w:tc>
            </w:tr>
          </w:tbl>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vertAlign w:val="baseline"/>
                <w:lang w:val="en-US" w:eastAsia="zh-CN"/>
              </w:rPr>
            </w:pPr>
            <w:r>
              <w:rPr>
                <w:rFonts w:hint="eastAsia" w:ascii="Times New Roman" w:hAnsi="Times New Roman" w:eastAsia="宋体" w:cs="Times New Roman"/>
                <w:b/>
                <w:color w:val="auto"/>
                <w:kern w:val="0"/>
                <w:sz w:val="24"/>
                <w:szCs w:val="24"/>
                <w:highlight w:val="none"/>
                <w:lang w:val="en-US" w:eastAsia="zh-CN"/>
              </w:rPr>
              <w:t>表2-4-</w:t>
            </w:r>
            <w:r>
              <w:rPr>
                <w:rFonts w:hint="eastAsia" w:cs="Times New Roman"/>
                <w:b/>
                <w:color w:val="auto"/>
                <w:kern w:val="0"/>
                <w:sz w:val="24"/>
                <w:szCs w:val="24"/>
                <w:highlight w:val="none"/>
                <w:lang w:val="en-US" w:eastAsia="zh-CN"/>
              </w:rPr>
              <w:t>3</w:t>
            </w:r>
            <w:r>
              <w:rPr>
                <w:rFonts w:hint="eastAsia" w:ascii="Times New Roman" w:hAnsi="Times New Roman" w:eastAsia="宋体" w:cs="Times New Roman"/>
                <w:b/>
                <w:color w:val="auto"/>
                <w:kern w:val="0"/>
                <w:sz w:val="24"/>
                <w:szCs w:val="24"/>
                <w:highlight w:val="none"/>
                <w:lang w:val="en-US" w:eastAsia="zh-CN"/>
              </w:rPr>
              <w:t>原料组分表</w:t>
            </w:r>
          </w:p>
          <w:tbl>
            <w:tblPr>
              <w:tblStyle w:val="26"/>
              <w:tblW w:w="7830"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36"/>
              <w:gridCol w:w="954"/>
              <w:gridCol w:w="955"/>
              <w:gridCol w:w="2132"/>
              <w:gridCol w:w="1376"/>
              <w:gridCol w:w="137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tcBorders>
                    <w:tl2br w:val="nil"/>
                    <w:tr2bl w:val="nil"/>
                  </w:tcBorders>
                  <w:vAlign w:val="center"/>
                </w:tcPr>
                <w:p>
                  <w:pPr>
                    <w:spacing w:line="240" w:lineRule="auto"/>
                    <w:jc w:val="center"/>
                    <w:rPr>
                      <w:rFonts w:hint="default" w:ascii="Times New Roman" w:hAnsi="Times New Roman" w:eastAsia="宋体"/>
                      <w:b/>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序号</w:t>
                  </w:r>
                </w:p>
              </w:tc>
              <w:tc>
                <w:tcPr>
                  <w:tcW w:w="1909" w:type="dxa"/>
                  <w:gridSpan w:val="2"/>
                  <w:tcBorders>
                    <w:tl2br w:val="nil"/>
                    <w:tr2bl w:val="nil"/>
                  </w:tcBorders>
                  <w:vAlign w:val="center"/>
                </w:tcPr>
                <w:p>
                  <w:pPr>
                    <w:spacing w:line="240" w:lineRule="auto"/>
                    <w:jc w:val="center"/>
                    <w:rPr>
                      <w:rFonts w:hint="default" w:ascii="Times New Roman" w:hAnsi="Times New Roman" w:eastAsia="宋体"/>
                      <w:b/>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名称</w:t>
                  </w:r>
                </w:p>
              </w:tc>
              <w:tc>
                <w:tcPr>
                  <w:tcW w:w="2132" w:type="dxa"/>
                  <w:tcBorders>
                    <w:tl2br w:val="nil"/>
                    <w:tr2bl w:val="nil"/>
                  </w:tcBorders>
                  <w:vAlign w:val="center"/>
                </w:tcPr>
                <w:p>
                  <w:pPr>
                    <w:spacing w:line="240" w:lineRule="auto"/>
                    <w:jc w:val="center"/>
                    <w:rPr>
                      <w:rFonts w:hint="default" w:ascii="Times New Roman" w:hAnsi="Times New Roman" w:eastAsia="宋体"/>
                      <w:b/>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组分</w:t>
                  </w:r>
                </w:p>
              </w:tc>
              <w:tc>
                <w:tcPr>
                  <w:tcW w:w="1376" w:type="dxa"/>
                  <w:tcBorders>
                    <w:tl2br w:val="nil"/>
                    <w:tr2bl w:val="nil"/>
                  </w:tcBorders>
                  <w:vAlign w:val="center"/>
                </w:tcPr>
                <w:p>
                  <w:pPr>
                    <w:spacing w:line="240" w:lineRule="auto"/>
                    <w:jc w:val="center"/>
                    <w:rPr>
                      <w:rFonts w:hint="default" w:ascii="Times New Roman" w:hAnsi="Times New Roman" w:eastAsia="宋体"/>
                      <w:b/>
                      <w:color w:val="auto"/>
                      <w:sz w:val="21"/>
                      <w:szCs w:val="21"/>
                      <w:highlight w:val="none"/>
                      <w:lang w:val="en-US" w:eastAsia="zh-CN"/>
                    </w:rPr>
                  </w:pPr>
                  <w:r>
                    <w:rPr>
                      <w:rFonts w:hint="eastAsia"/>
                      <w:b/>
                      <w:color w:val="auto"/>
                      <w:sz w:val="21"/>
                      <w:szCs w:val="21"/>
                      <w:highlight w:val="none"/>
                      <w:lang w:val="en-US" w:eastAsia="zh-CN"/>
                    </w:rPr>
                    <w:t>CAS号</w:t>
                  </w:r>
                </w:p>
              </w:tc>
              <w:tc>
                <w:tcPr>
                  <w:tcW w:w="1377" w:type="dxa"/>
                  <w:tcBorders>
                    <w:tl2br w:val="nil"/>
                    <w:tr2bl w:val="nil"/>
                  </w:tcBorders>
                  <w:vAlign w:val="center"/>
                </w:tcPr>
                <w:p>
                  <w:pPr>
                    <w:spacing w:line="240" w:lineRule="auto"/>
                    <w:jc w:val="center"/>
                    <w:rPr>
                      <w:rFonts w:hint="default" w:ascii="Times New Roman" w:hAnsi="Times New Roman" w:eastAsia="宋体"/>
                      <w:b/>
                      <w:color w:val="auto"/>
                      <w:sz w:val="21"/>
                      <w:szCs w:val="21"/>
                      <w:highlight w:val="none"/>
                      <w:lang w:val="en-US" w:eastAsia="zh-CN"/>
                    </w:rPr>
                  </w:pPr>
                  <w:r>
                    <w:rPr>
                      <w:rFonts w:hint="eastAsia" w:ascii="Times New Roman" w:hAnsi="Times New Roman" w:eastAsia="宋体"/>
                      <w:b/>
                      <w:color w:val="auto"/>
                      <w:sz w:val="21"/>
                      <w:szCs w:val="21"/>
                      <w:highlight w:val="none"/>
                      <w:lang w:val="en-US" w:eastAsia="zh-CN"/>
                    </w:rPr>
                    <w:t>占比</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954"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聚氨酯胶</w:t>
                  </w:r>
                </w:p>
              </w:tc>
              <w:tc>
                <w:tcPr>
                  <w:tcW w:w="955"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A</w:t>
                  </w:r>
                  <w:r>
                    <w:rPr>
                      <w:rFonts w:hint="eastAsia" w:ascii="Times New Roman" w:hAnsi="Times New Roman" w:eastAsia="宋体" w:cs="Times New Roman"/>
                      <w:color w:val="auto"/>
                      <w:sz w:val="21"/>
                      <w:szCs w:val="21"/>
                      <w:highlight w:val="none"/>
                      <w:lang w:val="en-US" w:eastAsia="zh-CN"/>
                    </w:rPr>
                    <w:t>胶</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二苯基甲烷二异氰酸酯同分异构物、同系物</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9016-87-9</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60-80%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954"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95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助剂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20-40%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954"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955"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B</w:t>
                  </w:r>
                  <w:r>
                    <w:rPr>
                      <w:rFonts w:hint="eastAsia" w:ascii="Times New Roman" w:hAnsi="Times New Roman" w:eastAsia="宋体" w:cs="Times New Roman"/>
                      <w:color w:val="auto"/>
                      <w:sz w:val="21"/>
                      <w:szCs w:val="21"/>
                      <w:highlight w:val="none"/>
                      <w:lang w:val="en-US" w:eastAsia="zh-CN"/>
                    </w:rPr>
                    <w:t>胶</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多元醇</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80-100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954"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95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助剂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0-20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w:t>
                  </w:r>
                </w:p>
              </w:tc>
              <w:tc>
                <w:tcPr>
                  <w:tcW w:w="1909"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环氧树脂胶</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双酚A型环氧树脂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25068-38-6</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≥90%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酸酐树脂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b w:val="0"/>
                      <w:bCs/>
                      <w:color w:val="auto"/>
                      <w:sz w:val="21"/>
                      <w:szCs w:val="18"/>
                      <w:highlight w:val="none"/>
                      <w:vertAlign w:val="baseline"/>
                      <w:lang w:val="en-US" w:eastAsia="zh-CN"/>
                    </w:rPr>
                    <w:t>5-10%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47" w:hRule="atLeast"/>
              </w:trPr>
              <w:tc>
                <w:tcPr>
                  <w:tcW w:w="10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909"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水基胶黏剂</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树脂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20-30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2" w:hRule="atLeast"/>
              </w:trPr>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乙酸乙酯</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141-78-6</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15-20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17" w:hRule="atLeast"/>
              </w:trPr>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BA</w:t>
                  </w:r>
                  <w:r>
                    <w:rPr>
                      <w:rFonts w:hint="eastAsia"/>
                      <w:color w:val="auto"/>
                      <w:lang w:eastAsia="zh-CN"/>
                    </w:rPr>
                    <w:t>（</w:t>
                  </w:r>
                  <w:r>
                    <w:rPr>
                      <w:rFonts w:hint="eastAsia"/>
                      <w:color w:val="auto"/>
                      <w:lang w:val="en-US" w:eastAsia="zh-CN"/>
                    </w:rPr>
                    <w:t>丙烯酸丁酯）</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141-32-2</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10-20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AA（丙烯酸）</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79-10-7</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10-20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天然胶</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5-10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水</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30-40</w:t>
                  </w:r>
                  <w:r>
                    <w:rPr>
                      <w:rFonts w:hint="eastAsia" w:cs="Times New Roman"/>
                      <w:b w:val="0"/>
                      <w:bCs/>
                      <w:color w:val="auto"/>
                      <w:sz w:val="21"/>
                      <w:szCs w:val="18"/>
                      <w:highlight w:val="none"/>
                      <w:vertAlign w:val="baseli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4"/>
                      <w:szCs w:val="24"/>
                      <w:highlight w:val="none"/>
                      <w:vertAlign w:val="baseline"/>
                      <w:lang w:val="en-US" w:eastAsia="zh-CN"/>
                    </w:rPr>
                  </w:pPr>
                  <w:r>
                    <w:rPr>
                      <w:rFonts w:hint="eastAsia" w:cs="Times New Roman"/>
                      <w:b w:val="0"/>
                      <w:bCs/>
                      <w:color w:val="auto"/>
                      <w:kern w:val="0"/>
                      <w:sz w:val="24"/>
                      <w:szCs w:val="24"/>
                      <w:highlight w:val="none"/>
                      <w:vertAlign w:val="baseline"/>
                      <w:lang w:val="en-US" w:eastAsia="zh-CN"/>
                    </w:rPr>
                    <w:t>4</w:t>
                  </w:r>
                </w:p>
              </w:tc>
              <w:tc>
                <w:tcPr>
                  <w:tcW w:w="1909"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4"/>
                      <w:szCs w:val="24"/>
                      <w:highlight w:val="none"/>
                      <w:vertAlign w:val="baseline"/>
                      <w:lang w:val="en-US" w:eastAsia="zh-CN"/>
                    </w:rPr>
                  </w:pPr>
                  <w:r>
                    <w:rPr>
                      <w:rFonts w:hint="eastAsia" w:ascii="Times New Roman" w:hAnsi="Times New Roman" w:eastAsia="宋体" w:cs="Times New Roman"/>
                      <w:color w:val="auto"/>
                      <w:sz w:val="21"/>
                      <w:szCs w:val="21"/>
                      <w:highlight w:val="none"/>
                      <w:lang w:val="en-US" w:eastAsia="zh-CN"/>
                    </w:rPr>
                    <w:t>植绒胶</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聚氨酯预聚物</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50-60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40-50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4"/>
                      <w:szCs w:val="24"/>
                      <w:highlight w:val="none"/>
                      <w:vertAlign w:val="baseline"/>
                      <w:lang w:val="en-US" w:eastAsia="zh-CN"/>
                    </w:rPr>
                  </w:pPr>
                  <w:r>
                    <w:rPr>
                      <w:rFonts w:hint="eastAsia" w:cs="Times New Roman"/>
                      <w:b w:val="0"/>
                      <w:bCs/>
                      <w:color w:val="auto"/>
                      <w:kern w:val="0"/>
                      <w:sz w:val="24"/>
                      <w:szCs w:val="24"/>
                      <w:highlight w:val="none"/>
                      <w:vertAlign w:val="baseline"/>
                      <w:lang w:val="en-US" w:eastAsia="zh-CN"/>
                    </w:rPr>
                    <w:t>5</w:t>
                  </w:r>
                </w:p>
              </w:tc>
              <w:tc>
                <w:tcPr>
                  <w:tcW w:w="1909"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水性漆</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水性丙烯酸乳液</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25767-39-9</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50-80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助剂</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25265-77-4</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0.5-3</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7732-18-5</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5-20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颜填料</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471-34-1</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10-50</w:t>
                  </w:r>
                  <w:r>
                    <w:rPr>
                      <w:rFonts w:hint="eastAsia" w:ascii="Times New Roman" w:hAnsi="Times New Roman" w:eastAsia="宋体" w:cs="Times New Roman"/>
                      <w:color w:val="auto"/>
                      <w:sz w:val="21"/>
                      <w:szCs w:val="21"/>
                      <w:highlight w:val="none"/>
                      <w:lang w:val="en-US" w:eastAsia="zh-CN"/>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水性漆固化剂</w:t>
                  </w: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脂肪族聚异氰酸酯</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25767-39-9</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70-80%</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4"/>
                      <w:szCs w:val="24"/>
                      <w:highlight w:val="none"/>
                      <w:vertAlign w:val="baseline"/>
                      <w:lang w:val="en-US" w:eastAsia="zh-CN"/>
                    </w:rPr>
                  </w:pPr>
                </w:p>
              </w:tc>
              <w:tc>
                <w:tcPr>
                  <w:tcW w:w="1909" w:type="dxa"/>
                  <w:gridSpan w:val="2"/>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p>
              </w:tc>
              <w:tc>
                <w:tcPr>
                  <w:tcW w:w="2132"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丙二醇二醋酸酯</w:t>
                  </w:r>
                </w:p>
              </w:tc>
              <w:tc>
                <w:tcPr>
                  <w:tcW w:w="137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623-84-7</w:t>
                  </w:r>
                </w:p>
              </w:tc>
              <w:tc>
                <w:tcPr>
                  <w:tcW w:w="137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20-30%</w:t>
                  </w:r>
                </w:p>
              </w:tc>
            </w:tr>
          </w:tbl>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主要原辅材料理化性质见表2-5。</w:t>
            </w:r>
          </w:p>
          <w:p>
            <w:pPr>
              <w:jc w:val="center"/>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表2-5主要原辅材料理化性质表</w:t>
            </w:r>
          </w:p>
          <w:tbl>
            <w:tblPr>
              <w:tblStyle w:val="25"/>
              <w:tblW w:w="785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3867"/>
              <w:gridCol w:w="1034"/>
              <w:gridCol w:w="189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spacing w:line="240" w:lineRule="auto"/>
                    <w:jc w:val="center"/>
                    <w:rPr>
                      <w:b/>
                      <w:color w:val="auto"/>
                      <w:sz w:val="21"/>
                      <w:szCs w:val="21"/>
                      <w:highlight w:val="none"/>
                    </w:rPr>
                  </w:pPr>
                  <w:r>
                    <w:rPr>
                      <w:b/>
                      <w:color w:val="auto"/>
                      <w:sz w:val="21"/>
                      <w:szCs w:val="21"/>
                      <w:highlight w:val="none"/>
                    </w:rPr>
                    <w:t>名称</w:t>
                  </w:r>
                </w:p>
              </w:tc>
              <w:tc>
                <w:tcPr>
                  <w:tcW w:w="3867" w:type="dxa"/>
                  <w:vAlign w:val="center"/>
                </w:tcPr>
                <w:p>
                  <w:pPr>
                    <w:spacing w:line="240" w:lineRule="auto"/>
                    <w:jc w:val="center"/>
                    <w:rPr>
                      <w:b/>
                      <w:color w:val="auto"/>
                      <w:sz w:val="21"/>
                      <w:szCs w:val="21"/>
                      <w:highlight w:val="none"/>
                    </w:rPr>
                  </w:pPr>
                  <w:r>
                    <w:rPr>
                      <w:b/>
                      <w:color w:val="auto"/>
                      <w:sz w:val="21"/>
                      <w:szCs w:val="21"/>
                      <w:highlight w:val="none"/>
                    </w:rPr>
                    <w:t>理化性质</w:t>
                  </w:r>
                </w:p>
              </w:tc>
              <w:tc>
                <w:tcPr>
                  <w:tcW w:w="1034" w:type="dxa"/>
                  <w:vAlign w:val="center"/>
                </w:tcPr>
                <w:p>
                  <w:pPr>
                    <w:spacing w:line="240" w:lineRule="auto"/>
                    <w:jc w:val="center"/>
                    <w:rPr>
                      <w:rFonts w:hint="eastAsia" w:eastAsia="宋体"/>
                      <w:b/>
                      <w:color w:val="auto"/>
                      <w:sz w:val="21"/>
                      <w:szCs w:val="21"/>
                      <w:highlight w:val="none"/>
                      <w:lang w:val="en-US" w:eastAsia="zh-CN"/>
                    </w:rPr>
                  </w:pPr>
                  <w:r>
                    <w:rPr>
                      <w:rFonts w:hint="eastAsia"/>
                      <w:b/>
                      <w:color w:val="auto"/>
                      <w:sz w:val="21"/>
                      <w:szCs w:val="21"/>
                      <w:highlight w:val="none"/>
                      <w:lang w:val="en-US" w:eastAsia="zh-CN"/>
                    </w:rPr>
                    <w:t>燃爆型</w:t>
                  </w:r>
                </w:p>
              </w:tc>
              <w:tc>
                <w:tcPr>
                  <w:tcW w:w="1899" w:type="dxa"/>
                  <w:vAlign w:val="center"/>
                </w:tcPr>
                <w:p>
                  <w:pPr>
                    <w:spacing w:line="240" w:lineRule="auto"/>
                    <w:jc w:val="center"/>
                    <w:rPr>
                      <w:b/>
                      <w:color w:val="auto"/>
                      <w:sz w:val="21"/>
                      <w:szCs w:val="21"/>
                      <w:highlight w:val="none"/>
                    </w:rPr>
                  </w:pPr>
                  <w:r>
                    <w:rPr>
                      <w:b/>
                      <w:color w:val="auto"/>
                      <w:sz w:val="21"/>
                      <w:szCs w:val="21"/>
                      <w:highlight w:val="none"/>
                    </w:rPr>
                    <w:t>毒理毒性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二苯基甲烷二异氰酸酯（</w:t>
                  </w:r>
                  <w:r>
                    <w:rPr>
                      <w:rFonts w:hint="eastAsia" w:ascii="Times New Roman" w:hAnsi="Times New Roman" w:eastAsia="宋体" w:cs="Times New Roman"/>
                      <w:color w:val="auto"/>
                      <w:sz w:val="21"/>
                      <w:szCs w:val="21"/>
                      <w:highlight w:val="none"/>
                      <w:lang w:val="en-US" w:eastAsia="zh-CN"/>
                    </w:rPr>
                    <w:t>MDI</w:t>
                  </w:r>
                  <w:r>
                    <w:rPr>
                      <w:rFonts w:hint="eastAsia" w:cs="Times New Roman"/>
                      <w:color w:val="auto"/>
                      <w:sz w:val="21"/>
                      <w:szCs w:val="21"/>
                      <w:highlight w:val="none"/>
                      <w:lang w:val="en-US" w:eastAsia="zh-CN"/>
                    </w:rPr>
                    <w:t>）</w:t>
                  </w:r>
                </w:p>
              </w:tc>
              <w:tc>
                <w:tcPr>
                  <w:tcW w:w="3867" w:type="dxa"/>
                  <w:vAlign w:val="center"/>
                </w:tcPr>
                <w:p>
                  <w:pPr>
                    <w:spacing w:line="240" w:lineRule="auto"/>
                    <w:jc w:val="center"/>
                    <w:rPr>
                      <w:rFonts w:hint="default" w:cs="Times New Roman"/>
                      <w:color w:val="auto"/>
                      <w:kern w:val="2"/>
                      <w:sz w:val="21"/>
                      <w:szCs w:val="24"/>
                      <w:lang w:val="zh-TW" w:eastAsia="zh-CN" w:bidi="ar-SA"/>
                    </w:rPr>
                  </w:pPr>
                  <w:r>
                    <w:rPr>
                      <w:rFonts w:hint="default" w:cs="Times New Roman"/>
                      <w:color w:val="auto"/>
                      <w:kern w:val="2"/>
                      <w:sz w:val="21"/>
                      <w:szCs w:val="24"/>
                      <w:lang w:val="en-US" w:eastAsia="zh-CN" w:bidi="ar-SA"/>
                    </w:rPr>
                    <w:t>化学式</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C</w:t>
                  </w:r>
                  <w:r>
                    <w:rPr>
                      <w:rFonts w:hint="default" w:cs="Times New Roman"/>
                      <w:color w:val="auto"/>
                      <w:kern w:val="2"/>
                      <w:sz w:val="21"/>
                      <w:szCs w:val="24"/>
                      <w:vertAlign w:val="subscript"/>
                      <w:lang w:val="en-US" w:eastAsia="zh-CN" w:bidi="ar-SA"/>
                    </w:rPr>
                    <w:t>15</w:t>
                  </w:r>
                  <w:r>
                    <w:rPr>
                      <w:rFonts w:hint="default" w:cs="Times New Roman"/>
                      <w:color w:val="auto"/>
                      <w:kern w:val="2"/>
                      <w:sz w:val="21"/>
                      <w:szCs w:val="24"/>
                      <w:lang w:val="en-US" w:eastAsia="zh-CN" w:bidi="ar-SA"/>
                    </w:rPr>
                    <w:t>H</w:t>
                  </w:r>
                  <w:r>
                    <w:rPr>
                      <w:rFonts w:hint="default" w:cs="Times New Roman"/>
                      <w:color w:val="auto"/>
                      <w:kern w:val="2"/>
                      <w:sz w:val="21"/>
                      <w:szCs w:val="24"/>
                      <w:vertAlign w:val="subscript"/>
                      <w:lang w:val="en-US" w:eastAsia="zh-CN" w:bidi="ar-SA"/>
                    </w:rPr>
                    <w:t>10</w:t>
                  </w:r>
                  <w:r>
                    <w:rPr>
                      <w:rFonts w:hint="default" w:cs="Times New Roman"/>
                      <w:color w:val="auto"/>
                      <w:kern w:val="2"/>
                      <w:sz w:val="21"/>
                      <w:szCs w:val="24"/>
                      <w:lang w:val="en-US" w:eastAsia="zh-CN" w:bidi="ar-SA"/>
                    </w:rPr>
                    <w:t>N</w:t>
                  </w:r>
                  <w:r>
                    <w:rPr>
                      <w:rFonts w:hint="default" w:cs="Times New Roman"/>
                      <w:color w:val="auto"/>
                      <w:kern w:val="2"/>
                      <w:sz w:val="21"/>
                      <w:szCs w:val="24"/>
                      <w:vertAlign w:val="subscript"/>
                      <w:lang w:val="en-US" w:eastAsia="zh-CN" w:bidi="ar-SA"/>
                    </w:rPr>
                    <w:t>2</w:t>
                  </w:r>
                  <w:r>
                    <w:rPr>
                      <w:rFonts w:hint="default" w:cs="Times New Roman"/>
                      <w:color w:val="auto"/>
                      <w:kern w:val="2"/>
                      <w:sz w:val="21"/>
                      <w:szCs w:val="24"/>
                      <w:lang w:val="en-US" w:eastAsia="zh-CN" w:bidi="ar-SA"/>
                    </w:rPr>
                    <w:t>O</w:t>
                  </w:r>
                  <w:r>
                    <w:rPr>
                      <w:rFonts w:hint="default" w:cs="Times New Roman"/>
                      <w:color w:val="auto"/>
                      <w:kern w:val="2"/>
                      <w:sz w:val="21"/>
                      <w:szCs w:val="24"/>
                      <w:vertAlign w:val="subscript"/>
                      <w:lang w:val="en-US" w:eastAsia="zh-CN" w:bidi="ar-SA"/>
                    </w:rPr>
                    <w:t>2</w:t>
                  </w:r>
                  <w:r>
                    <w:rPr>
                      <w:rFonts w:hint="eastAsia" w:cs="Times New Roman"/>
                      <w:color w:val="auto"/>
                      <w:kern w:val="2"/>
                      <w:sz w:val="21"/>
                      <w:szCs w:val="24"/>
                      <w:lang w:val="en-US" w:eastAsia="zh-CN" w:bidi="ar-SA"/>
                    </w:rPr>
                    <w:t>，白色或浅黄色固体。溶于苯、</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"https://baike.baidu.com/item/%E7%94%B2%E8%8B%AF/1920908?fromModule=lemma_inlink"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甲苯</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"https://baike.baidu.com/item/%E6%B0%AF%E8%8B%AF/2304778?fromModule=lemma_inlink"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氯苯</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"https://baike.baidu.com/item/%E7%A1%9D%E5%9F%BA%E8%8B%AF/1551470?fromModule=lemma_inlink"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硝基苯</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"https://baike.baidu.com/item/%E4%B8%99%E9%85%AE/955883?fromModule=lemma_inlink"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丙酮</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"https://baike.baidu.com/item/%E4%B9%99%E9%86%9A/316922?fromModule=lemma_inlink"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乙醚</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"https://baike.baidu.com/item/%E4%BA%8C%E6%81%B6%E7%83%B7/2565375?fromModule=lemma_inlink" \t "https://baike.baidu.com/item/MDI/_blank"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二恶烷</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等。</w:t>
                  </w:r>
                  <w:r>
                    <w:rPr>
                      <w:rFonts w:hint="eastAsia" w:cs="Times New Roman"/>
                      <w:color w:val="auto"/>
                      <w:kern w:val="2"/>
                      <w:sz w:val="21"/>
                      <w:szCs w:val="24"/>
                      <w:lang w:val="en-US" w:eastAsia="zh-CN" w:bidi="ar-SA"/>
                    </w:rPr>
                    <w:t>密度：1.19（50℃），熔点（℃）：36～39，闪点（℃）：202</w:t>
                  </w:r>
                </w:p>
              </w:tc>
              <w:tc>
                <w:tcPr>
                  <w:tcW w:w="1034"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可燃</w:t>
                  </w:r>
                </w:p>
              </w:tc>
              <w:tc>
                <w:tcPr>
                  <w:tcW w:w="1899"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小鼠口服LD</w:t>
                  </w:r>
                  <w:r>
                    <w:rPr>
                      <w:rFonts w:hint="eastAsia" w:cs="Times New Roman"/>
                      <w:color w:val="auto"/>
                      <w:kern w:val="2"/>
                      <w:sz w:val="21"/>
                      <w:szCs w:val="24"/>
                      <w:vertAlign w:val="subscript"/>
                      <w:lang w:val="en-US" w:eastAsia="zh-CN" w:bidi="ar-SA"/>
                    </w:rPr>
                    <w:t>50</w:t>
                  </w:r>
                  <w:r>
                    <w:rPr>
                      <w:rFonts w:hint="eastAsia" w:cs="Times New Roman"/>
                      <w:color w:val="auto"/>
                      <w:kern w:val="2"/>
                      <w:sz w:val="21"/>
                      <w:szCs w:val="24"/>
                      <w:lang w:val="en-US" w:eastAsia="zh-CN" w:bidi="ar-SA"/>
                    </w:rPr>
                    <w:t>值为890毫克/千克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b w:val="0"/>
                      <w:bCs/>
                      <w:color w:val="auto"/>
                      <w:sz w:val="21"/>
                      <w:szCs w:val="18"/>
                      <w:highlight w:val="none"/>
                      <w:vertAlign w:val="baseline"/>
                      <w:lang w:val="en-US" w:eastAsia="zh-CN"/>
                    </w:rPr>
                    <w:t>双酚A型环氧树脂</w:t>
                  </w:r>
                </w:p>
              </w:tc>
              <w:tc>
                <w:tcPr>
                  <w:tcW w:w="3867"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分子式：C</w:t>
                  </w:r>
                  <w:r>
                    <w:rPr>
                      <w:rFonts w:hint="default" w:cs="Times New Roman"/>
                      <w:color w:val="auto"/>
                      <w:kern w:val="2"/>
                      <w:sz w:val="21"/>
                      <w:szCs w:val="24"/>
                      <w:vertAlign w:val="subscript"/>
                      <w:lang w:val="en-US" w:eastAsia="zh-CN" w:bidi="ar-SA"/>
                    </w:rPr>
                    <w:t>18</w:t>
                  </w:r>
                  <w:r>
                    <w:rPr>
                      <w:rFonts w:hint="default" w:cs="Times New Roman"/>
                      <w:color w:val="auto"/>
                      <w:kern w:val="2"/>
                      <w:sz w:val="21"/>
                      <w:szCs w:val="24"/>
                      <w:lang w:val="en-US" w:eastAsia="zh-CN" w:bidi="ar-SA"/>
                    </w:rPr>
                    <w:t>H</w:t>
                  </w:r>
                  <w:r>
                    <w:rPr>
                      <w:rFonts w:hint="default" w:cs="Times New Roman"/>
                      <w:color w:val="auto"/>
                      <w:kern w:val="2"/>
                      <w:sz w:val="21"/>
                      <w:szCs w:val="24"/>
                      <w:vertAlign w:val="subscript"/>
                      <w:lang w:val="en-US" w:eastAsia="zh-CN" w:bidi="ar-SA"/>
                    </w:rPr>
                    <w:t>21</w:t>
                  </w:r>
                  <w:r>
                    <w:rPr>
                      <w:rFonts w:hint="default" w:cs="Times New Roman"/>
                      <w:color w:val="auto"/>
                      <w:kern w:val="2"/>
                      <w:sz w:val="21"/>
                      <w:szCs w:val="24"/>
                      <w:lang w:val="en-US" w:eastAsia="zh-CN" w:bidi="ar-SA"/>
                    </w:rPr>
                    <w:t>ClO</w:t>
                  </w:r>
                  <w:r>
                    <w:rPr>
                      <w:rFonts w:hint="default" w:cs="Times New Roman"/>
                      <w:color w:val="auto"/>
                      <w:kern w:val="2"/>
                      <w:sz w:val="21"/>
                      <w:szCs w:val="24"/>
                      <w:vertAlign w:val="subscript"/>
                      <w:lang w:val="en-US" w:eastAsia="zh-CN" w:bidi="ar-SA"/>
                    </w:rPr>
                    <w:t>3</w:t>
                  </w:r>
                  <w:r>
                    <w:rPr>
                      <w:rFonts w:hint="eastAsia" w:cs="Times New Roman"/>
                      <w:color w:val="auto"/>
                      <w:kern w:val="2"/>
                      <w:sz w:val="21"/>
                      <w:szCs w:val="24"/>
                      <w:lang w:val="en-US" w:eastAsia="zh-CN" w:bidi="ar-SA"/>
                    </w:rPr>
                    <w:t>，浅黄色至黄棕色透明固体。在稍高于室温以上即软化。属高分子环氧树脂，系由</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"http://www.ichemistry.cn/chemistry/106-89-8.htm" \t "http://www.ichemistry.cn/chemistry/_blank"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环氧氯丙烷</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1.57mol、二酚基丙烷（</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"http://www.ichemistry.cn/cas/.CB.AB.B7.D3a" \t "http://www.ichemistry.cn/chemistry/_blank"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双酚A</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）1mol和</w:t>
                  </w:r>
                  <w:r>
                    <w:rPr>
                      <w:rFonts w:hint="default" w:cs="Times New Roman"/>
                      <w:color w:val="auto"/>
                      <w:kern w:val="2"/>
                      <w:sz w:val="21"/>
                      <w:szCs w:val="24"/>
                      <w:lang w:val="en-US" w:eastAsia="zh-CN" w:bidi="ar-SA"/>
                    </w:rPr>
                    <w:fldChar w:fldCharType="begin"/>
                  </w:r>
                  <w:r>
                    <w:rPr>
                      <w:rFonts w:hint="default" w:cs="Times New Roman"/>
                      <w:color w:val="auto"/>
                      <w:kern w:val="2"/>
                      <w:sz w:val="21"/>
                      <w:szCs w:val="24"/>
                      <w:lang w:val="en-US" w:eastAsia="zh-CN" w:bidi="ar-SA"/>
                    </w:rPr>
                    <w:instrText xml:space="preserve"> HYPERLINK "http://www.ichemistry.cn/chemistry/1310-73-2.htm" \t "http://www.ichemistry.cn/chemistry/_blank" </w:instrText>
                  </w:r>
                  <w:r>
                    <w:rPr>
                      <w:rFonts w:hint="default" w:cs="Times New Roman"/>
                      <w:color w:val="auto"/>
                      <w:kern w:val="2"/>
                      <w:sz w:val="21"/>
                      <w:szCs w:val="24"/>
                      <w:lang w:val="en-US" w:eastAsia="zh-CN" w:bidi="ar-SA"/>
                    </w:rPr>
                    <w:fldChar w:fldCharType="separate"/>
                  </w:r>
                  <w:r>
                    <w:rPr>
                      <w:rFonts w:hint="default" w:cs="Times New Roman"/>
                      <w:color w:val="auto"/>
                      <w:kern w:val="2"/>
                      <w:sz w:val="21"/>
                      <w:szCs w:val="24"/>
                      <w:lang w:val="en-US" w:eastAsia="zh-CN" w:bidi="ar-SA"/>
                    </w:rPr>
                    <w:t>氢氧化钠</w:t>
                  </w:r>
                  <w:r>
                    <w:rPr>
                      <w:rFonts w:hint="default" w:cs="Times New Roman"/>
                      <w:color w:val="auto"/>
                      <w:kern w:val="2"/>
                      <w:sz w:val="21"/>
                      <w:szCs w:val="24"/>
                      <w:lang w:val="en-US" w:eastAsia="zh-CN" w:bidi="ar-SA"/>
                    </w:rPr>
                    <w:fldChar w:fldCharType="end"/>
                  </w:r>
                  <w:r>
                    <w:rPr>
                      <w:rFonts w:hint="default" w:cs="Times New Roman"/>
                      <w:color w:val="auto"/>
                      <w:kern w:val="2"/>
                      <w:sz w:val="21"/>
                      <w:szCs w:val="24"/>
                      <w:lang w:val="en-US" w:eastAsia="zh-CN" w:bidi="ar-SA"/>
                    </w:rPr>
                    <w:t>2mol缩聚而成的热塑性线型高分子合成树脂。环氧当量450～525。环氧值0.19～0.22。黏度0.1～0.17Pa•s。软化点64～76℃。</w:t>
                  </w:r>
                </w:p>
              </w:tc>
              <w:tc>
                <w:tcPr>
                  <w:tcW w:w="1034"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可燃</w:t>
                  </w:r>
                </w:p>
              </w:tc>
              <w:tc>
                <w:tcPr>
                  <w:tcW w:w="1899"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乙酸乙酯</w:t>
                  </w:r>
                </w:p>
              </w:tc>
              <w:tc>
                <w:tcPr>
                  <w:tcW w:w="3867"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化学式为C</w:t>
                  </w:r>
                  <w:r>
                    <w:rPr>
                      <w:rFonts w:hint="default" w:cs="Times New Roman"/>
                      <w:color w:val="auto"/>
                      <w:kern w:val="2"/>
                      <w:sz w:val="21"/>
                      <w:szCs w:val="24"/>
                      <w:vertAlign w:val="subscript"/>
                      <w:lang w:val="en-US" w:eastAsia="zh-CN" w:bidi="ar-SA"/>
                    </w:rPr>
                    <w:t>4</w:t>
                  </w:r>
                  <w:r>
                    <w:rPr>
                      <w:rFonts w:hint="default" w:cs="Times New Roman"/>
                      <w:color w:val="auto"/>
                      <w:kern w:val="2"/>
                      <w:sz w:val="21"/>
                      <w:szCs w:val="24"/>
                      <w:lang w:val="en-US" w:eastAsia="zh-CN" w:bidi="ar-SA"/>
                    </w:rPr>
                    <w:t>H</w:t>
                  </w:r>
                  <w:r>
                    <w:rPr>
                      <w:rFonts w:hint="default" w:cs="Times New Roman"/>
                      <w:color w:val="auto"/>
                      <w:kern w:val="2"/>
                      <w:sz w:val="21"/>
                      <w:szCs w:val="24"/>
                      <w:vertAlign w:val="subscript"/>
                      <w:lang w:val="en-US" w:eastAsia="zh-CN" w:bidi="ar-SA"/>
                    </w:rPr>
                    <w:t>8</w:t>
                  </w:r>
                  <w:r>
                    <w:rPr>
                      <w:rFonts w:hint="default" w:cs="Times New Roman"/>
                      <w:color w:val="auto"/>
                      <w:kern w:val="2"/>
                      <w:sz w:val="21"/>
                      <w:szCs w:val="24"/>
                      <w:lang w:val="en-US" w:eastAsia="zh-CN" w:bidi="ar-SA"/>
                    </w:rPr>
                    <w:t>O</w:t>
                  </w:r>
                  <w:r>
                    <w:rPr>
                      <w:rFonts w:hint="default" w:cs="Times New Roman"/>
                      <w:color w:val="auto"/>
                      <w:kern w:val="2"/>
                      <w:sz w:val="21"/>
                      <w:szCs w:val="24"/>
                      <w:vertAlign w:val="subscript"/>
                      <w:lang w:val="en-US" w:eastAsia="zh-CN" w:bidi="ar-SA"/>
                    </w:rPr>
                    <w:t>2</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密度：0.902g/cm3</w:t>
                  </w:r>
                </w:p>
                <w:p>
                  <w:pPr>
                    <w:spacing w:line="240" w:lineRule="auto"/>
                    <w:jc w:val="center"/>
                    <w:rPr>
                      <w:rFonts w:hint="eastAsia" w:cs="Times New Roman"/>
                      <w:color w:val="auto"/>
                      <w:kern w:val="2"/>
                      <w:sz w:val="21"/>
                      <w:szCs w:val="24"/>
                      <w:lang w:val="en-US" w:eastAsia="zh-CN" w:bidi="ar-SA"/>
                    </w:rPr>
                  </w:pPr>
                  <w:r>
                    <w:rPr>
                      <w:rFonts w:hint="default" w:cs="Times New Roman"/>
                      <w:color w:val="auto"/>
                      <w:kern w:val="2"/>
                      <w:sz w:val="21"/>
                      <w:szCs w:val="24"/>
                      <w:lang w:val="en-US" w:eastAsia="zh-CN" w:bidi="ar-SA"/>
                    </w:rPr>
                    <w:t>熔点：-84℃</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沸点：76.6-77.5℃</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闪点：-4℃（CC）</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饱和蒸气压：10.1kPa（20℃）</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临界温度：250.1℃</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临界压力：3.83MPa</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引燃温度：426.7℃</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爆炸上限（V/V）：11.5% </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外观：无色液体</w:t>
                  </w:r>
                  <w:r>
                    <w:rPr>
                      <w:rFonts w:hint="eastAsia" w:cs="Times New Roman"/>
                      <w:color w:val="auto"/>
                      <w:kern w:val="2"/>
                      <w:sz w:val="21"/>
                      <w:szCs w:val="24"/>
                      <w:lang w:val="en-US" w:eastAsia="zh-CN" w:bidi="ar-SA"/>
                    </w:rPr>
                    <w:t>，</w:t>
                  </w:r>
                  <w:r>
                    <w:rPr>
                      <w:rFonts w:hint="default" w:cs="Times New Roman"/>
                      <w:color w:val="auto"/>
                      <w:kern w:val="2"/>
                      <w:sz w:val="21"/>
                      <w:szCs w:val="24"/>
                      <w:lang w:val="en-US" w:eastAsia="zh-CN" w:bidi="ar-SA"/>
                    </w:rPr>
                    <w:t>溶解性：微溶于水，溶于乙醇、丙酮、乙醚、氯仿、苯等多数有机溶剂</w:t>
                  </w:r>
                </w:p>
              </w:tc>
              <w:tc>
                <w:tcPr>
                  <w:tcW w:w="1034"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可燃</w:t>
                  </w:r>
                </w:p>
              </w:tc>
              <w:tc>
                <w:tcPr>
                  <w:tcW w:w="1899"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LD</w:t>
                  </w:r>
                  <w:r>
                    <w:rPr>
                      <w:rFonts w:hint="eastAsia" w:cs="Times New Roman"/>
                      <w:color w:val="auto"/>
                      <w:kern w:val="2"/>
                      <w:sz w:val="21"/>
                      <w:szCs w:val="24"/>
                      <w:vertAlign w:val="subscript"/>
                      <w:lang w:val="en-US" w:eastAsia="zh-CN" w:bidi="ar-SA"/>
                    </w:rPr>
                    <w:t>50</w:t>
                  </w:r>
                  <w:r>
                    <w:rPr>
                      <w:rFonts w:hint="eastAsia" w:cs="Times New Roman"/>
                      <w:color w:val="auto"/>
                      <w:kern w:val="2"/>
                      <w:sz w:val="21"/>
                      <w:szCs w:val="24"/>
                      <w:lang w:val="en-US" w:eastAsia="zh-CN" w:bidi="ar-SA"/>
                    </w:rPr>
                    <w:t>为5620mg/kg（大鼠经口）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BA</w:t>
                  </w:r>
                  <w:r>
                    <w:rPr>
                      <w:rFonts w:hint="eastAsia"/>
                      <w:color w:val="auto"/>
                    </w:rPr>
                    <w:t>（丙烯酸丁酯）</w:t>
                  </w:r>
                </w:p>
              </w:tc>
              <w:tc>
                <w:tcPr>
                  <w:tcW w:w="3867" w:type="dxa"/>
                  <w:vAlign w:val="center"/>
                </w:tcPr>
                <w:p>
                  <w:pPr>
                    <w:spacing w:line="240" w:lineRule="auto"/>
                    <w:jc w:val="center"/>
                    <w:rPr>
                      <w:rFonts w:hint="eastAsia" w:cs="Times New Roman"/>
                      <w:color w:val="auto"/>
                      <w:kern w:val="2"/>
                      <w:sz w:val="21"/>
                      <w:szCs w:val="24"/>
                      <w:lang w:val="zh-TW" w:eastAsia="zh-CN" w:bidi="ar-SA"/>
                    </w:rPr>
                  </w:pPr>
                  <w:r>
                    <w:rPr>
                      <w:rFonts w:hint="default" w:cs="Times New Roman"/>
                      <w:color w:val="auto"/>
                      <w:kern w:val="2"/>
                      <w:sz w:val="21"/>
                      <w:szCs w:val="24"/>
                      <w:lang w:val="en-US" w:eastAsia="zh-CN" w:bidi="ar-SA"/>
                    </w:rPr>
                    <w:t>化学式:C</w:t>
                  </w:r>
                  <w:r>
                    <w:rPr>
                      <w:rFonts w:hint="default" w:cs="Times New Roman"/>
                      <w:color w:val="auto"/>
                      <w:kern w:val="2"/>
                      <w:sz w:val="21"/>
                      <w:szCs w:val="24"/>
                      <w:vertAlign w:val="subscript"/>
                      <w:lang w:val="en-US" w:eastAsia="zh-CN" w:bidi="ar-SA"/>
                    </w:rPr>
                    <w:t>7</w:t>
                  </w:r>
                  <w:r>
                    <w:rPr>
                      <w:rFonts w:hint="default" w:cs="Times New Roman"/>
                      <w:color w:val="auto"/>
                      <w:kern w:val="2"/>
                      <w:sz w:val="21"/>
                      <w:szCs w:val="24"/>
                      <w:lang w:val="en-US" w:eastAsia="zh-CN" w:bidi="ar-SA"/>
                    </w:rPr>
                    <w:t>H</w:t>
                  </w:r>
                  <w:r>
                    <w:rPr>
                      <w:rFonts w:hint="default" w:cs="Times New Roman"/>
                      <w:color w:val="auto"/>
                      <w:kern w:val="2"/>
                      <w:sz w:val="21"/>
                      <w:szCs w:val="24"/>
                      <w:vertAlign w:val="subscript"/>
                      <w:lang w:val="en-US" w:eastAsia="zh-CN" w:bidi="ar-SA"/>
                    </w:rPr>
                    <w:t>12</w:t>
                  </w:r>
                  <w:r>
                    <w:rPr>
                      <w:rFonts w:hint="default" w:cs="Times New Roman"/>
                      <w:color w:val="auto"/>
                      <w:kern w:val="2"/>
                      <w:sz w:val="21"/>
                      <w:szCs w:val="24"/>
                      <w:lang w:val="en-US" w:eastAsia="zh-CN" w:bidi="ar-SA"/>
                    </w:rPr>
                    <w:t>O</w:t>
                  </w:r>
                  <w:r>
                    <w:rPr>
                      <w:rFonts w:hint="default" w:cs="Times New Roman"/>
                      <w:color w:val="auto"/>
                      <w:kern w:val="2"/>
                      <w:sz w:val="21"/>
                      <w:szCs w:val="24"/>
                      <w:vertAlign w:val="subscript"/>
                      <w:lang w:val="en-US" w:eastAsia="zh-CN" w:bidi="ar-SA"/>
                    </w:rPr>
                    <w:t>2</w:t>
                  </w:r>
                  <w:r>
                    <w:rPr>
                      <w:rFonts w:hint="eastAsia" w:cs="Times New Roman"/>
                      <w:color w:val="auto"/>
                      <w:kern w:val="2"/>
                      <w:sz w:val="21"/>
                      <w:szCs w:val="24"/>
                      <w:lang w:val="zh-TW" w:eastAsia="zh-CN" w:bidi="ar-SA"/>
                    </w:rPr>
                    <w:t>，</w:t>
                  </w:r>
                  <w:r>
                    <w:rPr>
                      <w:rFonts w:hint="eastAsia" w:cs="Times New Roman"/>
                      <w:color w:val="auto"/>
                      <w:kern w:val="2"/>
                      <w:sz w:val="21"/>
                      <w:szCs w:val="24"/>
                      <w:lang w:val="en-US" w:eastAsia="zh-CN" w:bidi="ar-SA"/>
                    </w:rPr>
                    <w:t>无色液体。相对密度0.894。熔点- 64.6℃。沸点146～148℃；69℃ (6.7kPa)。闪点（闭杯）39℃。折射率1.4174。溶于乙醇、乙醚、丙酮等有机溶剂。几乎不溶于水，20℃时在水中溶解度为0.14g/l00mL。</w:t>
                  </w:r>
                </w:p>
              </w:tc>
              <w:tc>
                <w:tcPr>
                  <w:tcW w:w="1034"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易燃</w:t>
                  </w:r>
                </w:p>
              </w:tc>
              <w:tc>
                <w:tcPr>
                  <w:tcW w:w="1899"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LD</w:t>
                  </w:r>
                  <w:r>
                    <w:rPr>
                      <w:rFonts w:hint="eastAsia" w:cs="Times New Roman"/>
                      <w:color w:val="auto"/>
                      <w:kern w:val="2"/>
                      <w:sz w:val="21"/>
                      <w:szCs w:val="24"/>
                      <w:vertAlign w:val="subscript"/>
                      <w:lang w:val="en-US" w:eastAsia="zh-CN" w:bidi="ar-SA"/>
                    </w:rPr>
                    <w:t>50</w:t>
                  </w:r>
                  <w:r>
                    <w:rPr>
                      <w:rFonts w:hint="eastAsia" w:cs="Times New Roman"/>
                      <w:color w:val="auto"/>
                      <w:kern w:val="2"/>
                      <w:sz w:val="21"/>
                      <w:szCs w:val="24"/>
                      <w:lang w:val="en-US" w:eastAsia="zh-CN" w:bidi="ar-SA"/>
                    </w:rPr>
                    <w:t>为3730mg/kg（大鼠经口）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AA（丙烯酸）</w:t>
                  </w:r>
                </w:p>
              </w:tc>
              <w:tc>
                <w:tcPr>
                  <w:tcW w:w="3867" w:type="dxa"/>
                  <w:vAlign w:val="center"/>
                </w:tcPr>
                <w:p>
                  <w:pPr>
                    <w:spacing w:line="240" w:lineRule="auto"/>
                    <w:jc w:val="center"/>
                    <w:rPr>
                      <w:rFonts w:hint="eastAsia" w:cs="Times New Roman"/>
                      <w:color w:val="auto"/>
                      <w:kern w:val="2"/>
                      <w:sz w:val="21"/>
                      <w:szCs w:val="24"/>
                      <w:lang w:val="zh-TW" w:eastAsia="zh-CN" w:bidi="ar-SA"/>
                    </w:rPr>
                  </w:pPr>
                  <w:r>
                    <w:rPr>
                      <w:rFonts w:hint="default" w:cs="Times New Roman"/>
                      <w:color w:val="auto"/>
                      <w:kern w:val="2"/>
                      <w:sz w:val="21"/>
                      <w:szCs w:val="24"/>
                      <w:lang w:val="en-US" w:eastAsia="zh-CN" w:bidi="ar-SA"/>
                    </w:rPr>
                    <w:t>化学式:C</w:t>
                  </w:r>
                  <w:r>
                    <w:rPr>
                      <w:rFonts w:hint="default" w:cs="Times New Roman"/>
                      <w:color w:val="auto"/>
                      <w:kern w:val="2"/>
                      <w:sz w:val="21"/>
                      <w:szCs w:val="24"/>
                      <w:vertAlign w:val="subscript"/>
                      <w:lang w:val="en-US" w:eastAsia="zh-CN" w:bidi="ar-SA"/>
                    </w:rPr>
                    <w:t>3</w:t>
                  </w:r>
                  <w:r>
                    <w:rPr>
                      <w:rFonts w:hint="default" w:cs="Times New Roman"/>
                      <w:color w:val="auto"/>
                      <w:kern w:val="2"/>
                      <w:sz w:val="21"/>
                      <w:szCs w:val="24"/>
                      <w:lang w:val="en-US" w:eastAsia="zh-CN" w:bidi="ar-SA"/>
                    </w:rPr>
                    <w:t>H</w:t>
                  </w:r>
                  <w:r>
                    <w:rPr>
                      <w:rFonts w:hint="default" w:cs="Times New Roman"/>
                      <w:color w:val="auto"/>
                      <w:kern w:val="2"/>
                      <w:sz w:val="21"/>
                      <w:szCs w:val="24"/>
                      <w:vertAlign w:val="subscript"/>
                      <w:lang w:val="en-US" w:eastAsia="zh-CN" w:bidi="ar-SA"/>
                    </w:rPr>
                    <w:t>4</w:t>
                  </w:r>
                  <w:r>
                    <w:rPr>
                      <w:rFonts w:hint="default" w:cs="Times New Roman"/>
                      <w:color w:val="auto"/>
                      <w:kern w:val="2"/>
                      <w:sz w:val="21"/>
                      <w:szCs w:val="24"/>
                      <w:lang w:val="en-US" w:eastAsia="zh-CN" w:bidi="ar-SA"/>
                    </w:rPr>
                    <w:t>O</w:t>
                  </w:r>
                  <w:r>
                    <w:rPr>
                      <w:rFonts w:hint="default" w:cs="Times New Roman"/>
                      <w:color w:val="auto"/>
                      <w:kern w:val="2"/>
                      <w:sz w:val="21"/>
                      <w:szCs w:val="24"/>
                      <w:vertAlign w:val="subscript"/>
                      <w:lang w:val="en-US" w:eastAsia="zh-CN" w:bidi="ar-SA"/>
                    </w:rPr>
                    <w:t>2</w:t>
                  </w:r>
                  <w:r>
                    <w:rPr>
                      <w:rFonts w:hint="eastAsia" w:cs="Times New Roman"/>
                      <w:color w:val="auto"/>
                      <w:kern w:val="2"/>
                      <w:sz w:val="21"/>
                      <w:szCs w:val="24"/>
                      <w:lang w:val="zh-TW" w:eastAsia="zh-CN" w:bidi="ar-SA"/>
                    </w:rPr>
                    <w:t>，</w:t>
                  </w:r>
                  <w:r>
                    <w:rPr>
                      <w:rFonts w:hint="default" w:cs="Times New Roman"/>
                      <w:color w:val="auto"/>
                      <w:kern w:val="2"/>
                      <w:sz w:val="21"/>
                      <w:szCs w:val="24"/>
                      <w:lang w:val="en-US" w:eastAsia="zh-CN" w:bidi="ar-SA"/>
                    </w:rPr>
                    <w:t>无色液体，有刺激性气味。酸性强，有严重腐蚀性。熔点13.5℃。沸点141℃(101.3kPa)。相对密度1.052。闪点（开杯）68.3℃。折射率1. 4185。能溶于水、乙醇和乙醚，易聚合。</w:t>
                  </w:r>
                </w:p>
              </w:tc>
              <w:tc>
                <w:tcPr>
                  <w:tcW w:w="1034" w:type="dxa"/>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易燃</w:t>
                  </w:r>
                </w:p>
              </w:tc>
              <w:tc>
                <w:tcPr>
                  <w:tcW w:w="1899" w:type="dxa"/>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LD</w:t>
                  </w:r>
                  <w:r>
                    <w:rPr>
                      <w:rFonts w:hint="eastAsia" w:cs="Times New Roman"/>
                      <w:color w:val="auto"/>
                      <w:kern w:val="2"/>
                      <w:sz w:val="21"/>
                      <w:szCs w:val="24"/>
                      <w:vertAlign w:val="subscript"/>
                      <w:lang w:val="en-US" w:eastAsia="zh-CN" w:bidi="ar-SA"/>
                    </w:rPr>
                    <w:t>50</w:t>
                  </w:r>
                  <w:r>
                    <w:rPr>
                      <w:rFonts w:hint="eastAsia" w:cs="Times New Roman"/>
                      <w:color w:val="auto"/>
                      <w:kern w:val="2"/>
                      <w:sz w:val="21"/>
                      <w:szCs w:val="24"/>
                      <w:lang w:val="en-US" w:eastAsia="zh-CN" w:bidi="ar-SA"/>
                    </w:rPr>
                    <w:t>为590mg/kg（大鼠口服）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pStyle w:val="77"/>
                    <w:spacing w:line="240" w:lineRule="exact"/>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lang w:val="en-US" w:eastAsia="zh-CN"/>
                    </w:rPr>
                    <w:t>水性丙烯酸乳液</w:t>
                  </w:r>
                </w:p>
              </w:tc>
              <w:tc>
                <w:tcPr>
                  <w:tcW w:w="3867"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分子式</w:t>
                  </w:r>
                  <w:r>
                    <w:rPr>
                      <w:rFonts w:hint="default" w:ascii="Times New Roman" w:hAnsi="Times New Roman" w:eastAsia="宋体" w:cs="Times New Roman"/>
                      <w:color w:val="auto"/>
                      <w:lang w:val="en-US" w:eastAsia="zh-CN"/>
                    </w:rPr>
                    <w:t>C</w:t>
                  </w:r>
                  <w:r>
                    <w:rPr>
                      <w:rFonts w:hint="default" w:ascii="Times New Roman" w:hAnsi="Times New Roman" w:eastAsia="宋体" w:cs="Times New Roman"/>
                      <w:color w:val="auto"/>
                      <w:vertAlign w:val="subscript"/>
                      <w:lang w:val="en-US" w:eastAsia="zh-CN"/>
                    </w:rPr>
                    <w:t>16</w:t>
                  </w:r>
                  <w:r>
                    <w:rPr>
                      <w:rFonts w:hint="default" w:ascii="Times New Roman" w:hAnsi="Times New Roman" w:eastAsia="宋体" w:cs="Times New Roman"/>
                      <w:color w:val="auto"/>
                      <w:lang w:val="en-US" w:eastAsia="zh-CN"/>
                    </w:rPr>
                    <w:t>H</w:t>
                  </w:r>
                  <w:r>
                    <w:rPr>
                      <w:rFonts w:hint="default" w:ascii="Times New Roman" w:hAnsi="Times New Roman" w:eastAsia="宋体" w:cs="Times New Roman"/>
                      <w:color w:val="auto"/>
                      <w:vertAlign w:val="subscript"/>
                      <w:lang w:val="en-US" w:eastAsia="zh-CN"/>
                    </w:rPr>
                    <w:t>20</w:t>
                  </w:r>
                  <w:r>
                    <w:rPr>
                      <w:rFonts w:hint="default" w:ascii="Times New Roman" w:hAnsi="Times New Roman" w:eastAsia="宋体" w:cs="Times New Roman"/>
                      <w:color w:val="auto"/>
                      <w:lang w:val="en-US" w:eastAsia="zh-CN"/>
                    </w:rPr>
                    <w:t>O</w:t>
                  </w:r>
                  <w:r>
                    <w:rPr>
                      <w:rFonts w:hint="default" w:ascii="Times New Roman" w:hAnsi="Times New Roman" w:eastAsia="宋体" w:cs="Times New Roman"/>
                      <w:color w:val="auto"/>
                      <w:vertAlign w:val="subscript"/>
                      <w:lang w:val="en-US" w:eastAsia="zh-CN"/>
                    </w:rPr>
                    <w:t>4</w:t>
                  </w:r>
                  <w:r>
                    <w:rPr>
                      <w:rFonts w:hint="eastAsia" w:ascii="Times New Roman" w:hAnsi="Times New Roman" w:eastAsia="宋体" w:cs="Times New Roman"/>
                      <w:color w:val="auto"/>
                      <w:lang w:val="en-US" w:eastAsia="zh-CN"/>
                    </w:rPr>
                    <w:t>，分子量276.328，光泽度高，保光性好。</w:t>
                  </w:r>
                </w:p>
              </w:tc>
              <w:tc>
                <w:tcPr>
                  <w:tcW w:w="1034" w:type="dxa"/>
                  <w:vAlign w:val="center"/>
                </w:tcPr>
                <w:p>
                  <w:pPr>
                    <w:pStyle w:val="77"/>
                    <w:spacing w:line="240" w:lineRule="exact"/>
                    <w:jc w:val="center"/>
                    <w:rPr>
                      <w:rFonts w:hint="eastAsia"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c>
                <w:tcPr>
                  <w:tcW w:w="1899" w:type="dxa"/>
                  <w:vAlign w:val="center"/>
                </w:tcPr>
                <w:p>
                  <w:pPr>
                    <w:pStyle w:val="77"/>
                    <w:spacing w:line="240" w:lineRule="exact"/>
                    <w:jc w:val="center"/>
                    <w:rPr>
                      <w:rFonts w:hint="eastAsia"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pStyle w:val="77"/>
                    <w:keepNext w:val="0"/>
                    <w:keepLines w:val="0"/>
                    <w:pageBreakBefore w:val="0"/>
                    <w:widowControl w:val="0"/>
                    <w:kinsoku/>
                    <w:wordWrap/>
                    <w:overflowPunct/>
                    <w:topLinePunct w:val="0"/>
                    <w:autoSpaceDE/>
                    <w:autoSpaceDN/>
                    <w:bidi w:val="0"/>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助剂</w:t>
                  </w:r>
                </w:p>
              </w:tc>
              <w:tc>
                <w:tcPr>
                  <w:tcW w:w="3867"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外观为无色透明液体，沸点255℃，凝固点-50℃，密度0.945-0.955g/cm³（20℃），具有水解稳定性高、冰点低的特点</w:t>
                  </w:r>
                </w:p>
              </w:tc>
              <w:tc>
                <w:tcPr>
                  <w:tcW w:w="1034" w:type="dxa"/>
                  <w:vAlign w:val="center"/>
                </w:tcPr>
                <w:p>
                  <w:pPr>
                    <w:pStyle w:val="77"/>
                    <w:spacing w:line="240" w:lineRule="exact"/>
                    <w:jc w:val="center"/>
                    <w:rPr>
                      <w:rFonts w:hint="eastAsia"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易燃</w:t>
                  </w:r>
                </w:p>
              </w:tc>
              <w:tc>
                <w:tcPr>
                  <w:tcW w:w="1899" w:type="dxa"/>
                  <w:vAlign w:val="center"/>
                </w:tcPr>
                <w:p>
                  <w:pPr>
                    <w:pStyle w:val="77"/>
                    <w:spacing w:line="240" w:lineRule="exact"/>
                    <w:jc w:val="center"/>
                    <w:rPr>
                      <w:rFonts w:hint="eastAsia" w:cs="Times New Roman"/>
                      <w:color w:val="auto"/>
                      <w:kern w:val="2"/>
                      <w:sz w:val="21"/>
                      <w:szCs w:val="24"/>
                      <w:lang w:val="en-US" w:eastAsia="zh-CN" w:bidi="ar-SA"/>
                    </w:rPr>
                  </w:pPr>
                  <w:r>
                    <w:rPr>
                      <w:rFonts w:ascii="Times New Roman" w:hAnsi="Times New Roman"/>
                      <w:color w:val="auto"/>
                      <w:lang w:val="en-US" w:eastAsia="zh-CN"/>
                    </w:rPr>
                    <w:t>LD</w:t>
                  </w:r>
                  <w:r>
                    <w:rPr>
                      <w:rFonts w:ascii="Times New Roman" w:hAnsi="Times New Roman"/>
                      <w:color w:val="auto"/>
                      <w:vertAlign w:val="subscript"/>
                      <w:lang w:val="en-US" w:eastAsia="zh-CN"/>
                    </w:rPr>
                    <w:t>50</w:t>
                  </w:r>
                  <w:r>
                    <w:rPr>
                      <w:rFonts w:hint="eastAsia"/>
                      <w:color w:val="auto"/>
                      <w:lang w:val="en-US" w:eastAsia="zh-CN"/>
                    </w:rPr>
                    <w:t>为</w:t>
                  </w:r>
                  <w:r>
                    <w:rPr>
                      <w:rFonts w:hint="eastAsia" w:ascii="Times New Roman" w:hAnsi="Times New Roman"/>
                      <w:color w:val="auto"/>
                      <w:lang w:val="en-US" w:eastAsia="zh-CN"/>
                    </w:rPr>
                    <w:t>6517</w:t>
                  </w:r>
                  <w:r>
                    <w:rPr>
                      <w:rFonts w:ascii="Times New Roman" w:hAnsi="Times New Roman"/>
                      <w:color w:val="auto"/>
                      <w:lang w:val="en-US" w:eastAsia="zh-CN"/>
                    </w:rPr>
                    <w:t>mg/kg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pStyle w:val="77"/>
                    <w:keepNext w:val="0"/>
                    <w:keepLines w:val="0"/>
                    <w:pageBreakBefore w:val="0"/>
                    <w:widowControl w:val="0"/>
                    <w:kinsoku/>
                    <w:wordWrap/>
                    <w:overflowPunct/>
                    <w:topLinePunct w:val="0"/>
                    <w:autoSpaceDE/>
                    <w:autoSpaceDN/>
                    <w:bidi w:val="0"/>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颜填料</w:t>
                  </w:r>
                </w:p>
              </w:tc>
              <w:tc>
                <w:tcPr>
                  <w:tcW w:w="3867"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无臭、无味的白色粉末或无色结晶。白色粉末，无臭、无味。 几乎不溶于水。不溶于醇，化学式‌</w:t>
                  </w:r>
                  <w:r>
                    <w:rPr>
                      <w:rFonts w:hint="default" w:ascii="Times New Roman" w:hAnsi="Times New Roman" w:eastAsia="宋体" w:cs="Times New Roman"/>
                      <w:color w:val="auto"/>
                      <w:lang w:val="en-US" w:eastAsia="zh-CN"/>
                    </w:rPr>
                    <w:t>：</w:t>
                  </w:r>
                  <w:r>
                    <w:rPr>
                      <w:rFonts w:hint="eastAsia" w:ascii="Times New Roman" w:hAnsi="Times New Roman" w:eastAsia="宋体" w:cs="Times New Roman"/>
                      <w:color w:val="auto"/>
                      <w:lang w:val="en-US" w:eastAsia="zh-CN"/>
                    </w:rPr>
                    <w:t>CaCO</w:t>
                  </w:r>
                  <w:r>
                    <w:rPr>
                      <w:rFonts w:hint="eastAsia" w:ascii="Times New Roman" w:hAnsi="Times New Roman" w:eastAsia="宋体" w:cs="Times New Roman"/>
                      <w:color w:val="auto"/>
                      <w:vertAlign w:val="subscript"/>
                      <w:lang w:val="en-US" w:eastAsia="zh-CN"/>
                    </w:rPr>
                    <w:t>3</w:t>
                  </w:r>
                  <w:r>
                    <w:rPr>
                      <w:rFonts w:hint="default" w:ascii="Times New Roman" w:hAnsi="Times New Roman" w:eastAsia="宋体" w:cs="Times New Roman"/>
                      <w:color w:val="auto"/>
                      <w:lang w:val="en-US" w:eastAsia="zh-CN"/>
                    </w:rPr>
                    <w:t>，分子量100.09 g/mol</w:t>
                  </w:r>
                  <w:r>
                    <w:rPr>
                      <w:rFonts w:hint="eastAsia" w:ascii="Times New Roman" w:hAnsi="Times New Roman" w:eastAsia="宋体" w:cs="Times New Roman"/>
                      <w:color w:val="auto"/>
                      <w:lang w:val="en-US" w:eastAsia="zh-CN"/>
                    </w:rPr>
                    <w:t>，</w:t>
                  </w:r>
                </w:p>
              </w:tc>
              <w:tc>
                <w:tcPr>
                  <w:tcW w:w="1034" w:type="dxa"/>
                  <w:vAlign w:val="center"/>
                </w:tcPr>
                <w:p>
                  <w:pPr>
                    <w:pStyle w:val="77"/>
                    <w:spacing w:line="240" w:lineRule="exact"/>
                    <w:jc w:val="center"/>
                    <w:rPr>
                      <w:rFonts w:hint="eastAsia"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c>
                <w:tcPr>
                  <w:tcW w:w="1899" w:type="dxa"/>
                  <w:vAlign w:val="center"/>
                </w:tcPr>
                <w:p>
                  <w:pPr>
                    <w:pStyle w:val="77"/>
                    <w:spacing w:line="240" w:lineRule="exact"/>
                    <w:jc w:val="center"/>
                    <w:rPr>
                      <w:rFonts w:hint="eastAsia"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LD</w:t>
                  </w:r>
                  <w:r>
                    <w:rPr>
                      <w:rFonts w:hint="eastAsia" w:ascii="Times New Roman" w:hAnsi="Times New Roman" w:eastAsia="宋体" w:cs="Times New Roman"/>
                      <w:color w:val="auto"/>
                      <w:vertAlign w:val="subscript"/>
                      <w:lang w:val="en-US" w:eastAsia="zh-CN"/>
                    </w:rPr>
                    <w:t>50</w:t>
                  </w:r>
                  <w:r>
                    <w:rPr>
                      <w:rFonts w:hint="eastAsia" w:cs="Times New Roman"/>
                      <w:color w:val="auto"/>
                      <w:lang w:val="en-US" w:eastAsia="zh-CN"/>
                    </w:rPr>
                    <w:t>为</w:t>
                  </w:r>
                  <w:r>
                    <w:rPr>
                      <w:rFonts w:hint="default" w:ascii="Times New Roman" w:hAnsi="Times New Roman" w:eastAsia="宋体" w:cs="Times New Roman"/>
                      <w:color w:val="auto"/>
                      <w:lang w:val="en-US" w:eastAsia="zh-CN"/>
                    </w:rPr>
                    <w:t>6450mg/kg</w:t>
                  </w:r>
                  <w:r>
                    <w:rPr>
                      <w:rFonts w:ascii="Times New Roman" w:hAnsi="Times New Roman"/>
                      <w:color w:val="auto"/>
                      <w:lang w:val="en-US" w:eastAsia="zh-CN"/>
                    </w:rPr>
                    <w:t>（大鼠经口）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54" w:type="dxa"/>
                  <w:vAlign w:val="center"/>
                </w:tcPr>
                <w:p>
                  <w:pPr>
                    <w:pStyle w:val="77"/>
                    <w:keepNext w:val="0"/>
                    <w:keepLines w:val="0"/>
                    <w:pageBreakBefore w:val="0"/>
                    <w:widowControl w:val="0"/>
                    <w:kinsoku/>
                    <w:wordWrap/>
                    <w:overflowPunct/>
                    <w:topLinePunct w:val="0"/>
                    <w:autoSpaceDE/>
                    <w:autoSpaceDN/>
                    <w:bidi w:val="0"/>
                    <w:spacing w:line="240" w:lineRule="auto"/>
                    <w:jc w:val="center"/>
                    <w:rPr>
                      <w:rFonts w:hint="eastAsia"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丙二醇二醋酸酯</w:t>
                  </w:r>
                </w:p>
              </w:tc>
              <w:tc>
                <w:tcPr>
                  <w:tcW w:w="3867"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熔点-31</w:t>
                  </w:r>
                  <w:r>
                    <w:rPr>
                      <w:rFonts w:hint="eastAsia" w:cs="Times New Roman"/>
                      <w:color w:val="auto"/>
                      <w:lang w:val="en-US" w:eastAsia="zh-CN"/>
                    </w:rPr>
                    <w:t>℃，</w:t>
                  </w:r>
                  <w:r>
                    <w:rPr>
                      <w:rFonts w:hint="eastAsia" w:ascii="Times New Roman" w:hAnsi="Times New Roman" w:eastAsia="宋体" w:cs="Times New Roman"/>
                      <w:color w:val="auto"/>
                      <w:lang w:val="en-US" w:eastAsia="zh-CN"/>
                    </w:rPr>
                    <w:t>沸点191</w:t>
                  </w:r>
                  <w:r>
                    <w:rPr>
                      <w:rFonts w:hint="eastAsia" w:cs="Times New Roman"/>
                      <w:color w:val="auto"/>
                      <w:lang w:val="en-US" w:eastAsia="zh-CN"/>
                    </w:rPr>
                    <w:t>℃</w:t>
                  </w:r>
                  <w:r>
                    <w:rPr>
                      <w:rFonts w:hint="eastAsia" w:ascii="Times New Roman" w:hAnsi="Times New Roman" w:eastAsia="宋体" w:cs="Times New Roman"/>
                      <w:color w:val="auto"/>
                      <w:lang w:val="en-US" w:eastAsia="zh-CN"/>
                    </w:rPr>
                    <w:t>(lit.)密度1.05 g/mL at 25 °C(lit.)蒸气压，形态透明液体颜色无色至几乎无色气味 (Odor)果味醋酸味</w:t>
                  </w:r>
                </w:p>
              </w:tc>
              <w:tc>
                <w:tcPr>
                  <w:tcW w:w="1034"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可燃</w:t>
                  </w:r>
                </w:p>
              </w:tc>
              <w:tc>
                <w:tcPr>
                  <w:tcW w:w="1899" w:type="dxa"/>
                  <w:vAlign w:val="center"/>
                </w:tcPr>
                <w:p>
                  <w:pPr>
                    <w:pStyle w:val="77"/>
                    <w:spacing w:line="240" w:lineRule="exact"/>
                    <w:jc w:val="center"/>
                    <w:rPr>
                      <w:rFonts w:hint="default" w:cs="Times New Roman"/>
                      <w:color w:val="auto"/>
                      <w:kern w:val="2"/>
                      <w:sz w:val="21"/>
                      <w:szCs w:val="24"/>
                      <w:lang w:val="en-US" w:eastAsia="zh-CN" w:bidi="ar-SA"/>
                    </w:rPr>
                  </w:pPr>
                  <w:r>
                    <w:rPr>
                      <w:rFonts w:hint="eastAsia" w:ascii="Times New Roman" w:hAnsi="Times New Roman" w:eastAsia="宋体" w:cs="Times New Roman"/>
                      <w:color w:val="auto"/>
                      <w:lang w:val="en-US" w:eastAsia="zh-CN"/>
                    </w:rPr>
                    <w:t>/</w:t>
                  </w:r>
                </w:p>
              </w:tc>
            </w:tr>
          </w:tbl>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4、劳动定员及工作制度</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本项目技改扩建后，新增30人，全厂职工人数为80人，实行单班工作制，每班工作8小时，年工作300天，全年工作时间2400小时，厂区不提供食宿。</w:t>
            </w: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5、厂区平面布置</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本项目位于</w:t>
            </w:r>
            <w:r>
              <w:rPr>
                <w:rFonts w:hint="default" w:ascii="Times New Roman" w:hAnsi="Times New Roman" w:eastAsia="宋体" w:cs="Times New Roman"/>
                <w:color w:val="auto"/>
                <w:kern w:val="0"/>
                <w:sz w:val="24"/>
                <w:szCs w:val="24"/>
                <w:highlight w:val="none"/>
                <w:lang w:val="en-US" w:eastAsia="zh-CN"/>
              </w:rPr>
              <w:t>江苏省如皋市城北街道起凤西路118号</w:t>
            </w:r>
            <w:r>
              <w:rPr>
                <w:rFonts w:hint="eastAsia" w:cs="Times New Roman"/>
                <w:color w:val="auto"/>
                <w:kern w:val="0"/>
                <w:sz w:val="24"/>
                <w:szCs w:val="24"/>
                <w:highlight w:val="none"/>
                <w:lang w:val="en-US" w:eastAsia="zh-CN"/>
              </w:rPr>
              <w:t>，利用自有厂房进行生产，厂区自北向南设置为：外租厂房1、植绒区、仓库2、生产车间、仓库1、生产车间。从整体上看，平面布局较为合理。</w:t>
            </w: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6、项目周边环境概况</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本项目位于</w:t>
            </w:r>
            <w:r>
              <w:rPr>
                <w:rFonts w:hint="default" w:ascii="Times New Roman" w:hAnsi="Times New Roman" w:eastAsia="宋体" w:cs="Times New Roman"/>
                <w:color w:val="auto"/>
                <w:kern w:val="0"/>
                <w:sz w:val="24"/>
                <w:szCs w:val="24"/>
                <w:highlight w:val="none"/>
                <w:lang w:val="en-US" w:eastAsia="zh-CN"/>
              </w:rPr>
              <w:t>江苏省如皋市城北街道起凤西路118号</w:t>
            </w:r>
            <w:r>
              <w:rPr>
                <w:rFonts w:hint="eastAsia" w:cs="Times New Roman"/>
                <w:color w:val="auto"/>
                <w:kern w:val="0"/>
                <w:sz w:val="24"/>
                <w:szCs w:val="24"/>
                <w:highlight w:val="none"/>
                <w:lang w:val="en-US" w:eastAsia="zh-CN"/>
              </w:rPr>
              <w:t>，项目东侧为空地，项目西侧为江苏鑫鹏建设工程有限公司，项目北侧为空地，项目南侧为南通江森电子科技有限公司、南通市东和电子有限公司，项目周边环境图见附图。</w:t>
            </w: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rPr>
                <w:rFonts w:hint="eastAsia" w:cs="Times New Roman"/>
                <w:color w:val="auto"/>
                <w:kern w:val="0"/>
                <w:sz w:val="24"/>
                <w:szCs w:val="24"/>
                <w:highlight w:val="none"/>
                <w:lang w:val="en-US" w:eastAsia="zh-CN"/>
              </w:rPr>
            </w:pPr>
          </w:p>
          <w:p>
            <w:pPr>
              <w:numPr>
                <w:ilvl w:val="0"/>
                <w:numId w:val="0"/>
              </w:numPr>
              <w:autoSpaceDE w:val="0"/>
              <w:autoSpaceDN w:val="0"/>
              <w:adjustRightInd w:val="0"/>
              <w:snapToGrid w:val="0"/>
              <w:spacing w:line="360" w:lineRule="auto"/>
              <w:ind w:leftChars="0" w:firstLine="482" w:firstLineChars="200"/>
              <w:rPr>
                <w:rFonts w:hint="eastAsia"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7、项目水平衡</w:t>
            </w:r>
          </w:p>
          <w:p>
            <w:pPr>
              <w:pStyle w:val="2"/>
              <w:numPr>
                <w:ilvl w:val="0"/>
                <w:numId w:val="0"/>
              </w:numPr>
              <w:ind w:leftChars="0" w:right="113" w:rightChars="0"/>
              <w:jc w:val="both"/>
              <w:rPr>
                <w:rFonts w:hint="default"/>
                <w:lang w:val="en-US" w:eastAsia="zh-CN"/>
              </w:rPr>
            </w:pPr>
            <w:r>
              <w:rPr>
                <w:b/>
                <w:bCs/>
                <w:color w:val="auto"/>
                <w:sz w:val="21"/>
                <w:highlight w:val="none"/>
              </w:rPr>
              <w:pict>
                <v:shape id="_x0000_s2055" o:spid="_x0000_s2055" o:spt="75" type="#_x0000_t75" style="position:absolute;left:0pt;margin-left:30.2pt;margin-top:-22.3pt;height:207.7pt;width:297.25pt;mso-wrap-distance-bottom:0pt;mso-wrap-distance-top:0pt;z-index:251664384;mso-width-relative:page;mso-height-relative:page;" o:ole="t" filled="f" o:preferrelative="t" stroked="f" coordsize="21600,21600">
                  <v:path/>
                  <v:fill on="f" focussize="0,0"/>
                  <v:stroke on="f"/>
                  <v:imagedata r:id="rId11" o:title=""/>
                  <o:lock v:ext="edit" aspectratio="f"/>
                  <w10:wrap type="topAndBottom"/>
                </v:shape>
                <o:OLEObject Type="Embed" ProgID="Visio.Drawing.15" ShapeID="_x0000_s2055" DrawAspect="Content" ObjectID="_1468075725" r:id="rId10">
                  <o:LockedField>false</o:LockedField>
                </o:OLEObject>
              </w:pict>
            </w:r>
          </w:p>
          <w:p>
            <w:pPr>
              <w:pStyle w:val="2"/>
              <w:jc w:val="center"/>
              <w:rPr>
                <w:rFonts w:hint="eastAsia" w:cs="Times New Roman"/>
                <w:color w:val="auto"/>
                <w:kern w:val="0"/>
                <w:sz w:val="24"/>
                <w:szCs w:val="24"/>
                <w:highlight w:val="none"/>
                <w:lang w:val="en-US" w:eastAsia="zh-CN"/>
              </w:rPr>
            </w:pPr>
            <w:r>
              <w:rPr>
                <w:rFonts w:hint="default" w:ascii="Times New Roman" w:hAnsi="Times New Roman" w:cs="Times New Roman" w:eastAsiaTheme="minorEastAsia"/>
                <w:b/>
                <w:color w:val="auto"/>
                <w:kern w:val="0"/>
                <w:sz w:val="21"/>
                <w:szCs w:val="21"/>
                <w:highlight w:val="none"/>
                <w:lang w:val="en-US" w:eastAsia="zh-CN"/>
              </w:rPr>
              <w:t>图2-</w:t>
            </w:r>
            <w:r>
              <w:rPr>
                <w:rFonts w:hint="eastAsia" w:cs="Times New Roman" w:eastAsiaTheme="minorEastAsia"/>
                <w:b/>
                <w:color w:val="auto"/>
                <w:kern w:val="0"/>
                <w:sz w:val="21"/>
                <w:szCs w:val="21"/>
                <w:highlight w:val="none"/>
                <w:lang w:val="en-US" w:eastAsia="zh-CN"/>
              </w:rPr>
              <w:t>1本</w:t>
            </w:r>
            <w:r>
              <w:rPr>
                <w:rFonts w:hint="default" w:ascii="Times New Roman" w:hAnsi="Times New Roman" w:cs="Times New Roman" w:eastAsiaTheme="minorEastAsia"/>
                <w:b/>
                <w:color w:val="auto"/>
                <w:kern w:val="0"/>
                <w:sz w:val="21"/>
                <w:szCs w:val="21"/>
                <w:highlight w:val="none"/>
                <w:lang w:val="en-US" w:eastAsia="zh-CN"/>
              </w:rPr>
              <w:t>项目水平衡图（单位：t/a）</w:t>
            </w: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r>
              <w:rPr>
                <w:color w:val="auto"/>
              </w:rPr>
              <w:object>
                <v:shape id="_x0000_i1025" o:spt="75" type="#_x0000_t75" style="height:272.3pt;width:346.95pt;" o:ole="t" filled="f" o:preferrelative="t" stroked="f" coordsize="21600,21600">
                  <v:path/>
                  <v:fill on="f" focussize="0,0"/>
                  <v:stroke on="f"/>
                  <v:imagedata r:id="rId13" o:title=""/>
                  <o:lock v:ext="edit" aspectratio="f"/>
                  <w10:wrap type="none"/>
                  <w10:anchorlock/>
                </v:shape>
                <o:OLEObject Type="Embed" ProgID="Visio.Drawing.15" ShapeID="_x0000_i1025" DrawAspect="Content" ObjectID="_1468075726" r:id="rId12">
                  <o:LockedField>false</o:LockedField>
                </o:OLEObject>
              </w:object>
            </w:r>
          </w:p>
          <w:p>
            <w:pPr>
              <w:rPr>
                <w:rFonts w:hint="eastAsia" w:cs="Times New Roman"/>
                <w:color w:val="auto"/>
                <w:kern w:val="0"/>
                <w:sz w:val="24"/>
                <w:szCs w:val="24"/>
                <w:highlight w:val="none"/>
                <w:lang w:val="en-US" w:eastAsia="zh-CN"/>
              </w:rPr>
            </w:pPr>
          </w:p>
          <w:p>
            <w:pPr>
              <w:pStyle w:val="2"/>
              <w:rPr>
                <w:rFonts w:hint="eastAsia" w:cs="Times New Roman"/>
                <w:color w:val="auto"/>
                <w:kern w:val="0"/>
                <w:sz w:val="24"/>
                <w:szCs w:val="24"/>
                <w:highlight w:val="none"/>
                <w:lang w:val="en-US" w:eastAsia="zh-CN"/>
              </w:rPr>
            </w:pPr>
          </w:p>
          <w:p>
            <w:pPr>
              <w:jc w:val="center"/>
              <w:rPr>
                <w:rFonts w:hint="default"/>
                <w:color w:val="auto"/>
              </w:rPr>
            </w:pPr>
            <w:r>
              <w:rPr>
                <w:rFonts w:hint="default" w:ascii="Times New Roman" w:hAnsi="Times New Roman" w:cs="Times New Roman" w:eastAsiaTheme="minorEastAsia"/>
                <w:b/>
                <w:color w:val="auto"/>
                <w:kern w:val="0"/>
                <w:sz w:val="21"/>
                <w:szCs w:val="21"/>
                <w:highlight w:val="none"/>
                <w:lang w:val="en-US" w:eastAsia="zh-CN"/>
              </w:rPr>
              <w:t>图2-</w:t>
            </w:r>
            <w:r>
              <w:rPr>
                <w:rFonts w:hint="eastAsia" w:cs="Times New Roman" w:eastAsiaTheme="minorEastAsia"/>
                <w:b/>
                <w:color w:val="auto"/>
                <w:kern w:val="0"/>
                <w:sz w:val="21"/>
                <w:szCs w:val="21"/>
                <w:highlight w:val="none"/>
                <w:lang w:val="en-US" w:eastAsia="zh-CN"/>
              </w:rPr>
              <w:t>2技改扩建后全厂</w:t>
            </w:r>
            <w:r>
              <w:rPr>
                <w:rFonts w:hint="default" w:ascii="Times New Roman" w:hAnsi="Times New Roman" w:cs="Times New Roman" w:eastAsiaTheme="minorEastAsia"/>
                <w:b/>
                <w:color w:val="auto"/>
                <w:kern w:val="0"/>
                <w:sz w:val="21"/>
                <w:szCs w:val="21"/>
                <w:highlight w:val="none"/>
                <w:lang w:val="en-US" w:eastAsia="zh-CN"/>
              </w:rPr>
              <w:t>水平衡图（单位：t/a）</w:t>
            </w:r>
          </w:p>
          <w:p>
            <w:pPr>
              <w:rPr>
                <w:rFonts w:hint="eastAsia" w:cs="Times New Roman"/>
                <w:color w:val="auto"/>
                <w:kern w:val="0"/>
                <w:sz w:val="24"/>
                <w:szCs w:val="24"/>
                <w:highlight w:val="none"/>
                <w:lang w:val="en-US" w:eastAsia="zh-CN"/>
              </w:rPr>
            </w:pPr>
          </w:p>
          <w:p>
            <w:pPr>
              <w:pStyle w:val="22"/>
              <w:adjustRightInd w:val="0"/>
              <w:snapToGrid w:val="0"/>
              <w:spacing w:before="0" w:beforeAutospacing="0" w:after="0" w:afterAutospacing="0"/>
              <w:jc w:val="both"/>
              <w:rPr>
                <w:rFonts w:hint="default" w:ascii="Times New Roman" w:hAnsi="Times New Roman" w:eastAsia="宋体" w:cs="Times New Roman"/>
                <w:b/>
                <w:bCs/>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7" w:hRule="atLeast"/>
        </w:trPr>
        <w:tc>
          <w:tcPr>
            <w:tcW w:w="438" w:type="dxa"/>
            <w:vAlign w:val="center"/>
          </w:tcPr>
          <w:p>
            <w:pPr>
              <w:rPr>
                <w:rFonts w:hint="default" w:ascii="Times New Roman" w:hAnsi="Times New Roman" w:cs="Times New Roman"/>
                <w:color w:val="auto"/>
                <w:spacing w:val="-20"/>
                <w:kern w:val="0"/>
                <w:sz w:val="28"/>
                <w:szCs w:val="28"/>
                <w:highlight w:val="none"/>
              </w:rPr>
            </w:pPr>
            <w:r>
              <w:rPr>
                <w:rFonts w:hint="default" w:ascii="Times New Roman" w:hAnsi="Times New Roman" w:cs="Times New Roman"/>
                <w:color w:val="auto"/>
                <w:kern w:val="0"/>
                <w:sz w:val="24"/>
                <w:szCs w:val="24"/>
                <w:highlight w:val="none"/>
              </w:rPr>
              <w:t>工艺流程和产排污环节</w:t>
            </w:r>
          </w:p>
        </w:tc>
        <w:tc>
          <w:tcPr>
            <w:tcW w:w="8084" w:type="dxa"/>
            <w:vAlign w:val="top"/>
          </w:tcPr>
          <w:p>
            <w:pPr>
              <w:autoSpaceDE w:val="0"/>
              <w:autoSpaceDN w:val="0"/>
              <w:adjustRightInd w:val="0"/>
              <w:snapToGrid w:val="0"/>
              <w:spacing w:line="360" w:lineRule="auto"/>
              <w:ind w:firstLine="482" w:firstLineChars="200"/>
              <w:rPr>
                <w:rFonts w:hint="default" w:cs="Times New Roman"/>
                <w:b/>
                <w:bCs/>
                <w:color w:val="auto"/>
                <w:kern w:val="0"/>
                <w:sz w:val="24"/>
                <w:szCs w:val="24"/>
                <w:highlight w:val="none"/>
                <w:lang w:val="en-US" w:eastAsia="zh-CN"/>
              </w:rPr>
            </w:pPr>
            <w:r>
              <w:rPr>
                <w:rFonts w:hint="default" w:cs="Times New Roman"/>
                <w:b/>
                <w:bCs/>
                <w:color w:val="auto"/>
                <w:kern w:val="0"/>
                <w:sz w:val="24"/>
                <w:szCs w:val="24"/>
                <w:highlight w:val="none"/>
                <w:lang w:val="en-US" w:eastAsia="zh-CN"/>
              </w:rPr>
              <w:t>一、施工期工艺流程和产排污环节</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w:t>
            </w:r>
            <w:r>
              <w:rPr>
                <w:rFonts w:hint="eastAsia" w:cs="Times New Roman"/>
                <w:color w:val="auto"/>
                <w:kern w:val="0"/>
                <w:sz w:val="24"/>
                <w:szCs w:val="24"/>
                <w:highlight w:val="none"/>
                <w:lang w:val="en-US" w:eastAsia="zh-CN"/>
              </w:rPr>
              <w:t>利用</w:t>
            </w:r>
            <w:r>
              <w:rPr>
                <w:rFonts w:hint="eastAsia" w:ascii="Times New Roman" w:hAnsi="Times New Roman" w:eastAsia="宋体" w:cs="Times New Roman"/>
                <w:color w:val="auto"/>
                <w:kern w:val="0"/>
                <w:sz w:val="24"/>
                <w:szCs w:val="24"/>
                <w:highlight w:val="none"/>
                <w:lang w:val="en-US" w:eastAsia="zh-CN"/>
              </w:rPr>
              <w:t>现有厂房，无需进行土建，施工期主要进行相关设备的调试安装，故施工期影响较小，本次环评不做详细分析。</w:t>
            </w:r>
          </w:p>
          <w:p>
            <w:pPr>
              <w:autoSpaceDE w:val="0"/>
              <w:autoSpaceDN w:val="0"/>
              <w:adjustRightInd w:val="0"/>
              <w:snapToGrid w:val="0"/>
              <w:spacing w:line="360" w:lineRule="auto"/>
              <w:ind w:firstLine="482" w:firstLineChars="200"/>
              <w:rPr>
                <w:rFonts w:hint="default" w:cs="Times New Roman"/>
                <w:b/>
                <w:bCs/>
                <w:color w:val="auto"/>
                <w:kern w:val="0"/>
                <w:sz w:val="24"/>
                <w:szCs w:val="24"/>
                <w:highlight w:val="none"/>
                <w:lang w:val="en-US" w:eastAsia="zh-CN"/>
              </w:rPr>
            </w:pPr>
            <w:r>
              <w:rPr>
                <w:rFonts w:hint="default" w:cs="Times New Roman"/>
                <w:b/>
                <w:bCs/>
                <w:color w:val="auto"/>
                <w:kern w:val="0"/>
                <w:sz w:val="24"/>
                <w:szCs w:val="24"/>
                <w:highlight w:val="none"/>
                <w:lang w:val="en-US" w:eastAsia="zh-CN"/>
              </w:rPr>
              <w:t>二、营运期工艺流程及产污环节</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本项目为技改扩建项目，对现有项目工艺进行技改并扩建，建成后全厂产品产能为</w:t>
            </w:r>
            <w:r>
              <w:rPr>
                <w:rFonts w:hint="eastAsia" w:ascii="Times New Roman" w:hAnsi="Times New Roman" w:cs="Times New Roman"/>
                <w:color w:val="auto"/>
                <w:kern w:val="0"/>
                <w:sz w:val="24"/>
                <w:szCs w:val="24"/>
                <w:highlight w:val="none"/>
                <w:lang w:val="en-US" w:eastAsia="zh-CN"/>
              </w:rPr>
              <w:t>年产5000万个滚筒刷、5000万个板刷、5000万个漆刷</w:t>
            </w:r>
            <w:r>
              <w:rPr>
                <w:rFonts w:hint="eastAsia" w:ascii="Times New Roman" w:hAnsi="Times New Roman" w:eastAsia="宋体" w:cs="Times New Roman"/>
                <w:color w:val="auto"/>
                <w:kern w:val="0"/>
                <w:sz w:val="24"/>
                <w:szCs w:val="24"/>
                <w:highlight w:val="none"/>
                <w:lang w:val="en-US" w:eastAsia="zh-CN"/>
              </w:rPr>
              <w:t>，技改后全厂工艺如下：</w:t>
            </w:r>
          </w:p>
          <w:p>
            <w:pPr>
              <w:autoSpaceDE w:val="0"/>
              <w:autoSpaceDN w:val="0"/>
              <w:adjustRightInd w:val="0"/>
              <w:snapToGrid w:val="0"/>
              <w:spacing w:line="360" w:lineRule="auto"/>
              <w:ind w:firstLine="482" w:firstLineChars="200"/>
              <w:rPr>
                <w:rFonts w:hint="eastAsia"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1、</w:t>
            </w:r>
            <w:r>
              <w:rPr>
                <w:rFonts w:hint="eastAsia" w:cs="Times New Roman"/>
                <w:b/>
                <w:bCs/>
                <w:color w:val="auto"/>
                <w:kern w:val="0"/>
                <w:sz w:val="24"/>
                <w:szCs w:val="24"/>
                <w:highlight w:val="none"/>
                <w:lang w:val="en-US" w:eastAsia="zh-CN"/>
              </w:rPr>
              <w:t>滚筒刷</w:t>
            </w:r>
            <w:r>
              <w:rPr>
                <w:rFonts w:hint="eastAsia" w:ascii="Times New Roman" w:hAnsi="Times New Roman" w:eastAsia="宋体" w:cs="Times New Roman"/>
                <w:b/>
                <w:bCs/>
                <w:color w:val="auto"/>
                <w:kern w:val="0"/>
                <w:sz w:val="24"/>
                <w:szCs w:val="24"/>
                <w:highlight w:val="none"/>
                <w:lang w:val="en-US" w:eastAsia="zh-CN"/>
              </w:rPr>
              <w:t>生产工艺流程</w:t>
            </w:r>
            <w:r>
              <w:rPr>
                <w:rFonts w:hint="eastAsia" w:cs="Times New Roman"/>
                <w:b/>
                <w:bCs/>
                <w:color w:val="auto"/>
                <w:kern w:val="0"/>
                <w:sz w:val="24"/>
                <w:szCs w:val="24"/>
                <w:highlight w:val="none"/>
                <w:lang w:val="en-US" w:eastAsia="zh-CN"/>
              </w:rPr>
              <w:t>及产排污环节</w:t>
            </w:r>
          </w:p>
          <w:p>
            <w:pPr>
              <w:autoSpaceDE w:val="0"/>
              <w:autoSpaceDN w:val="0"/>
              <w:adjustRightInd w:val="0"/>
              <w:snapToGrid w:val="0"/>
              <w:spacing w:line="360" w:lineRule="auto"/>
              <w:ind w:firstLine="482" w:firstLineChars="200"/>
              <w:rPr>
                <w:rFonts w:hint="default" w:cs="Times New Roman"/>
                <w:b/>
                <w:bCs/>
                <w:color w:val="auto"/>
                <w:kern w:val="0"/>
                <w:sz w:val="24"/>
                <w:szCs w:val="24"/>
                <w:highlight w:val="none"/>
                <w:lang w:val="en-US" w:eastAsia="zh-CN"/>
              </w:rPr>
            </w:pPr>
          </w:p>
          <w:p>
            <w:pPr>
              <w:autoSpaceDE w:val="0"/>
              <w:autoSpaceDN w:val="0"/>
              <w:adjustRightInd w:val="0"/>
              <w:snapToGrid w:val="0"/>
              <w:spacing w:line="360" w:lineRule="auto"/>
              <w:jc w:val="center"/>
              <w:rPr>
                <w:rFonts w:hint="eastAsia" w:cs="Times New Roman"/>
                <w:b/>
                <w:bCs/>
                <w:color w:val="auto"/>
                <w:kern w:val="0"/>
                <w:sz w:val="24"/>
                <w:szCs w:val="24"/>
                <w:highlight w:val="none"/>
                <w:lang w:val="en-US" w:eastAsia="zh-CN"/>
              </w:rPr>
            </w:pPr>
            <w:r>
              <w:rPr>
                <w:color w:val="auto"/>
                <w:sz w:val="24"/>
              </w:rPr>
              <w:object>
                <v:shape id="_x0000_i1026" o:spt="75" type="#_x0000_t75" style="height:318.8pt;width:294.35pt;" o:ole="t" filled="f" o:preferrelative="t" stroked="f" coordsize="21600,21600">
                  <v:path/>
                  <v:fill on="f" focussize="0,0"/>
                  <v:stroke on="f"/>
                  <v:imagedata r:id="rId15" o:title=""/>
                  <o:lock v:ext="edit" aspectratio="f"/>
                  <w10:wrap type="none"/>
                  <w10:anchorlock/>
                </v:shape>
                <o:OLEObject Type="Embed" ProgID="Visio.Drawing.15" ShapeID="_x0000_i1026" DrawAspect="Content" ObjectID="_1468075727" r:id="rId14">
                  <o:LockedField>false</o:LockedField>
                </o:OLEObject>
              </w:object>
            </w:r>
          </w:p>
          <w:p>
            <w:pPr>
              <w:autoSpaceDE w:val="0"/>
              <w:autoSpaceDN w:val="0"/>
              <w:adjustRightInd w:val="0"/>
              <w:snapToGrid w:val="0"/>
              <w:spacing w:line="360" w:lineRule="auto"/>
              <w:jc w:val="center"/>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图2-3滚筒刷生产工艺流程及产排污环节图</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工</w:t>
            </w:r>
            <w:r>
              <w:rPr>
                <w:rFonts w:hint="eastAsia" w:cs="Times New Roman"/>
                <w:color w:val="auto"/>
                <w:kern w:val="0"/>
                <w:sz w:val="24"/>
                <w:szCs w:val="24"/>
                <w:highlight w:val="none"/>
                <w:lang w:val="en-US" w:eastAsia="zh-CN"/>
              </w:rPr>
              <w:t>艺说明：</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切割：按照工艺要求，利用切割机对海绵进行切边料、切块加工，在切割过程产生S1-1废海绵，无海绵粉尘产生，工作时间为4h/d。</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冲孔：利用冲孔机、冲眼机对加工后的海绵进行冲孔，该过程会产生S1-1废海绵，无海绵粉尘产生，工作时间为6h/d。</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拔毛套：将冲孔后的海绵由人工从磨具中拔出来，该过程无污染物产生。</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调胶、上胶：调胶在工位上调制，工人按照供应商提供比例A:B=3:10调制，调制完成后的聚氨酯AB胶（属于热固性树脂）涂抹在尼龙管材料表面并粘海绵等，自然固化后进入下一道工序，无需加热。调胶、上胶过程会产生G1-1非甲烷总烃废气，工作时间为8h/d。</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磨头、敲盖：人工利用磨头敲盖机对粘好的半成品滚筒刷进行磨头、敲盖（磨头是对滚筒刷两侧海绵外角修整形状，敲盖是在滚筒刷两侧安装可供手柄滚动的桶盖、筒头），过程会产品</w:t>
            </w:r>
            <w:r>
              <w:rPr>
                <w:rFonts w:hint="eastAsia" w:cs="Times New Roman"/>
                <w:color w:val="auto"/>
                <w:kern w:val="0"/>
                <w:sz w:val="24"/>
                <w:szCs w:val="24"/>
                <w:highlight w:val="none"/>
                <w:lang w:val="en-US" w:eastAsia="zh-CN"/>
              </w:rPr>
              <w:t>G1-2</w:t>
            </w:r>
            <w:r>
              <w:rPr>
                <w:rFonts w:hint="eastAsia" w:ascii="Times New Roman" w:hAnsi="Times New Roman" w:eastAsia="宋体" w:cs="Times New Roman"/>
                <w:color w:val="auto"/>
                <w:kern w:val="0"/>
                <w:sz w:val="24"/>
                <w:szCs w:val="24"/>
                <w:highlight w:val="none"/>
                <w:lang w:val="en-US" w:eastAsia="zh-CN"/>
              </w:rPr>
              <w:t>海绵粉尘</w:t>
            </w:r>
            <w:r>
              <w:rPr>
                <w:rFonts w:hint="eastAsia" w:cs="Times New Roman"/>
                <w:color w:val="auto"/>
                <w:kern w:val="0"/>
                <w:sz w:val="24"/>
                <w:szCs w:val="24"/>
                <w:highlight w:val="none"/>
                <w:lang w:val="en-US" w:eastAsia="zh-CN"/>
              </w:rPr>
              <w:t>和S1-2废含胶海绵，工作时间为8h/d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包装：包装时，根据要求，部分散件包装外售，部分成品组装外售，过程无污染物产生。</w:t>
            </w:r>
          </w:p>
          <w:p>
            <w:pPr>
              <w:autoSpaceDE w:val="0"/>
              <w:autoSpaceDN w:val="0"/>
              <w:adjustRightInd w:val="0"/>
              <w:snapToGrid w:val="0"/>
              <w:spacing w:line="360" w:lineRule="auto"/>
              <w:ind w:firstLine="482" w:firstLineChars="200"/>
              <w:rPr>
                <w:color w:val="auto"/>
              </w:rPr>
            </w:pPr>
            <w:r>
              <w:rPr>
                <w:rFonts w:hint="eastAsia" w:cs="Times New Roman"/>
                <w:b/>
                <w:bCs/>
                <w:color w:val="auto"/>
                <w:kern w:val="0"/>
                <w:sz w:val="24"/>
                <w:szCs w:val="24"/>
                <w:highlight w:val="none"/>
                <w:lang w:val="en-US" w:eastAsia="zh-CN"/>
              </w:rPr>
              <w:t>2、板刷工艺流程及产排污环节</w:t>
            </w:r>
          </w:p>
          <w:p>
            <w:pPr>
              <w:autoSpaceDE w:val="0"/>
              <w:autoSpaceDN w:val="0"/>
              <w:adjustRightInd w:val="0"/>
              <w:snapToGrid w:val="0"/>
              <w:spacing w:line="360" w:lineRule="auto"/>
              <w:jc w:val="center"/>
              <w:rPr>
                <w:rFonts w:hint="eastAsia"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object>
                <v:shape id="_x0000_i1027" o:spt="75" type="#_x0000_t75" style="height:298.6pt;width:380.85pt;" o:ole="t" filled="f" o:preferrelative="t" stroked="f" coordsize="21600,21600">
                  <v:path/>
                  <v:fill on="f" focussize="0,0"/>
                  <v:stroke on="f"/>
                  <v:imagedata r:id="rId17" o:title=""/>
                  <o:lock v:ext="edit" aspectratio="f"/>
                  <w10:wrap type="none"/>
                  <w10:anchorlock/>
                </v:shape>
                <o:OLEObject Type="Embed" ProgID="Visio.Drawing.15" ShapeID="_x0000_i1027" DrawAspect="Content" ObjectID="_1468075728" r:id="rId16">
                  <o:LockedField>false</o:LockedField>
                </o:OLEObject>
              </w:object>
            </w:r>
          </w:p>
          <w:p>
            <w:pPr>
              <w:autoSpaceDE w:val="0"/>
              <w:autoSpaceDN w:val="0"/>
              <w:adjustRightInd w:val="0"/>
              <w:snapToGrid w:val="0"/>
              <w:spacing w:line="360" w:lineRule="auto"/>
              <w:jc w:val="center"/>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图2-4板刷生产工艺流程及产排污环节图</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工艺流程说明：</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PVC板裁切：按照工艺要求，利用切割机对PVC板进行裁切，在裁切过程产生S2-1废PVC板材，过程为裁剪机刀具裁切，无粉尘产生，会产生S2-1废PVC板材，工作时间为8h/d；</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海绵切割：按照工艺要求</w:t>
            </w:r>
            <w:r>
              <w:rPr>
                <w:rFonts w:hint="eastAsia" w:cs="Times New Roman"/>
                <w:color w:val="auto"/>
                <w:kern w:val="0"/>
                <w:sz w:val="24"/>
                <w:szCs w:val="24"/>
                <w:highlight w:val="none"/>
                <w:lang w:val="en-US" w:eastAsia="zh-CN"/>
              </w:rPr>
              <w:t>，利用切割机</w:t>
            </w:r>
            <w:r>
              <w:rPr>
                <w:rFonts w:hint="eastAsia" w:ascii="Times New Roman" w:hAnsi="Times New Roman" w:eastAsia="宋体" w:cs="Times New Roman"/>
                <w:color w:val="auto"/>
                <w:kern w:val="0"/>
                <w:sz w:val="24"/>
                <w:szCs w:val="24"/>
                <w:highlight w:val="none"/>
                <w:lang w:val="en-US" w:eastAsia="zh-CN"/>
              </w:rPr>
              <w:t>对海绵切割，在切割过程产生S2-2废海绵</w:t>
            </w:r>
            <w:r>
              <w:rPr>
                <w:rFonts w:hint="eastAsia" w:cs="Times New Roman"/>
                <w:color w:val="auto"/>
                <w:kern w:val="0"/>
                <w:sz w:val="24"/>
                <w:szCs w:val="24"/>
                <w:highlight w:val="none"/>
                <w:lang w:val="en-US" w:eastAsia="zh-CN"/>
              </w:rPr>
              <w:t>，过程无粉尘产生，工作时间为8h/d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静电</w:t>
            </w:r>
            <w:r>
              <w:rPr>
                <w:rFonts w:hint="eastAsia" w:ascii="Times New Roman" w:hAnsi="Times New Roman" w:eastAsia="宋体" w:cs="Times New Roman"/>
                <w:color w:val="auto"/>
                <w:kern w:val="0"/>
                <w:sz w:val="24"/>
                <w:szCs w:val="24"/>
                <w:highlight w:val="none"/>
                <w:lang w:val="en-US" w:eastAsia="zh-CN"/>
              </w:rPr>
              <w:t>植绒：</w:t>
            </w:r>
            <w:r>
              <w:rPr>
                <w:rFonts w:hint="eastAsia" w:cs="Times New Roman"/>
                <w:color w:val="auto"/>
                <w:kern w:val="0"/>
                <w:sz w:val="24"/>
                <w:szCs w:val="24"/>
                <w:highlight w:val="none"/>
                <w:lang w:val="en-US" w:eastAsia="zh-CN"/>
              </w:rPr>
              <w:t>静电植绒是利用植绒机，在高压静电场中将电着处理好的短纤维定向植于涂有胶粘剂的PVC基材表面</w:t>
            </w:r>
            <w:r>
              <w:rPr>
                <w:rFonts w:hint="eastAsia" w:ascii="Times New Roman" w:hAnsi="Times New Roman" w:eastAsia="宋体" w:cs="Times New Roman"/>
                <w:color w:val="auto"/>
                <w:kern w:val="0"/>
                <w:sz w:val="24"/>
                <w:szCs w:val="24"/>
                <w:highlight w:val="none"/>
                <w:lang w:val="en-US" w:eastAsia="zh-CN"/>
              </w:rPr>
              <w:t>，过程</w:t>
            </w:r>
            <w:r>
              <w:rPr>
                <w:rFonts w:hint="eastAsia" w:cs="Times New Roman"/>
                <w:color w:val="auto"/>
                <w:kern w:val="0"/>
                <w:sz w:val="24"/>
                <w:szCs w:val="24"/>
                <w:highlight w:val="none"/>
                <w:lang w:val="en-US" w:eastAsia="zh-CN"/>
              </w:rPr>
              <w:t>植绒胶挥发</w:t>
            </w:r>
            <w:r>
              <w:rPr>
                <w:rFonts w:hint="eastAsia" w:ascii="Times New Roman" w:hAnsi="Times New Roman" w:eastAsia="宋体" w:cs="Times New Roman"/>
                <w:color w:val="auto"/>
                <w:kern w:val="0"/>
                <w:sz w:val="24"/>
                <w:szCs w:val="24"/>
                <w:highlight w:val="none"/>
                <w:lang w:val="en-US" w:eastAsia="zh-CN"/>
              </w:rPr>
              <w:t>会产</w:t>
            </w:r>
            <w:r>
              <w:rPr>
                <w:rFonts w:hint="eastAsia" w:cs="Times New Roman"/>
                <w:color w:val="auto"/>
                <w:kern w:val="0"/>
                <w:sz w:val="24"/>
                <w:szCs w:val="24"/>
                <w:highlight w:val="none"/>
                <w:lang w:val="en-US" w:eastAsia="zh-CN"/>
              </w:rPr>
              <w:t>G2-1</w:t>
            </w:r>
            <w:r>
              <w:rPr>
                <w:rFonts w:hint="eastAsia" w:ascii="Times New Roman" w:hAnsi="Times New Roman" w:eastAsia="宋体" w:cs="Times New Roman"/>
                <w:color w:val="auto"/>
                <w:kern w:val="0"/>
                <w:sz w:val="24"/>
                <w:szCs w:val="24"/>
                <w:highlight w:val="none"/>
                <w:lang w:val="en-US" w:eastAsia="zh-CN"/>
              </w:rPr>
              <w:t>植绒废气</w:t>
            </w:r>
            <w:r>
              <w:rPr>
                <w:rFonts w:hint="eastAsia" w:cs="Times New Roman"/>
                <w:color w:val="auto"/>
                <w:kern w:val="0"/>
                <w:sz w:val="24"/>
                <w:szCs w:val="24"/>
                <w:highlight w:val="none"/>
                <w:lang w:val="en-US" w:eastAsia="zh-CN"/>
              </w:rPr>
              <w:t>，工作时间为8h/d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烘干：将植绒后的板材送入植绒间内、过植绒机自带烘干模块进行烘干，过程会产生G2-2烘干废气，工作时间为8h/d。</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切块：将</w:t>
            </w:r>
            <w:r>
              <w:rPr>
                <w:rFonts w:hint="eastAsia" w:cs="Times New Roman"/>
                <w:color w:val="auto"/>
                <w:kern w:val="0"/>
                <w:sz w:val="24"/>
                <w:szCs w:val="24"/>
                <w:highlight w:val="none"/>
                <w:lang w:val="en-US" w:eastAsia="zh-CN"/>
              </w:rPr>
              <w:t>烘干</w:t>
            </w:r>
            <w:r>
              <w:rPr>
                <w:rFonts w:hint="eastAsia" w:ascii="Times New Roman" w:hAnsi="Times New Roman" w:eastAsia="宋体" w:cs="Times New Roman"/>
                <w:color w:val="auto"/>
                <w:kern w:val="0"/>
                <w:sz w:val="24"/>
                <w:szCs w:val="24"/>
                <w:highlight w:val="none"/>
                <w:lang w:val="en-US" w:eastAsia="zh-CN"/>
              </w:rPr>
              <w:t>好的PVC板材按照产品规格进行切块，过程会产生</w:t>
            </w:r>
            <w:r>
              <w:rPr>
                <w:rFonts w:hint="eastAsia" w:cs="Times New Roman"/>
                <w:color w:val="auto"/>
                <w:kern w:val="0"/>
                <w:sz w:val="24"/>
                <w:szCs w:val="24"/>
                <w:highlight w:val="none"/>
                <w:lang w:val="en-US" w:eastAsia="zh-CN"/>
              </w:rPr>
              <w:t>S2-3植绒切块</w:t>
            </w:r>
            <w:r>
              <w:rPr>
                <w:rFonts w:hint="eastAsia" w:ascii="Times New Roman" w:hAnsi="Times New Roman" w:eastAsia="宋体" w:cs="Times New Roman"/>
                <w:color w:val="auto"/>
                <w:kern w:val="0"/>
                <w:sz w:val="24"/>
                <w:szCs w:val="24"/>
                <w:highlight w:val="none"/>
                <w:lang w:val="en-US" w:eastAsia="zh-CN"/>
              </w:rPr>
              <w:t>废料</w:t>
            </w:r>
            <w:r>
              <w:rPr>
                <w:rFonts w:hint="eastAsia" w:cs="Times New Roman"/>
                <w:color w:val="auto"/>
                <w:kern w:val="0"/>
                <w:sz w:val="24"/>
                <w:szCs w:val="24"/>
                <w:highlight w:val="none"/>
                <w:lang w:val="en-US" w:eastAsia="zh-CN"/>
              </w:rPr>
              <w:t>，过程裁切无粉尘产生，工作时间为8h/d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投料：人工将PP粒子和色粉投入注塑机中，投入塑料粒子为固体大颗粒（粒径≥5mm），因此PP粒子投料过程不会产生粉尘，色粉粉尘在投料过程中则会产生少量投料粉尘G2-3。</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注塑：按照模具注塑，注塑过程会产生注塑废气G2-4，主要为注塑过程产生的非甲烷总烃，注塑过程不使用脱膜剂，物理脱模，工作时间为8h/d。</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修整：将注塑后的产品进行毛边修整，过程会产生S2-4修整废料，工作时间为8h/d。</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破碎：修整废料通过注塑机配备的一体破碎机破碎后回用至注塑机中，破碎过程会产生少量粉尘G2-5，工作时间为8h/d。</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胶合板刷：将修整后的注塑件和切块后的原料通过水基胶水粘合形成成品板刷，粘粘后自然固化，过程会产生胶水废气G2-6非甲烷总烃，工作时间为8h/d。</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包装：包装时，根据要求，部分散件包装外售，部分成品组装外售，过程无污染物产生。</w:t>
            </w: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3、漆刷工艺流程及产排污环节</w:t>
            </w:r>
          </w:p>
          <w:p>
            <w:pPr>
              <w:autoSpaceDE w:val="0"/>
              <w:autoSpaceDN w:val="0"/>
              <w:adjustRightInd w:val="0"/>
              <w:snapToGrid w:val="0"/>
              <w:spacing w:line="360" w:lineRule="auto"/>
              <w:jc w:val="center"/>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object>
                <v:shape id="_x0000_i1028" o:spt="75" type="#_x0000_t75" style="height:0pt;width:0pt;" o:ole="t" filled="f" o:preferrelative="t" stroked="f" coordsize="21600,21600">
                  <v:path/>
                  <v:fill on="f" focussize="0,0"/>
                  <v:stroke on="f"/>
                  <v:imagedata r:id="rId19" o:title=""/>
                  <o:lock v:ext="edit" aspectratio="f"/>
                  <w10:wrap type="none"/>
                  <w10:anchorlock/>
                </v:shape>
                <o:OLEObject Type="Embed" ProgID="Visio.Drawing.15" ShapeID="_x0000_i1028" DrawAspect="Content" ObjectID="_1468075729" r:id="rId18">
                  <o:LockedField>false</o:LockedField>
                </o:OLEObject>
              </w:object>
            </w:r>
            <w:r>
              <w:rPr>
                <w:rFonts w:hint="eastAsia" w:cs="Times New Roman"/>
                <w:color w:val="auto"/>
                <w:kern w:val="0"/>
                <w:sz w:val="24"/>
                <w:szCs w:val="24"/>
                <w:highlight w:val="none"/>
                <w:lang w:val="en-US" w:eastAsia="zh-CN"/>
              </w:rPr>
              <w:t xml:space="preserve">  </w:t>
            </w:r>
            <w:r>
              <w:rPr>
                <w:rFonts w:hint="eastAsia" w:ascii="Times New Roman" w:hAnsi="Times New Roman" w:eastAsia="宋体" w:cs="Times New Roman"/>
                <w:color w:val="auto"/>
                <w:kern w:val="0"/>
                <w:sz w:val="24"/>
                <w:szCs w:val="24"/>
                <w:highlight w:val="none"/>
                <w:lang w:val="en-US" w:eastAsia="zh-CN"/>
              </w:rPr>
              <w:object>
                <v:shape id="_x0000_i1029" o:spt="75" type="#_x0000_t75" style="height:340.8pt;width:310.55pt;" o:ole="t" filled="f" o:preferrelative="t" stroked="f" coordsize="21600,21600">
                  <v:path/>
                  <v:fill on="f" focussize="0,0"/>
                  <v:stroke on="f"/>
                  <v:imagedata r:id="rId21" o:title=""/>
                  <o:lock v:ext="edit" aspectratio="f"/>
                  <w10:wrap type="none"/>
                  <w10:anchorlock/>
                </v:shape>
                <o:OLEObject Type="Embed" ProgID="Visio.Drawing.15" ShapeID="_x0000_i1029" DrawAspect="Content" ObjectID="_1468075730" r:id="rId20">
                  <o:LockedField>false</o:LockedField>
                </o:OLEObject>
              </w:object>
            </w:r>
          </w:p>
          <w:p>
            <w:pPr>
              <w:autoSpaceDE w:val="0"/>
              <w:autoSpaceDN w:val="0"/>
              <w:adjustRightInd w:val="0"/>
              <w:snapToGrid w:val="0"/>
              <w:spacing w:line="360" w:lineRule="auto"/>
              <w:jc w:val="center"/>
              <w:rPr>
                <w:rFonts w:hint="eastAsia" w:ascii="Times New Roman" w:hAnsi="Times New Roman" w:eastAsia="宋体" w:cs="Times New Roman"/>
                <w:color w:val="auto"/>
                <w:kern w:val="0"/>
                <w:sz w:val="24"/>
                <w:szCs w:val="24"/>
                <w:highlight w:val="none"/>
                <w:lang w:val="en-US" w:eastAsia="zh-CN"/>
              </w:rPr>
            </w:pPr>
            <w:r>
              <w:rPr>
                <w:rFonts w:hint="eastAsia" w:cs="Times New Roman"/>
                <w:b/>
                <w:bCs/>
                <w:color w:val="auto"/>
                <w:kern w:val="0"/>
                <w:sz w:val="24"/>
                <w:szCs w:val="24"/>
                <w:highlight w:val="none"/>
                <w:lang w:val="en-US" w:eastAsia="zh-CN"/>
              </w:rPr>
              <w:t>图2-5漆刷生产工艺流程及产排污环节图</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工艺流程说明：</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混丝：将购买的毛丝混开并按照生产规格裁剪，过程会产生混丝废料S3-1</w:t>
            </w:r>
            <w:r>
              <w:rPr>
                <w:rFonts w:hint="eastAsia" w:cs="Times New Roman"/>
                <w:color w:val="auto"/>
                <w:kern w:val="0"/>
                <w:sz w:val="24"/>
                <w:szCs w:val="24"/>
                <w:highlight w:val="none"/>
                <w:lang w:val="en-US" w:eastAsia="zh-CN"/>
              </w:rPr>
              <w:t>，工作时间为8h/d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冲压：利用冲压机对铁皮冲压成型各种规格大小的零部件，冲压过程会</w:t>
            </w:r>
            <w:r>
              <w:rPr>
                <w:rFonts w:hint="eastAsia" w:cs="Times New Roman"/>
                <w:color w:val="auto"/>
                <w:kern w:val="0"/>
                <w:sz w:val="24"/>
                <w:szCs w:val="24"/>
                <w:highlight w:val="none"/>
                <w:lang w:val="en-US" w:eastAsia="zh-CN"/>
              </w:rPr>
              <w:t>产S3-2废边角料，工作时间为8h/d；</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装毛、</w:t>
            </w:r>
            <w:r>
              <w:rPr>
                <w:rFonts w:hint="eastAsia" w:ascii="Times New Roman" w:hAnsi="Times New Roman" w:eastAsia="宋体" w:cs="Times New Roman"/>
                <w:color w:val="auto"/>
                <w:kern w:val="0"/>
                <w:sz w:val="24"/>
                <w:szCs w:val="24"/>
                <w:highlight w:val="none"/>
                <w:lang w:val="en-US" w:eastAsia="zh-CN"/>
              </w:rPr>
              <w:t>灌胶：利用灌胶机将</w:t>
            </w:r>
            <w:r>
              <w:rPr>
                <w:rFonts w:hint="eastAsia" w:cs="Times New Roman"/>
                <w:color w:val="auto"/>
                <w:kern w:val="0"/>
                <w:sz w:val="24"/>
                <w:szCs w:val="24"/>
                <w:highlight w:val="none"/>
                <w:lang w:val="en-US" w:eastAsia="zh-CN"/>
              </w:rPr>
              <w:t>环氧</w:t>
            </w:r>
            <w:r>
              <w:rPr>
                <w:rFonts w:hint="eastAsia" w:ascii="Times New Roman" w:hAnsi="Times New Roman" w:eastAsia="宋体" w:cs="Times New Roman"/>
                <w:color w:val="auto"/>
                <w:kern w:val="0"/>
                <w:sz w:val="24"/>
                <w:szCs w:val="24"/>
                <w:highlight w:val="none"/>
                <w:lang w:val="en-US" w:eastAsia="zh-CN"/>
              </w:rPr>
              <w:t>胶</w:t>
            </w:r>
            <w:r>
              <w:rPr>
                <w:rFonts w:hint="eastAsia" w:cs="Times New Roman"/>
                <w:color w:val="auto"/>
                <w:kern w:val="0"/>
                <w:sz w:val="24"/>
                <w:szCs w:val="24"/>
                <w:highlight w:val="none"/>
                <w:lang w:val="en-US" w:eastAsia="zh-CN"/>
              </w:rPr>
              <w:t>（环氧胶由供应商配备好，本项目无需现场配置）</w:t>
            </w:r>
            <w:r>
              <w:rPr>
                <w:rFonts w:hint="eastAsia" w:ascii="Times New Roman" w:hAnsi="Times New Roman" w:eastAsia="宋体" w:cs="Times New Roman"/>
                <w:color w:val="auto"/>
                <w:kern w:val="0"/>
                <w:sz w:val="24"/>
                <w:szCs w:val="24"/>
                <w:highlight w:val="none"/>
                <w:lang w:val="en-US" w:eastAsia="zh-CN"/>
              </w:rPr>
              <w:t>灌入装毛后的马口铁壳中，使得毛丝与铁壳粘粘在一起，在50-60</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环境下固化</w:t>
            </w:r>
            <w:r>
              <w:rPr>
                <w:rFonts w:hint="eastAsia" w:cs="Times New Roman"/>
                <w:color w:val="auto"/>
                <w:kern w:val="0"/>
                <w:sz w:val="24"/>
                <w:szCs w:val="24"/>
                <w:highlight w:val="none"/>
                <w:lang w:val="en-US" w:eastAsia="zh-CN"/>
              </w:rPr>
              <w:t>（电加热）</w:t>
            </w:r>
            <w:r>
              <w:rPr>
                <w:rFonts w:hint="eastAsia" w:ascii="Times New Roman" w:hAnsi="Times New Roman" w:eastAsia="宋体" w:cs="Times New Roman"/>
                <w:color w:val="auto"/>
                <w:kern w:val="0"/>
                <w:sz w:val="24"/>
                <w:szCs w:val="24"/>
                <w:highlight w:val="none"/>
                <w:lang w:val="en-US" w:eastAsia="zh-CN"/>
              </w:rPr>
              <w:t>。过程会产生灌胶、固化废气G3-1非甲烷总烃</w:t>
            </w:r>
            <w:r>
              <w:rPr>
                <w:rFonts w:hint="eastAsia" w:cs="Times New Roman"/>
                <w:color w:val="auto"/>
                <w:kern w:val="0"/>
                <w:sz w:val="24"/>
                <w:szCs w:val="24"/>
                <w:highlight w:val="none"/>
                <w:lang w:val="en-US" w:eastAsia="zh-CN"/>
              </w:rPr>
              <w:t>，工作时间为8h/d</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剪毛、清毛：对灌胶后的半成品的毛丝进行清理，过程会产生S3-3剪毛废料，工作时间为8h/d。</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打钉：利用打钉机将铁钉打入半成品漆刷，使得木柄完全固定。</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浸漆、晾干：在浸漆房中，将木柄浸在水性漆桶中上漆（水性漆由供应商配备好，本项目无需现场配置），无浸漆设备，浸漆后在浸漆房内悬挂自然晾干，浸漆过程无颗粒物产生，在浸漆和晾干过程会产浸漆废气G3-2非甲烷总烃，过程晾干时会有S3-4漆渣和S3-5废漆桶产生，工作时间为8h/d。</w:t>
            </w:r>
          </w:p>
          <w:p>
            <w:pPr>
              <w:autoSpaceDE w:val="0"/>
              <w:autoSpaceDN w:val="0"/>
              <w:adjustRightInd w:val="0"/>
              <w:snapToGrid w:val="0"/>
              <w:spacing w:line="360" w:lineRule="auto"/>
              <w:ind w:firstLine="480" w:firstLineChars="200"/>
              <w:rPr>
                <w:color w:val="auto"/>
              </w:rPr>
            </w:pPr>
            <w:r>
              <w:rPr>
                <w:rFonts w:hint="eastAsia" w:cs="Times New Roman"/>
                <w:color w:val="auto"/>
                <w:kern w:val="0"/>
                <w:sz w:val="24"/>
                <w:szCs w:val="24"/>
                <w:highlight w:val="none"/>
                <w:lang w:val="en-US" w:eastAsia="zh-CN"/>
              </w:rPr>
              <w:t>包装：包装时，根据要求，部分散件包装外售，部分成品组装外售，过程无污染物产生。</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color w:val="auto"/>
                <w:sz w:val="24"/>
                <w:szCs w:val="24"/>
                <w:highlight w:val="none"/>
                <w:lang w:val="en-US" w:eastAsia="zh-CN"/>
              </w:rPr>
            </w:pPr>
            <w:r>
              <w:rPr>
                <w:rFonts w:hint="eastAsia"/>
                <w:b/>
                <w:color w:val="auto"/>
                <w:sz w:val="24"/>
                <w:szCs w:val="24"/>
                <w:highlight w:val="none"/>
                <w:lang w:val="en-US" w:eastAsia="zh-CN"/>
              </w:rPr>
              <w:t>表2-6.1  VOC平衡表</w:t>
            </w:r>
          </w:p>
          <w:tbl>
            <w:tblPr>
              <w:tblStyle w:val="26"/>
              <w:tblW w:w="786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967"/>
              <w:gridCol w:w="1468"/>
              <w:gridCol w:w="2466"/>
              <w:gridCol w:w="19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3435" w:type="dxa"/>
                  <w:gridSpan w:val="2"/>
                  <w:tcBorders>
                    <w:tl2br w:val="nil"/>
                    <w:tr2bl w:val="nil"/>
                  </w:tcBorders>
                  <w:vAlign w:val="center"/>
                </w:tcPr>
                <w:p>
                  <w:pPr>
                    <w:spacing w:line="240" w:lineRule="auto"/>
                    <w:ind w:firstLine="0" w:firstLineChars="0"/>
                    <w:jc w:val="center"/>
                    <w:rPr>
                      <w:rFonts w:hint="eastAsia" w:cs="Times New Roman"/>
                      <w:color w:val="auto"/>
                      <w:sz w:val="21"/>
                      <w:szCs w:val="21"/>
                      <w:highlight w:val="none"/>
                      <w:lang w:val="en-US" w:eastAsia="zh-CN"/>
                    </w:rPr>
                  </w:pPr>
                  <w:r>
                    <w:rPr>
                      <w:rFonts w:hint="eastAsia" w:cs="Times New Roman"/>
                      <w:b/>
                      <w:bCs/>
                      <w:color w:val="auto"/>
                      <w:kern w:val="2"/>
                      <w:sz w:val="21"/>
                      <w:szCs w:val="21"/>
                      <w:highlight w:val="none"/>
                      <w:lang w:val="en-US" w:eastAsia="zh-CN" w:bidi="ar-SA"/>
                    </w:rPr>
                    <w:t>输入（t/a）</w:t>
                  </w:r>
                </w:p>
              </w:tc>
              <w:tc>
                <w:tcPr>
                  <w:tcW w:w="4433" w:type="dxa"/>
                  <w:gridSpan w:val="2"/>
                  <w:tcBorders>
                    <w:tl2br w:val="nil"/>
                    <w:tr2bl w:val="nil"/>
                  </w:tcBorders>
                  <w:vAlign w:val="center"/>
                </w:tcPr>
                <w:p>
                  <w:pPr>
                    <w:spacing w:line="240" w:lineRule="auto"/>
                    <w:ind w:firstLine="0" w:firstLineChars="0"/>
                    <w:jc w:val="center"/>
                    <w:rPr>
                      <w:rFonts w:hint="eastAsia" w:cs="Times New Roman"/>
                      <w:color w:val="auto"/>
                      <w:sz w:val="21"/>
                      <w:szCs w:val="21"/>
                      <w:highlight w:val="none"/>
                      <w:lang w:val="en-US" w:eastAsia="zh-CN"/>
                    </w:rPr>
                  </w:pPr>
                  <w:r>
                    <w:rPr>
                      <w:rFonts w:hint="eastAsia" w:cs="Times New Roman"/>
                      <w:b/>
                      <w:bCs/>
                      <w:color w:val="auto"/>
                      <w:kern w:val="2"/>
                      <w:sz w:val="21"/>
                      <w:szCs w:val="21"/>
                      <w:highlight w:val="none"/>
                      <w:lang w:val="en-US" w:eastAsia="zh-CN" w:bidi="ar-SA"/>
                    </w:rPr>
                    <w:t>输出（t/a）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聚氨酯AB胶</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0.0462</w:t>
                  </w:r>
                </w:p>
              </w:tc>
              <w:tc>
                <w:tcPr>
                  <w:tcW w:w="2466"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0.0042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0.0046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PP</w:t>
                  </w:r>
                  <w:r>
                    <w:rPr>
                      <w:rFonts w:hint="eastAsia"/>
                      <w:color w:val="auto"/>
                      <w:lang w:val="en-US" w:eastAsia="zh-CN"/>
                    </w:rPr>
                    <w:t>粒子</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0.27</w:t>
                  </w: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0.0243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olor w:val="auto"/>
                      <w:lang w:val="en-US" w:eastAsia="zh-CN"/>
                    </w:rPr>
                    <w:t>水基型胶黏剂</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0.0016</w:t>
                  </w: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olor w:val="auto"/>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olor w:val="auto"/>
                      <w:lang w:val="en-US" w:eastAsia="zh-CN"/>
                    </w:rPr>
                  </w:pPr>
                  <w:r>
                    <w:rPr>
                      <w:rFonts w:hint="eastAsia" w:cs="Times New Roman"/>
                      <w:color w:val="auto"/>
                      <w:sz w:val="21"/>
                      <w:szCs w:val="21"/>
                      <w:highlight w:val="none"/>
                      <w:lang w:val="en-US" w:eastAsia="zh-CN"/>
                    </w:rPr>
                    <w:t>植绒胶</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0.078</w:t>
                  </w: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0.0078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olor w:val="auto"/>
                      <w:lang w:val="en-US" w:eastAsia="zh-CN"/>
                    </w:rPr>
                    <w:t>环氧树脂胶</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0.04</w:t>
                  </w: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0.0036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olor w:val="auto"/>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restart"/>
                  <w:tcBorders>
                    <w:tl2br w:val="nil"/>
                    <w:tr2bl w:val="nil"/>
                  </w:tcBorders>
                  <w:vAlign w:val="center"/>
                </w:tcPr>
                <w:p>
                  <w:pPr>
                    <w:spacing w:line="240" w:lineRule="auto"/>
                    <w:jc w:val="center"/>
                    <w:rPr>
                      <w:rFonts w:hint="eastAsia"/>
                      <w:color w:val="auto"/>
                      <w:lang w:val="en-US" w:eastAsia="zh-CN"/>
                    </w:rPr>
                  </w:pPr>
                  <w:r>
                    <w:rPr>
                      <w:rFonts w:hint="eastAsia" w:cs="Times New Roman"/>
                      <w:color w:val="auto"/>
                      <w:sz w:val="21"/>
                      <w:szCs w:val="21"/>
                      <w:highlight w:val="none"/>
                      <w:lang w:val="en-US" w:eastAsia="zh-CN"/>
                    </w:rPr>
                    <w:t>水性漆</w:t>
                  </w:r>
                </w:p>
              </w:tc>
              <w:tc>
                <w:tcPr>
                  <w:tcW w:w="1468" w:type="dxa"/>
                  <w:vMerge w:val="restart"/>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0.6273</w:t>
                  </w: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有组织VOC排放量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0.0565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1468" w:type="dxa"/>
                  <w:vMerge w:val="continue"/>
                  <w:tcBorders>
                    <w:tl2br w:val="nil"/>
                    <w:tr2bl w:val="nil"/>
                  </w:tcBorders>
                  <w:vAlign w:val="center"/>
                </w:tcPr>
                <w:p>
                  <w:pPr>
                    <w:spacing w:line="240" w:lineRule="auto"/>
                    <w:jc w:val="center"/>
                    <w:rPr>
                      <w:rFonts w:hint="eastAsia" w:cs="Times New Roman"/>
                      <w:color w:val="auto"/>
                      <w:sz w:val="21"/>
                      <w:szCs w:val="21"/>
                      <w:highlight w:val="none"/>
                      <w:lang w:val="en-US" w:eastAsia="zh-CN"/>
                    </w:rPr>
                  </w:pPr>
                </w:p>
              </w:tc>
              <w:tc>
                <w:tcPr>
                  <w:tcW w:w="2466"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无组织VOC排放量</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0.0627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468"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2466"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进入活性炭</w:t>
                  </w:r>
                </w:p>
              </w:tc>
              <w:tc>
                <w:tcPr>
                  <w:tcW w:w="1967"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0.8611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967" w:type="dxa"/>
                  <w:tcBorders>
                    <w:tl2br w:val="nil"/>
                    <w:tr2bl w:val="nil"/>
                  </w:tcBorders>
                  <w:vAlign w:val="center"/>
                </w:tcPr>
                <w:p>
                  <w:pPr>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合计</w:t>
                  </w:r>
                </w:p>
              </w:tc>
              <w:tc>
                <w:tcPr>
                  <w:tcW w:w="1468" w:type="dxa"/>
                  <w:tcBorders>
                    <w:tl2br w:val="nil"/>
                    <w:tr2bl w:val="nil"/>
                  </w:tcBorders>
                  <w:vAlign w:val="center"/>
                </w:tcPr>
                <w:p>
                  <w:pPr>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fldChar w:fldCharType="begin"/>
                  </w:r>
                  <w:r>
                    <w:rPr>
                      <w:rFonts w:hint="eastAsia" w:cs="Times New Roman"/>
                      <w:b/>
                      <w:bCs/>
                      <w:color w:val="auto"/>
                      <w:sz w:val="21"/>
                      <w:szCs w:val="21"/>
                      <w:highlight w:val="none"/>
                      <w:lang w:val="en-US" w:eastAsia="zh-CN"/>
                    </w:rPr>
                    <w:instrText xml:space="preserve"> = sum(D2:D13) \* MERGEFORMAT </w:instrText>
                  </w:r>
                  <w:r>
                    <w:rPr>
                      <w:rFonts w:hint="eastAsia" w:cs="Times New Roman"/>
                      <w:b/>
                      <w:bCs/>
                      <w:color w:val="auto"/>
                      <w:sz w:val="21"/>
                      <w:szCs w:val="21"/>
                      <w:highlight w:val="none"/>
                      <w:lang w:val="en-US" w:eastAsia="zh-CN"/>
                    </w:rPr>
                    <w:fldChar w:fldCharType="separate"/>
                  </w:r>
                  <w:r>
                    <w:rPr>
                      <w:rFonts w:hint="eastAsia" w:cs="Times New Roman"/>
                      <w:b/>
                      <w:bCs/>
                      <w:color w:val="auto"/>
                      <w:sz w:val="21"/>
                      <w:szCs w:val="21"/>
                      <w:highlight w:val="none"/>
                      <w:lang w:val="en-US" w:eastAsia="zh-CN"/>
                    </w:rPr>
                    <w:t>1.063</w:t>
                  </w:r>
                  <w:r>
                    <w:rPr>
                      <w:rFonts w:hint="eastAsia" w:cs="Times New Roman"/>
                      <w:b/>
                      <w:bCs/>
                      <w:color w:val="auto"/>
                      <w:sz w:val="21"/>
                      <w:szCs w:val="21"/>
                      <w:highlight w:val="none"/>
                      <w:lang w:val="en-US" w:eastAsia="zh-CN"/>
                    </w:rPr>
                    <w:fldChar w:fldCharType="end"/>
                  </w:r>
                  <w:r>
                    <w:rPr>
                      <w:rFonts w:hint="eastAsia" w:cs="Times New Roman"/>
                      <w:b/>
                      <w:bCs/>
                      <w:color w:val="auto"/>
                      <w:sz w:val="21"/>
                      <w:szCs w:val="21"/>
                      <w:highlight w:val="none"/>
                      <w:lang w:val="en-US" w:eastAsia="zh-CN"/>
                    </w:rPr>
                    <w:t>1</w:t>
                  </w:r>
                </w:p>
              </w:tc>
              <w:tc>
                <w:tcPr>
                  <w:tcW w:w="2466" w:type="dxa"/>
                  <w:tcBorders>
                    <w:tl2br w:val="nil"/>
                    <w:tr2bl w:val="nil"/>
                  </w:tcBorders>
                  <w:vAlign w:val="center"/>
                </w:tcPr>
                <w:p>
                  <w:pPr>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合计</w:t>
                  </w:r>
                </w:p>
              </w:tc>
              <w:tc>
                <w:tcPr>
                  <w:tcW w:w="1967" w:type="dxa"/>
                  <w:tcBorders>
                    <w:tl2br w:val="nil"/>
                    <w:tr2bl w:val="nil"/>
                  </w:tcBorders>
                  <w:vAlign w:val="center"/>
                </w:tcPr>
                <w:p>
                  <w:pPr>
                    <w:spacing w:line="240" w:lineRule="auto"/>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fldChar w:fldCharType="begin"/>
                  </w:r>
                  <w:r>
                    <w:rPr>
                      <w:rFonts w:hint="eastAsia" w:cs="Times New Roman"/>
                      <w:b/>
                      <w:bCs/>
                      <w:color w:val="auto"/>
                      <w:sz w:val="21"/>
                      <w:szCs w:val="21"/>
                      <w:highlight w:val="none"/>
                      <w:lang w:val="en-US" w:eastAsia="zh-CN"/>
                    </w:rPr>
                    <w:instrText xml:space="preserve"> = sum(D2:D13) \* MERGEFORMAT </w:instrText>
                  </w:r>
                  <w:r>
                    <w:rPr>
                      <w:rFonts w:hint="eastAsia" w:cs="Times New Roman"/>
                      <w:b/>
                      <w:bCs/>
                      <w:color w:val="auto"/>
                      <w:sz w:val="21"/>
                      <w:szCs w:val="21"/>
                      <w:highlight w:val="none"/>
                      <w:lang w:val="en-US" w:eastAsia="zh-CN"/>
                    </w:rPr>
                    <w:fldChar w:fldCharType="separate"/>
                  </w:r>
                  <w:r>
                    <w:rPr>
                      <w:rFonts w:hint="eastAsia" w:cs="Times New Roman"/>
                      <w:b/>
                      <w:bCs/>
                      <w:color w:val="auto"/>
                      <w:sz w:val="21"/>
                      <w:szCs w:val="21"/>
                      <w:highlight w:val="none"/>
                      <w:lang w:val="en-US" w:eastAsia="zh-CN"/>
                    </w:rPr>
                    <w:t>1.063</w:t>
                  </w:r>
                  <w:r>
                    <w:rPr>
                      <w:rFonts w:hint="eastAsia" w:cs="Times New Roman"/>
                      <w:b/>
                      <w:bCs/>
                      <w:color w:val="auto"/>
                      <w:sz w:val="21"/>
                      <w:szCs w:val="21"/>
                      <w:highlight w:val="none"/>
                      <w:lang w:val="en-US" w:eastAsia="zh-CN"/>
                    </w:rPr>
                    <w:fldChar w:fldCharType="end"/>
                  </w:r>
                  <w:r>
                    <w:rPr>
                      <w:rFonts w:hint="eastAsia" w:cs="Times New Roman"/>
                      <w:b/>
                      <w:bCs/>
                      <w:color w:val="auto"/>
                      <w:sz w:val="21"/>
                      <w:szCs w:val="21"/>
                      <w:highlight w:val="none"/>
                      <w:lang w:val="en-US" w:eastAsia="zh-CN"/>
                    </w:rPr>
                    <w:t>1</w:t>
                  </w:r>
                </w:p>
              </w:tc>
            </w:tr>
          </w:tbl>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color w:val="auto"/>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color w:val="auto"/>
                <w:sz w:val="24"/>
                <w:szCs w:val="24"/>
                <w:highlight w:val="none"/>
                <w:lang w:val="en-US" w:eastAsia="zh-CN"/>
              </w:rPr>
            </w:pPr>
            <w:r>
              <w:rPr>
                <w:rFonts w:hint="eastAsia"/>
                <w:b/>
                <w:color w:val="auto"/>
                <w:sz w:val="24"/>
                <w:szCs w:val="24"/>
                <w:highlight w:val="none"/>
                <w:lang w:val="en-US" w:eastAsia="zh-CN"/>
              </w:rPr>
              <w:t>表2-6.2  水性漆平衡表</w:t>
            </w:r>
          </w:p>
          <w:tbl>
            <w:tblPr>
              <w:tblStyle w:val="26"/>
              <w:tblW w:w="786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92"/>
              <w:gridCol w:w="720"/>
              <w:gridCol w:w="945"/>
              <w:gridCol w:w="1177"/>
              <w:gridCol w:w="983"/>
              <w:gridCol w:w="984"/>
              <w:gridCol w:w="196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3934" w:type="dxa"/>
                  <w:gridSpan w:val="4"/>
                  <w:tcBorders>
                    <w:tl2br w:val="nil"/>
                    <w:tr2bl w:val="nil"/>
                  </w:tcBorders>
                  <w:vAlign w:val="center"/>
                </w:tcPr>
                <w:p>
                  <w:pPr>
                    <w:spacing w:line="240" w:lineRule="auto"/>
                    <w:ind w:firstLine="0" w:firstLineChars="0"/>
                    <w:jc w:val="center"/>
                    <w:rPr>
                      <w:rFonts w:hint="eastAsia" w:cs="Times New Roman"/>
                      <w:color w:val="auto"/>
                      <w:sz w:val="21"/>
                      <w:szCs w:val="21"/>
                      <w:highlight w:val="none"/>
                      <w:lang w:val="en-US" w:eastAsia="zh-CN"/>
                    </w:rPr>
                  </w:pPr>
                  <w:r>
                    <w:rPr>
                      <w:rFonts w:hint="eastAsia" w:cs="Times New Roman"/>
                      <w:b/>
                      <w:bCs/>
                      <w:color w:val="auto"/>
                      <w:kern w:val="2"/>
                      <w:sz w:val="21"/>
                      <w:szCs w:val="21"/>
                      <w:highlight w:val="none"/>
                      <w:lang w:val="en-US" w:eastAsia="zh-CN" w:bidi="ar-SA"/>
                    </w:rPr>
                    <w:t>输入（t/a）</w:t>
                  </w:r>
                </w:p>
              </w:tc>
              <w:tc>
                <w:tcPr>
                  <w:tcW w:w="3934" w:type="dxa"/>
                  <w:gridSpan w:val="3"/>
                  <w:tcBorders>
                    <w:tl2br w:val="nil"/>
                    <w:tr2bl w:val="nil"/>
                  </w:tcBorders>
                  <w:vAlign w:val="center"/>
                </w:tcPr>
                <w:p>
                  <w:pPr>
                    <w:spacing w:line="240" w:lineRule="auto"/>
                    <w:ind w:firstLine="0" w:firstLineChars="0"/>
                    <w:jc w:val="center"/>
                    <w:rPr>
                      <w:rFonts w:hint="eastAsia" w:cs="Times New Roman"/>
                      <w:color w:val="auto"/>
                      <w:sz w:val="21"/>
                      <w:szCs w:val="21"/>
                      <w:highlight w:val="none"/>
                      <w:lang w:val="en-US" w:eastAsia="zh-CN"/>
                    </w:rPr>
                  </w:pPr>
                  <w:r>
                    <w:rPr>
                      <w:rFonts w:hint="eastAsia" w:cs="Times New Roman"/>
                      <w:b/>
                      <w:bCs/>
                      <w:color w:val="auto"/>
                      <w:kern w:val="2"/>
                      <w:sz w:val="21"/>
                      <w:szCs w:val="21"/>
                      <w:highlight w:val="none"/>
                      <w:lang w:val="en-US" w:eastAsia="zh-CN" w:bidi="ar-SA"/>
                    </w:rPr>
                    <w:t>输出（t/a）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vMerge w:val="restart"/>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水性涂料</w:t>
                  </w:r>
                </w:p>
              </w:tc>
              <w:tc>
                <w:tcPr>
                  <w:tcW w:w="720" w:type="dxa"/>
                  <w:vMerge w:val="restart"/>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9</w:t>
                  </w:r>
                </w:p>
              </w:tc>
              <w:tc>
                <w:tcPr>
                  <w:tcW w:w="945"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固体份</w:t>
                  </w:r>
                </w:p>
              </w:tc>
              <w:tc>
                <w:tcPr>
                  <w:tcW w:w="117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4.5</w:t>
                  </w:r>
                </w:p>
              </w:tc>
              <w:tc>
                <w:tcPr>
                  <w:tcW w:w="1967" w:type="dxa"/>
                  <w:gridSpan w:val="2"/>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产品</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4.05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vMerge w:val="continue"/>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p>
              </w:tc>
              <w:tc>
                <w:tcPr>
                  <w:tcW w:w="720" w:type="dxa"/>
                  <w:vMerge w:val="continue"/>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p>
              </w:tc>
              <w:tc>
                <w:tcPr>
                  <w:tcW w:w="945"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挥发份</w:t>
                  </w:r>
                </w:p>
              </w:tc>
              <w:tc>
                <w:tcPr>
                  <w:tcW w:w="117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0.6273</w:t>
                  </w:r>
                </w:p>
              </w:tc>
              <w:tc>
                <w:tcPr>
                  <w:tcW w:w="983" w:type="dxa"/>
                  <w:vMerge w:val="restart"/>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废气</w:t>
                  </w:r>
                </w:p>
              </w:tc>
              <w:tc>
                <w:tcPr>
                  <w:tcW w:w="984"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有组织</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0.0565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vMerge w:val="continue"/>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p>
              </w:tc>
              <w:tc>
                <w:tcPr>
                  <w:tcW w:w="720" w:type="dxa"/>
                  <w:vMerge w:val="continue"/>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p>
              </w:tc>
              <w:tc>
                <w:tcPr>
                  <w:tcW w:w="945"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水份</w:t>
                  </w:r>
                </w:p>
              </w:tc>
              <w:tc>
                <w:tcPr>
                  <w:tcW w:w="117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3.8727</w:t>
                  </w:r>
                </w:p>
              </w:tc>
              <w:tc>
                <w:tcPr>
                  <w:tcW w:w="983" w:type="dxa"/>
                  <w:vMerge w:val="continue"/>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p>
              </w:tc>
              <w:tc>
                <w:tcPr>
                  <w:tcW w:w="984"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无组织</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0.0627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720"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45"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1177"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83" w:type="dxa"/>
                  <w:vMerge w:val="restart"/>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固废</w:t>
                  </w:r>
                </w:p>
              </w:tc>
              <w:tc>
                <w:tcPr>
                  <w:tcW w:w="984"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漆渣</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720"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45"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1177"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83" w:type="dxa"/>
                  <w:vMerge w:val="continue"/>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p>
              </w:tc>
              <w:tc>
                <w:tcPr>
                  <w:tcW w:w="984"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活性炭吸附</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0.5081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092"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720"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45"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1177" w:type="dxa"/>
                  <w:tcBorders>
                    <w:tl2br w:val="nil"/>
                    <w:tr2bl w:val="nil"/>
                  </w:tcBorders>
                  <w:vAlign w:val="center"/>
                </w:tcPr>
                <w:p>
                  <w:pPr>
                    <w:spacing w:line="240" w:lineRule="auto"/>
                    <w:ind w:firstLine="0" w:firstLineChars="0"/>
                    <w:jc w:val="center"/>
                    <w:rPr>
                      <w:rFonts w:hint="eastAsia"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w:t>
                  </w:r>
                </w:p>
              </w:tc>
              <w:tc>
                <w:tcPr>
                  <w:tcW w:w="983"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其他</w:t>
                  </w:r>
                </w:p>
              </w:tc>
              <w:tc>
                <w:tcPr>
                  <w:tcW w:w="984"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水蒸气</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3.8727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2757" w:type="dxa"/>
                  <w:gridSpan w:val="3"/>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合计</w:t>
                  </w:r>
                </w:p>
              </w:tc>
              <w:tc>
                <w:tcPr>
                  <w:tcW w:w="117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9</w:t>
                  </w:r>
                </w:p>
              </w:tc>
              <w:tc>
                <w:tcPr>
                  <w:tcW w:w="1967" w:type="dxa"/>
                  <w:gridSpan w:val="2"/>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合计</w:t>
                  </w:r>
                </w:p>
              </w:tc>
              <w:tc>
                <w:tcPr>
                  <w:tcW w:w="1967" w:type="dxa"/>
                  <w:tcBorders>
                    <w:tl2br w:val="nil"/>
                    <w:tr2bl w:val="nil"/>
                  </w:tcBorders>
                  <w:vAlign w:val="center"/>
                </w:tcPr>
                <w:p>
                  <w:pPr>
                    <w:spacing w:line="240" w:lineRule="auto"/>
                    <w:ind w:firstLine="0" w:firstLineChars="0"/>
                    <w:jc w:val="center"/>
                    <w:rPr>
                      <w:rFonts w:hint="default" w:cs="Times New Roman"/>
                      <w:b w:val="0"/>
                      <w:bCs w:val="0"/>
                      <w:color w:val="auto"/>
                      <w:kern w:val="2"/>
                      <w:sz w:val="21"/>
                      <w:szCs w:val="21"/>
                      <w:highlight w:val="none"/>
                      <w:lang w:val="en-US" w:eastAsia="zh-CN" w:bidi="ar-SA"/>
                    </w:rPr>
                  </w:pPr>
                  <w:r>
                    <w:rPr>
                      <w:rFonts w:hint="eastAsia" w:cs="Times New Roman"/>
                      <w:b w:val="0"/>
                      <w:bCs w:val="0"/>
                      <w:color w:val="auto"/>
                      <w:kern w:val="2"/>
                      <w:sz w:val="21"/>
                      <w:szCs w:val="21"/>
                      <w:highlight w:val="none"/>
                      <w:lang w:val="en-US" w:eastAsia="zh-CN" w:bidi="ar-SA"/>
                    </w:rPr>
                    <w:t>9</w:t>
                  </w:r>
                </w:p>
              </w:tc>
            </w:tr>
          </w:tbl>
          <w:p>
            <w:pPr>
              <w:autoSpaceDE w:val="0"/>
              <w:autoSpaceDN w:val="0"/>
              <w:adjustRightInd w:val="0"/>
              <w:snapToGrid w:val="0"/>
              <w:spacing w:line="360" w:lineRule="auto"/>
              <w:ind w:firstLine="480" w:firstLineChars="200"/>
              <w:jc w:val="center"/>
              <w:rPr>
                <w:rFonts w:hint="eastAsia" w:cs="Times New Roman"/>
                <w:color w:val="auto"/>
                <w:kern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b/>
                <w:color w:val="auto"/>
                <w:sz w:val="24"/>
                <w:szCs w:val="24"/>
                <w:highlight w:val="none"/>
                <w:lang w:val="en-US" w:eastAsia="zh-CN"/>
              </w:rPr>
            </w:pPr>
            <w:r>
              <w:rPr>
                <w:rFonts w:hint="eastAsia"/>
                <w:b/>
                <w:color w:val="auto"/>
                <w:sz w:val="24"/>
                <w:szCs w:val="24"/>
                <w:highlight w:val="none"/>
              </w:rPr>
              <w:t>表2-</w:t>
            </w:r>
            <w:r>
              <w:rPr>
                <w:rFonts w:hint="eastAsia"/>
                <w:b/>
                <w:color w:val="auto"/>
                <w:sz w:val="24"/>
                <w:szCs w:val="24"/>
                <w:highlight w:val="none"/>
                <w:lang w:val="en-US" w:eastAsia="zh-CN"/>
              </w:rPr>
              <w:t>6.3 物料平衡</w:t>
            </w:r>
            <w:r>
              <w:rPr>
                <w:rFonts w:hint="eastAsia"/>
                <w:b/>
                <w:color w:val="auto"/>
                <w:sz w:val="24"/>
                <w:szCs w:val="24"/>
                <w:highlight w:val="none"/>
              </w:rPr>
              <w:t>表</w:t>
            </w:r>
          </w:p>
          <w:tbl>
            <w:tblPr>
              <w:tblStyle w:val="26"/>
              <w:tblW w:w="786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41"/>
              <w:gridCol w:w="1380"/>
              <w:gridCol w:w="1156"/>
              <w:gridCol w:w="426"/>
              <w:gridCol w:w="696"/>
              <w:gridCol w:w="980"/>
              <w:gridCol w:w="748"/>
              <w:gridCol w:w="963"/>
              <w:gridCol w:w="107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vMerge w:val="restart"/>
                  <w:tcBorders>
                    <w:tl2br w:val="nil"/>
                    <w:tr2bl w:val="nil"/>
                  </w:tcBorders>
                  <w:vAlign w:val="center"/>
                </w:tcPr>
                <w:p>
                  <w:pPr>
                    <w:spacing w:line="240" w:lineRule="auto"/>
                    <w:ind w:firstLine="0" w:firstLineChars="0"/>
                    <w:jc w:val="center"/>
                    <w:rPr>
                      <w:rFonts w:hint="default"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序号</w:t>
                  </w:r>
                </w:p>
              </w:tc>
              <w:tc>
                <w:tcPr>
                  <w:tcW w:w="2536" w:type="dxa"/>
                  <w:gridSpan w:val="2"/>
                  <w:tcBorders>
                    <w:tl2br w:val="nil"/>
                    <w:tr2bl w:val="nil"/>
                  </w:tcBorders>
                  <w:vAlign w:val="center"/>
                </w:tcPr>
                <w:p>
                  <w:pPr>
                    <w:spacing w:line="240" w:lineRule="auto"/>
                    <w:ind w:firstLine="0" w:firstLineChars="0"/>
                    <w:jc w:val="center"/>
                    <w:rPr>
                      <w:rFonts w:hint="eastAsia"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输入（t/a）</w:t>
                  </w:r>
                </w:p>
              </w:tc>
              <w:tc>
                <w:tcPr>
                  <w:tcW w:w="4891" w:type="dxa"/>
                  <w:gridSpan w:val="6"/>
                  <w:tcBorders>
                    <w:tl2br w:val="nil"/>
                    <w:tr2bl w:val="nil"/>
                  </w:tcBorders>
                  <w:vAlign w:val="center"/>
                </w:tcPr>
                <w:p>
                  <w:pPr>
                    <w:spacing w:line="240" w:lineRule="auto"/>
                    <w:ind w:firstLine="0" w:firstLineChars="0"/>
                    <w:jc w:val="center"/>
                    <w:rPr>
                      <w:rFonts w:hint="eastAsia"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输出（t/a）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vMerge w:val="continue"/>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p>
              </w:tc>
              <w:tc>
                <w:tcPr>
                  <w:tcW w:w="1380" w:type="dxa"/>
                  <w:tcBorders>
                    <w:tl2br w:val="nil"/>
                    <w:tr2bl w:val="nil"/>
                  </w:tcBorders>
                  <w:vAlign w:val="center"/>
                </w:tcPr>
                <w:p>
                  <w:pPr>
                    <w:spacing w:line="240" w:lineRule="auto"/>
                    <w:ind w:firstLine="0" w:firstLineChars="0"/>
                    <w:jc w:val="center"/>
                    <w:rPr>
                      <w:rFonts w:hint="default"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物料名称</w:t>
                  </w:r>
                </w:p>
              </w:tc>
              <w:tc>
                <w:tcPr>
                  <w:tcW w:w="1156" w:type="dxa"/>
                  <w:tcBorders>
                    <w:tl2br w:val="nil"/>
                    <w:tr2bl w:val="nil"/>
                  </w:tcBorders>
                  <w:vAlign w:val="center"/>
                </w:tcPr>
                <w:p>
                  <w:pPr>
                    <w:spacing w:line="240" w:lineRule="auto"/>
                    <w:ind w:firstLine="0" w:firstLineChars="0"/>
                    <w:jc w:val="center"/>
                    <w:rPr>
                      <w:rFonts w:hint="default"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数量</w:t>
                  </w:r>
                </w:p>
              </w:tc>
              <w:tc>
                <w:tcPr>
                  <w:tcW w:w="2102" w:type="dxa"/>
                  <w:gridSpan w:val="3"/>
                  <w:tcBorders>
                    <w:tl2br w:val="nil"/>
                    <w:tr2bl w:val="nil"/>
                  </w:tcBorders>
                  <w:vAlign w:val="center"/>
                </w:tcPr>
                <w:p>
                  <w:pPr>
                    <w:spacing w:line="240" w:lineRule="auto"/>
                    <w:ind w:firstLine="0" w:firstLineChars="0"/>
                    <w:jc w:val="center"/>
                    <w:rPr>
                      <w:rFonts w:hint="eastAsia"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物料名称</w:t>
                  </w:r>
                </w:p>
              </w:tc>
              <w:tc>
                <w:tcPr>
                  <w:tcW w:w="2789" w:type="dxa"/>
                  <w:gridSpan w:val="3"/>
                  <w:tcBorders>
                    <w:tl2br w:val="nil"/>
                    <w:tr2bl w:val="nil"/>
                  </w:tcBorders>
                  <w:vAlign w:val="center"/>
                </w:tcPr>
                <w:p>
                  <w:pPr>
                    <w:spacing w:line="240" w:lineRule="auto"/>
                    <w:ind w:firstLine="0" w:firstLineChars="0"/>
                    <w:jc w:val="center"/>
                    <w:rPr>
                      <w:rFonts w:hint="eastAsia" w:cs="Times New Roman"/>
                      <w:b/>
                      <w:bCs/>
                      <w:color w:val="auto"/>
                      <w:kern w:val="2"/>
                      <w:sz w:val="21"/>
                      <w:szCs w:val="21"/>
                      <w:highlight w:val="none"/>
                      <w:lang w:val="en-US" w:eastAsia="zh-CN" w:bidi="ar-SA"/>
                    </w:rPr>
                  </w:pPr>
                  <w:r>
                    <w:rPr>
                      <w:rFonts w:hint="eastAsia" w:cs="Times New Roman"/>
                      <w:b/>
                      <w:bCs/>
                      <w:color w:val="auto"/>
                      <w:kern w:val="2"/>
                      <w:sz w:val="21"/>
                      <w:szCs w:val="21"/>
                      <w:highlight w:val="none"/>
                      <w:lang w:val="en-US" w:eastAsia="zh-CN" w:bidi="ar-SA"/>
                    </w:rPr>
                    <w:t>数量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trPr>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海绵</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700</w:t>
                  </w:r>
                </w:p>
              </w:tc>
              <w:tc>
                <w:tcPr>
                  <w:tcW w:w="1122" w:type="dxa"/>
                  <w:gridSpan w:val="2"/>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产品</w:t>
                  </w:r>
                </w:p>
              </w:tc>
              <w:tc>
                <w:tcPr>
                  <w:tcW w:w="980"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滚筒刷</w:t>
                  </w:r>
                </w:p>
              </w:tc>
              <w:tc>
                <w:tcPr>
                  <w:tcW w:w="748"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5000万把</w:t>
                  </w: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海绵</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467.9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07" w:hRule="atLeast"/>
              </w:trPr>
              <w:tc>
                <w:tcPr>
                  <w:tcW w:w="441" w:type="dxa"/>
                  <w:tcBorders>
                    <w:tl2br w:val="nil"/>
                    <w:tr2bl w:val="nil"/>
                  </w:tcBorders>
                  <w:vAlign w:val="center"/>
                </w:tcPr>
                <w:p>
                  <w:pPr>
                    <w:spacing w:line="240" w:lineRule="auto"/>
                    <w:ind w:firstLine="0" w:firstLineChars="0"/>
                    <w:jc w:val="center"/>
                    <w:rPr>
                      <w:color w:val="auto"/>
                    </w:rPr>
                  </w:pPr>
                  <w:r>
                    <w:rPr>
                      <w:rFonts w:hint="eastAsia" w:cs="Times New Roman"/>
                      <w:color w:val="auto"/>
                      <w:kern w:val="2"/>
                      <w:sz w:val="21"/>
                      <w:szCs w:val="21"/>
                      <w:highlight w:val="none"/>
                      <w:lang w:val="en-US" w:eastAsia="zh-CN" w:bidi="ar-SA"/>
                    </w:rPr>
                    <w:t>2</w:t>
                  </w:r>
                </w:p>
              </w:tc>
              <w:tc>
                <w:tcPr>
                  <w:tcW w:w="1380" w:type="dxa"/>
                  <w:tcBorders>
                    <w:tl2br w:val="nil"/>
                    <w:tr2bl w:val="nil"/>
                  </w:tcBorders>
                  <w:vAlign w:val="center"/>
                </w:tcPr>
                <w:p>
                  <w:pPr>
                    <w:spacing w:line="240" w:lineRule="auto"/>
                    <w:jc w:val="center"/>
                    <w:rPr>
                      <w:color w:val="auto"/>
                    </w:rPr>
                  </w:pPr>
                  <w:r>
                    <w:rPr>
                      <w:rFonts w:hint="eastAsia" w:cs="Times New Roman"/>
                      <w:color w:val="auto"/>
                      <w:sz w:val="21"/>
                      <w:szCs w:val="21"/>
                      <w:highlight w:val="none"/>
                      <w:lang w:val="en-US" w:eastAsia="zh-CN"/>
                    </w:rPr>
                    <w:t>聚氨酯AB胶</w:t>
                  </w:r>
                </w:p>
              </w:tc>
              <w:tc>
                <w:tcPr>
                  <w:tcW w:w="1156" w:type="dxa"/>
                  <w:tcBorders>
                    <w:tl2br w:val="nil"/>
                    <w:tr2bl w:val="nil"/>
                  </w:tcBorders>
                  <w:vAlign w:val="center"/>
                </w:tcPr>
                <w:p>
                  <w:pPr>
                    <w:spacing w:line="240" w:lineRule="auto"/>
                    <w:jc w:val="center"/>
                    <w:rPr>
                      <w:color w:val="auto"/>
                    </w:rPr>
                  </w:pPr>
                  <w:r>
                    <w:rPr>
                      <w:rFonts w:hint="eastAsia" w:cs="Times New Roman"/>
                      <w:b w:val="0"/>
                      <w:bCs w:val="0"/>
                      <w:color w:val="auto"/>
                      <w:sz w:val="21"/>
                      <w:szCs w:val="21"/>
                      <w:highlight w:val="none"/>
                      <w:lang w:val="en-US" w:eastAsia="zh-CN"/>
                    </w:rPr>
                    <w:t>21</w:t>
                  </w:r>
                </w:p>
              </w:tc>
              <w:tc>
                <w:tcPr>
                  <w:tcW w:w="1122" w:type="dxa"/>
                  <w:gridSpan w:val="2"/>
                  <w:vMerge w:val="continue"/>
                  <w:tcBorders>
                    <w:tl2br w:val="nil"/>
                    <w:tr2bl w:val="nil"/>
                  </w:tcBorders>
                  <w:vAlign w:val="center"/>
                </w:tcPr>
                <w:p>
                  <w:pPr>
                    <w:spacing w:line="240" w:lineRule="auto"/>
                    <w:jc w:val="center"/>
                    <w:rPr>
                      <w:color w:val="auto"/>
                    </w:rPr>
                  </w:pPr>
                </w:p>
              </w:tc>
              <w:tc>
                <w:tcPr>
                  <w:tcW w:w="980" w:type="dxa"/>
                  <w:vMerge w:val="continue"/>
                  <w:tcBorders>
                    <w:tl2br w:val="nil"/>
                    <w:tr2bl w:val="nil"/>
                  </w:tcBorders>
                  <w:vAlign w:val="center"/>
                </w:tcPr>
                <w:p>
                  <w:pPr>
                    <w:spacing w:line="240" w:lineRule="auto"/>
                    <w:jc w:val="center"/>
                    <w:rPr>
                      <w:color w:val="auto"/>
                    </w:rPr>
                  </w:pPr>
                </w:p>
              </w:tc>
              <w:tc>
                <w:tcPr>
                  <w:tcW w:w="748" w:type="dxa"/>
                  <w:vMerge w:val="continue"/>
                  <w:tcBorders>
                    <w:tl2br w:val="nil"/>
                    <w:tr2bl w:val="nil"/>
                  </w:tcBorders>
                  <w:vAlign w:val="center"/>
                </w:tcPr>
                <w:p>
                  <w:pPr>
                    <w:spacing w:line="240" w:lineRule="auto"/>
                    <w:jc w:val="center"/>
                    <w:rPr>
                      <w:color w:val="auto"/>
                    </w:rPr>
                  </w:pPr>
                </w:p>
              </w:tc>
              <w:tc>
                <w:tcPr>
                  <w:tcW w:w="963"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聚氨酯AB胶</w:t>
                  </w:r>
                </w:p>
              </w:tc>
              <w:tc>
                <w:tcPr>
                  <w:tcW w:w="1078"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20.9538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olor w:val="auto"/>
                      <w:lang w:val="en-US" w:eastAsia="zh-CN"/>
                    </w:rPr>
                    <w:t>3</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PP</w:t>
                  </w:r>
                  <w:r>
                    <w:rPr>
                      <w:rFonts w:hint="eastAsia"/>
                      <w:color w:val="auto"/>
                      <w:lang w:val="en-US" w:eastAsia="zh-CN"/>
                    </w:rPr>
                    <w:t>粒子</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100</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板刷</w:t>
                  </w:r>
                </w:p>
              </w:tc>
              <w:tc>
                <w:tcPr>
                  <w:tcW w:w="748" w:type="dxa"/>
                  <w:vMerge w:val="restart"/>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5000万把</w:t>
                  </w:r>
                </w:p>
              </w:tc>
              <w:tc>
                <w:tcPr>
                  <w:tcW w:w="963"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海绵</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190.9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eastAsia" w:eastAsia="宋体"/>
                      <w:color w:val="auto"/>
                      <w:lang w:val="en-US" w:eastAsia="zh-CN"/>
                    </w:rPr>
                  </w:pPr>
                  <w:r>
                    <w:rPr>
                      <w:rFonts w:hint="eastAsia" w:cs="Times New Roman"/>
                      <w:color w:val="auto"/>
                      <w:kern w:val="2"/>
                      <w:sz w:val="21"/>
                      <w:szCs w:val="21"/>
                      <w:highlight w:val="none"/>
                      <w:lang w:val="en-US" w:eastAsia="zh-CN" w:bidi="ar-SA"/>
                    </w:rPr>
                    <w:t>4</w:t>
                  </w:r>
                </w:p>
              </w:tc>
              <w:tc>
                <w:tcPr>
                  <w:tcW w:w="1380" w:type="dxa"/>
                  <w:tcBorders>
                    <w:tl2br w:val="nil"/>
                    <w:tr2bl w:val="nil"/>
                  </w:tcBorders>
                  <w:vAlign w:val="center"/>
                </w:tcPr>
                <w:p>
                  <w:pPr>
                    <w:spacing w:line="240" w:lineRule="auto"/>
                    <w:jc w:val="center"/>
                    <w:rPr>
                      <w:color w:val="auto"/>
                    </w:rPr>
                  </w:pPr>
                  <w:r>
                    <w:rPr>
                      <w:rFonts w:hint="eastAsia" w:cs="Times New Roman"/>
                      <w:color w:val="auto"/>
                      <w:sz w:val="21"/>
                      <w:szCs w:val="21"/>
                      <w:highlight w:val="none"/>
                      <w:lang w:val="en-US" w:eastAsia="zh-CN"/>
                    </w:rPr>
                    <w:t>色粉</w:t>
                  </w:r>
                </w:p>
              </w:tc>
              <w:tc>
                <w:tcPr>
                  <w:tcW w:w="1156" w:type="dxa"/>
                  <w:tcBorders>
                    <w:tl2br w:val="nil"/>
                    <w:tr2bl w:val="nil"/>
                  </w:tcBorders>
                  <w:vAlign w:val="center"/>
                </w:tcPr>
                <w:p>
                  <w:pPr>
                    <w:spacing w:line="240" w:lineRule="auto"/>
                    <w:jc w:val="center"/>
                    <w:rPr>
                      <w:rFonts w:hint="default"/>
                      <w:color w:val="auto"/>
                      <w:lang w:val="en-US"/>
                    </w:rPr>
                  </w:pPr>
                  <w:r>
                    <w:rPr>
                      <w:rFonts w:hint="eastAsia" w:cs="Times New Roman"/>
                      <w:b w:val="0"/>
                      <w:bCs w:val="0"/>
                      <w:color w:val="auto"/>
                      <w:sz w:val="21"/>
                      <w:szCs w:val="21"/>
                      <w:highlight w:val="none"/>
                      <w:lang w:val="en-US" w:eastAsia="zh-CN"/>
                    </w:rPr>
                    <w:t>0.1</w:t>
                  </w:r>
                </w:p>
              </w:tc>
              <w:tc>
                <w:tcPr>
                  <w:tcW w:w="1122" w:type="dxa"/>
                  <w:gridSpan w:val="2"/>
                  <w:vMerge w:val="continue"/>
                  <w:tcBorders>
                    <w:tl2br w:val="nil"/>
                    <w:tr2bl w:val="nil"/>
                  </w:tcBorders>
                  <w:vAlign w:val="center"/>
                </w:tcPr>
                <w:p>
                  <w:pPr>
                    <w:spacing w:line="240" w:lineRule="auto"/>
                    <w:ind w:firstLine="0" w:firstLineChars="0"/>
                    <w:jc w:val="center"/>
                    <w:rPr>
                      <w:color w:val="auto"/>
                    </w:rPr>
                  </w:pPr>
                </w:p>
              </w:tc>
              <w:tc>
                <w:tcPr>
                  <w:tcW w:w="980" w:type="dxa"/>
                  <w:vMerge w:val="continue"/>
                  <w:tcBorders>
                    <w:tl2br w:val="nil"/>
                    <w:tr2bl w:val="nil"/>
                  </w:tcBorders>
                  <w:vAlign w:val="center"/>
                </w:tcPr>
                <w:p>
                  <w:pPr>
                    <w:spacing w:line="240" w:lineRule="auto"/>
                    <w:ind w:firstLine="0" w:firstLineChars="0"/>
                    <w:jc w:val="center"/>
                    <w:rPr>
                      <w:color w:val="auto"/>
                    </w:rPr>
                  </w:pPr>
                </w:p>
              </w:tc>
              <w:tc>
                <w:tcPr>
                  <w:tcW w:w="748" w:type="dxa"/>
                  <w:vMerge w:val="continue"/>
                  <w:tcBorders>
                    <w:tl2br w:val="nil"/>
                    <w:tr2bl w:val="nil"/>
                  </w:tcBorders>
                  <w:vAlign w:val="center"/>
                </w:tcPr>
                <w:p>
                  <w:pPr>
                    <w:spacing w:line="240" w:lineRule="auto"/>
                    <w:ind w:firstLine="0" w:firstLineChars="0"/>
                    <w:jc w:val="center"/>
                    <w:rPr>
                      <w:color w:val="auto"/>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PP</w:t>
                  </w:r>
                  <w:r>
                    <w:rPr>
                      <w:rFonts w:hint="eastAsia"/>
                      <w:color w:val="auto"/>
                      <w:lang w:val="en-US" w:eastAsia="zh-CN"/>
                    </w:rPr>
                    <w:t>粒子</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99.218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PVC板</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66（220万米）</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色粉</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0.0994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植绒毛</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4</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PVC板</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65.2892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olor w:val="auto"/>
                      <w:lang w:val="en-US" w:eastAsia="zh-CN"/>
                    </w:rPr>
                    <w:t>水基型胶黏剂</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2</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植绒毛</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8</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植绒胶</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15</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olor w:val="auto"/>
                      <w:highlight w:val="none"/>
                      <w:lang w:val="en-US" w:eastAsia="zh-CN"/>
                    </w:rPr>
                    <w:t>水基型胶黏剂</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1.1984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olor w:val="auto"/>
                      <w:lang w:val="en-US" w:eastAsia="zh-CN"/>
                    </w:rPr>
                    <w:t>环氧树脂胶</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2</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植绒胶</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7.422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2" w:hRule="atLeast"/>
              </w:trPr>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10</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水性漆</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9</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漆刷</w:t>
                  </w:r>
                </w:p>
              </w:tc>
              <w:tc>
                <w:tcPr>
                  <w:tcW w:w="748"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5000万把</w:t>
                  </w: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olor w:val="auto"/>
                      <w:highlight w:val="none"/>
                      <w:lang w:val="en-US" w:eastAsia="zh-CN"/>
                    </w:rPr>
                    <w:t>环氧树脂胶</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1.96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2" w:hRule="atLeast"/>
              </w:trPr>
              <w:tc>
                <w:tcPr>
                  <w:tcW w:w="441" w:type="dxa"/>
                  <w:tcBorders>
                    <w:tl2br w:val="nil"/>
                    <w:tr2bl w:val="nil"/>
                  </w:tcBorders>
                  <w:vAlign w:val="center"/>
                </w:tcPr>
                <w:p>
                  <w:pPr>
                    <w:spacing w:line="240" w:lineRule="auto"/>
                    <w:ind w:firstLine="0" w:firstLineChars="0"/>
                    <w:jc w:val="center"/>
                    <w:rPr>
                      <w:color w:val="auto"/>
                    </w:rPr>
                  </w:pPr>
                  <w:r>
                    <w:rPr>
                      <w:rFonts w:hint="eastAsia" w:cs="Times New Roman"/>
                      <w:color w:val="auto"/>
                      <w:kern w:val="2"/>
                      <w:sz w:val="21"/>
                      <w:szCs w:val="21"/>
                      <w:highlight w:val="none"/>
                      <w:lang w:val="en-US" w:eastAsia="zh-CN" w:bidi="ar-SA"/>
                    </w:rPr>
                    <w:t>11</w:t>
                  </w:r>
                </w:p>
              </w:tc>
              <w:tc>
                <w:tcPr>
                  <w:tcW w:w="1380" w:type="dxa"/>
                  <w:tcBorders>
                    <w:tl2br w:val="nil"/>
                    <w:tr2bl w:val="nil"/>
                  </w:tcBorders>
                  <w:vAlign w:val="center"/>
                </w:tcPr>
                <w:p>
                  <w:pPr>
                    <w:spacing w:line="240" w:lineRule="auto"/>
                    <w:jc w:val="center"/>
                    <w:rPr>
                      <w:color w:val="auto"/>
                    </w:rPr>
                  </w:pPr>
                  <w:r>
                    <w:rPr>
                      <w:rFonts w:hint="eastAsia" w:cs="Times New Roman"/>
                      <w:color w:val="auto"/>
                      <w:sz w:val="21"/>
                      <w:szCs w:val="21"/>
                      <w:highlight w:val="none"/>
                      <w:lang w:val="en-US" w:eastAsia="zh-CN"/>
                    </w:rPr>
                    <w:t>毛丝</w:t>
                  </w:r>
                </w:p>
              </w:tc>
              <w:tc>
                <w:tcPr>
                  <w:tcW w:w="1156" w:type="dxa"/>
                  <w:tcBorders>
                    <w:tl2br w:val="nil"/>
                    <w:tr2bl w:val="nil"/>
                  </w:tcBorders>
                  <w:vAlign w:val="center"/>
                </w:tcPr>
                <w:p>
                  <w:pPr>
                    <w:spacing w:line="240" w:lineRule="auto"/>
                    <w:jc w:val="center"/>
                    <w:rPr>
                      <w:color w:val="auto"/>
                    </w:rPr>
                  </w:pPr>
                  <w:r>
                    <w:rPr>
                      <w:rFonts w:hint="eastAsia" w:cs="Times New Roman"/>
                      <w:b w:val="0"/>
                      <w:bCs w:val="0"/>
                      <w:color w:val="auto"/>
                      <w:sz w:val="21"/>
                      <w:szCs w:val="21"/>
                      <w:highlight w:val="none"/>
                      <w:lang w:val="en-US" w:eastAsia="zh-CN"/>
                    </w:rPr>
                    <w:t>240</w:t>
                  </w:r>
                </w:p>
              </w:tc>
              <w:tc>
                <w:tcPr>
                  <w:tcW w:w="1122" w:type="dxa"/>
                  <w:gridSpan w:val="2"/>
                  <w:vMerge w:val="continue"/>
                  <w:tcBorders>
                    <w:tl2br w:val="nil"/>
                    <w:tr2bl w:val="nil"/>
                  </w:tcBorders>
                  <w:vAlign w:val="center"/>
                </w:tcPr>
                <w:p>
                  <w:pPr>
                    <w:spacing w:line="240" w:lineRule="auto"/>
                    <w:ind w:firstLine="0" w:firstLineChars="0"/>
                    <w:jc w:val="center"/>
                    <w:rPr>
                      <w:color w:val="auto"/>
                    </w:rPr>
                  </w:pPr>
                </w:p>
              </w:tc>
              <w:tc>
                <w:tcPr>
                  <w:tcW w:w="980" w:type="dxa"/>
                  <w:vMerge w:val="continue"/>
                  <w:tcBorders>
                    <w:tl2br w:val="nil"/>
                    <w:tr2bl w:val="nil"/>
                  </w:tcBorders>
                  <w:vAlign w:val="center"/>
                </w:tcPr>
                <w:p>
                  <w:pPr>
                    <w:spacing w:line="240" w:lineRule="auto"/>
                    <w:ind w:firstLine="0" w:firstLineChars="0"/>
                    <w:jc w:val="center"/>
                    <w:rPr>
                      <w:color w:val="auto"/>
                    </w:rPr>
                  </w:pPr>
                </w:p>
              </w:tc>
              <w:tc>
                <w:tcPr>
                  <w:tcW w:w="748" w:type="dxa"/>
                  <w:vMerge w:val="continue"/>
                  <w:tcBorders>
                    <w:tl2br w:val="nil"/>
                    <w:tr2bl w:val="nil"/>
                  </w:tcBorders>
                  <w:vAlign w:val="center"/>
                </w:tcPr>
                <w:p>
                  <w:pPr>
                    <w:spacing w:line="240" w:lineRule="auto"/>
                    <w:ind w:firstLine="0" w:firstLineChars="0"/>
                    <w:jc w:val="center"/>
                    <w:rPr>
                      <w:color w:val="auto"/>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水性漆</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4.05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2" w:hRule="atLeast"/>
              </w:trPr>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12</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铁皮</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b w:val="0"/>
                      <w:bCs w:val="0"/>
                      <w:color w:val="auto"/>
                      <w:sz w:val="21"/>
                      <w:szCs w:val="21"/>
                      <w:highlight w:val="none"/>
                      <w:lang w:val="en-US" w:eastAsia="zh-CN"/>
                    </w:rPr>
                    <w:t>300</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毛丝</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239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2" w:hRule="atLeast"/>
              </w:trPr>
              <w:tc>
                <w:tcPr>
                  <w:tcW w:w="441"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748"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63"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铁皮</w:t>
                  </w:r>
                </w:p>
              </w:tc>
              <w:tc>
                <w:tcPr>
                  <w:tcW w:w="1078"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298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426"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废气</w:t>
                  </w:r>
                </w:p>
              </w:tc>
              <w:tc>
                <w:tcPr>
                  <w:tcW w:w="696"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有组织</w:t>
                  </w: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颗粒物</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426"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696"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VOC</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0.0957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426" w:type="dxa"/>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696" w:type="dxa"/>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无组织</w:t>
                  </w:r>
                </w:p>
              </w:tc>
              <w:tc>
                <w:tcPr>
                  <w:tcW w:w="980" w:type="dxa"/>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颗粒物</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1.5010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426" w:type="dxa"/>
                  <w:vMerge w:val="continue"/>
                  <w:tcBorders>
                    <w:tl2br w:val="nil"/>
                    <w:tr2bl w:val="nil"/>
                  </w:tcBorders>
                  <w:vAlign w:val="top"/>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696" w:type="dxa"/>
                  <w:vMerge w:val="continue"/>
                  <w:tcBorders>
                    <w:tl2br w:val="nil"/>
                    <w:tr2bl w:val="nil"/>
                  </w:tcBorders>
                  <w:vAlign w:val="top"/>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VOC</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0.1171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restart"/>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固废</w:t>
                  </w: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废海绵</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含胶废海绵</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废PVC板材</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植绒切块废料</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废边角料</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混丝废料</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漆渣</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yellow"/>
                      <w:lang w:val="en-US" w:eastAsia="zh-CN" w:bidi="ar-SA"/>
                    </w:rPr>
                  </w:pPr>
                  <w:r>
                    <w:rPr>
                      <w:rFonts w:hint="eastAsia" w:cs="Times New Roman"/>
                      <w:color w:val="auto"/>
                      <w:kern w:val="2"/>
                      <w:sz w:val="21"/>
                      <w:szCs w:val="21"/>
                      <w:highlight w:val="none"/>
                      <w:lang w:val="en-US" w:eastAsia="zh-CN" w:bidi="ar-SA"/>
                    </w:rPr>
                    <w:t>0.45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除尘灰</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13.365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vMerge w:val="continue"/>
                  <w:tcBorders>
                    <w:tl2br w:val="nil"/>
                    <w:tr2bl w:val="nil"/>
                  </w:tcBorders>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进入活性炭</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0.8611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441"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380"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56" w:type="dxa"/>
                  <w:tcBorders>
                    <w:tl2br w:val="nil"/>
                    <w:tr2bl w:val="nil"/>
                  </w:tcBorders>
                  <w:vAlign w:val="center"/>
                </w:tcPr>
                <w:p>
                  <w:pPr>
                    <w:spacing w:line="240" w:lineRule="auto"/>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1122" w:type="dxa"/>
                  <w:gridSpan w:val="2"/>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其他</w:t>
                  </w:r>
                </w:p>
              </w:tc>
              <w:tc>
                <w:tcPr>
                  <w:tcW w:w="980" w:type="dxa"/>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水蒸气</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shd w:val="clear"/>
                      <w:lang w:val="en-US" w:eastAsia="zh-CN" w:bidi="ar-SA"/>
                    </w:rPr>
                    <w:t>12.1727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821" w:type="dxa"/>
                  <w:gridSpan w:val="2"/>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合计</w:t>
                  </w:r>
                </w:p>
              </w:tc>
              <w:tc>
                <w:tcPr>
                  <w:tcW w:w="1156" w:type="dxa"/>
                  <w:tcBorders>
                    <w:tl2br w:val="nil"/>
                    <w:tr2bl w:val="nil"/>
                  </w:tcBorders>
                  <w:vAlign w:val="center"/>
                </w:tcPr>
                <w:p>
                  <w:pPr>
                    <w:spacing w:line="240" w:lineRule="auto"/>
                    <w:jc w:val="center"/>
                    <w:rPr>
                      <w:rFonts w:hint="default" w:cs="Times New Roman"/>
                      <w:b w:val="0"/>
                      <w:bCs w:val="0"/>
                      <w:color w:val="auto"/>
                      <w:sz w:val="21"/>
                      <w:szCs w:val="21"/>
                      <w:highlight w:val="none"/>
                      <w:lang w:val="en-US" w:eastAsia="zh-CN"/>
                    </w:rPr>
                  </w:pPr>
                  <w:r>
                    <w:rPr>
                      <w:rFonts w:hint="eastAsia" w:cs="Times New Roman"/>
                      <w:b w:val="0"/>
                      <w:bCs w:val="0"/>
                      <w:color w:val="auto"/>
                      <w:sz w:val="21"/>
                      <w:szCs w:val="21"/>
                      <w:highlight w:val="none"/>
                      <w:lang w:val="en-US" w:eastAsia="zh-CN"/>
                    </w:rPr>
                    <w:t>1459.1</w:t>
                  </w:r>
                </w:p>
              </w:tc>
              <w:tc>
                <w:tcPr>
                  <w:tcW w:w="2102"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合计</w:t>
                  </w:r>
                </w:p>
              </w:tc>
              <w:tc>
                <w:tcPr>
                  <w:tcW w:w="2789" w:type="dxa"/>
                  <w:gridSpan w:val="3"/>
                  <w:tcBorders>
                    <w:tl2br w:val="nil"/>
                    <w:tr2bl w:val="nil"/>
                  </w:tcBorders>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1459.1</w:t>
                  </w:r>
                </w:p>
              </w:tc>
            </w:tr>
          </w:tbl>
          <w:p>
            <w:pPr>
              <w:autoSpaceDE w:val="0"/>
              <w:autoSpaceDN w:val="0"/>
              <w:adjustRightInd w:val="0"/>
              <w:snapToGrid w:val="0"/>
              <w:spacing w:line="360" w:lineRule="auto"/>
              <w:jc w:val="center"/>
              <w:rPr>
                <w:rFonts w:hint="eastAsia" w:cs="Times New Roman"/>
                <w:b/>
                <w:bCs/>
                <w:color w:val="auto"/>
                <w:kern w:val="0"/>
                <w:sz w:val="24"/>
                <w:szCs w:val="24"/>
                <w:highlight w:val="none"/>
                <w:lang w:val="en-US" w:eastAsia="zh-CN"/>
              </w:rPr>
            </w:pP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三</w:t>
            </w:r>
            <w:r>
              <w:rPr>
                <w:rFonts w:hint="eastAsia" w:ascii="Times New Roman" w:hAnsi="Times New Roman" w:eastAsia="宋体" w:cs="Times New Roman"/>
                <w:b/>
                <w:bCs/>
                <w:color w:val="auto"/>
                <w:kern w:val="0"/>
                <w:sz w:val="24"/>
                <w:szCs w:val="24"/>
                <w:highlight w:val="none"/>
                <w:lang w:val="en-US" w:eastAsia="zh-CN"/>
              </w:rPr>
              <w:t>、主要污染工序</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本项目营运期污染物产生环节见表2-</w:t>
            </w:r>
            <w:r>
              <w:rPr>
                <w:rFonts w:hint="eastAsia" w:cs="Times New Roman"/>
                <w:color w:val="auto"/>
                <w:kern w:val="0"/>
                <w:sz w:val="24"/>
                <w:szCs w:val="24"/>
                <w:highlight w:val="none"/>
                <w:lang w:val="en-US" w:eastAsia="zh-CN"/>
              </w:rPr>
              <w:t>7</w:t>
            </w:r>
            <w:r>
              <w:rPr>
                <w:rFonts w:hint="eastAsia" w:ascii="Times New Roman" w:hAnsi="Times New Roman" w:eastAsia="宋体" w:cs="Times New Roman"/>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b/>
                <w:color w:val="auto"/>
                <w:sz w:val="24"/>
                <w:szCs w:val="24"/>
                <w:highlight w:val="none"/>
              </w:rPr>
            </w:pPr>
            <w:r>
              <w:rPr>
                <w:rFonts w:hint="eastAsia"/>
                <w:b/>
                <w:color w:val="auto"/>
                <w:sz w:val="24"/>
                <w:szCs w:val="24"/>
                <w:highlight w:val="none"/>
              </w:rPr>
              <w:t>表2-</w:t>
            </w:r>
            <w:r>
              <w:rPr>
                <w:rFonts w:hint="eastAsia"/>
                <w:b/>
                <w:color w:val="auto"/>
                <w:sz w:val="24"/>
                <w:szCs w:val="24"/>
                <w:highlight w:val="none"/>
                <w:lang w:val="en-US" w:eastAsia="zh-CN"/>
              </w:rPr>
              <w:t xml:space="preserve">7 </w:t>
            </w:r>
            <w:r>
              <w:rPr>
                <w:rFonts w:hint="eastAsia"/>
                <w:b/>
                <w:color w:val="auto"/>
                <w:sz w:val="24"/>
                <w:szCs w:val="24"/>
                <w:highlight w:val="none"/>
              </w:rPr>
              <w:t>本项目运营期</w:t>
            </w:r>
            <w:r>
              <w:rPr>
                <w:b/>
                <w:color w:val="auto"/>
                <w:sz w:val="24"/>
                <w:szCs w:val="24"/>
                <w:highlight w:val="none"/>
              </w:rPr>
              <w:t>产污环节汇总表</w:t>
            </w:r>
          </w:p>
          <w:tbl>
            <w:tblPr>
              <w:tblStyle w:val="25"/>
              <w:tblW w:w="7865"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52"/>
              <w:gridCol w:w="655"/>
              <w:gridCol w:w="1330"/>
              <w:gridCol w:w="1364"/>
              <w:gridCol w:w="1931"/>
              <w:gridCol w:w="163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污染因素</w:t>
                  </w: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编号</w:t>
                  </w:r>
                </w:p>
              </w:tc>
              <w:tc>
                <w:tcPr>
                  <w:tcW w:w="1330"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名称</w:t>
                  </w:r>
                </w:p>
              </w:tc>
              <w:tc>
                <w:tcPr>
                  <w:tcW w:w="1364"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产污环节</w:t>
                  </w:r>
                </w:p>
              </w:tc>
              <w:tc>
                <w:tcPr>
                  <w:tcW w:w="1931"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排放特性</w:t>
                  </w:r>
                  <w:r>
                    <w:rPr>
                      <w:b/>
                      <w:color w:val="auto"/>
                      <w:sz w:val="21"/>
                      <w:szCs w:val="21"/>
                      <w:highlight w:val="none"/>
                    </w:rPr>
                    <w:t>/</w:t>
                  </w:r>
                  <w:r>
                    <w:rPr>
                      <w:rFonts w:hint="eastAsia" w:hAnsi="宋体"/>
                      <w:b/>
                      <w:color w:val="auto"/>
                      <w:sz w:val="21"/>
                      <w:szCs w:val="21"/>
                      <w:highlight w:val="none"/>
                    </w:rPr>
                    <w:t>性质</w:t>
                  </w:r>
                </w:p>
              </w:tc>
              <w:tc>
                <w:tcPr>
                  <w:tcW w:w="1633"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b/>
                      <w:color w:val="auto"/>
                      <w:sz w:val="21"/>
                      <w:szCs w:val="21"/>
                      <w:highlight w:val="none"/>
                    </w:rPr>
                  </w:pPr>
                  <w:r>
                    <w:rPr>
                      <w:rFonts w:hint="eastAsia" w:hAnsi="宋体"/>
                      <w:b/>
                      <w:color w:val="auto"/>
                      <w:sz w:val="21"/>
                      <w:szCs w:val="21"/>
                      <w:highlight w:val="none"/>
                    </w:rPr>
                    <w:t>污染因子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restart"/>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eastAsia="宋体"/>
                      <w:color w:val="auto"/>
                      <w:sz w:val="21"/>
                      <w:szCs w:val="21"/>
                      <w:highlight w:val="none"/>
                      <w:lang w:eastAsia="zh-CN"/>
                    </w:rPr>
                  </w:pPr>
                  <w:r>
                    <w:rPr>
                      <w:rFonts w:hint="eastAsia" w:hAnsi="宋体"/>
                      <w:color w:val="auto"/>
                      <w:sz w:val="21"/>
                      <w:szCs w:val="21"/>
                      <w:highlight w:val="none"/>
                      <w:lang w:eastAsia="zh-CN"/>
                    </w:rPr>
                    <w:t>废气</w:t>
                  </w: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eastAsia="宋体"/>
                      <w:color w:val="auto"/>
                      <w:sz w:val="21"/>
                      <w:szCs w:val="21"/>
                      <w:highlight w:val="none"/>
                      <w:lang w:val="en-US" w:eastAsia="zh-CN"/>
                    </w:rPr>
                  </w:pPr>
                  <w:r>
                    <w:rPr>
                      <w:color w:val="auto"/>
                      <w:sz w:val="21"/>
                      <w:szCs w:val="21"/>
                      <w:highlight w:val="none"/>
                    </w:rPr>
                    <w:t>G1</w:t>
                  </w:r>
                  <w:r>
                    <w:rPr>
                      <w:rFonts w:hint="eastAsia"/>
                      <w:color w:val="auto"/>
                      <w:sz w:val="21"/>
                      <w:szCs w:val="21"/>
                      <w:highlight w:val="none"/>
                      <w:lang w:val="en-US" w:eastAsia="zh-CN"/>
                    </w:rPr>
                    <w:t>-1</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调胶、上胶废气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调胶、上胶</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eastAsiaTheme="minorEastAsia"/>
                      <w:color w:val="auto"/>
                      <w:sz w:val="21"/>
                      <w:szCs w:val="21"/>
                      <w:highlight w:val="none"/>
                      <w:lang w:val="en-US" w:eastAsia="zh-CN"/>
                    </w:rPr>
                    <w:t>有组织、无组织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G1-2</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磨头废气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磨头、敲盖</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颗粒物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G2</w:t>
                  </w:r>
                  <w:r>
                    <w:rPr>
                      <w:rFonts w:hint="eastAsia"/>
                      <w:color w:val="auto"/>
                      <w:sz w:val="21"/>
                      <w:szCs w:val="21"/>
                      <w:highlight w:val="none"/>
                      <w:lang w:val="en-US" w:eastAsia="zh-CN"/>
                    </w:rPr>
                    <w:t>-1</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植绒废气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静电植绒</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eastAsiaTheme="minorEastAsia"/>
                      <w:color w:val="auto"/>
                      <w:sz w:val="21"/>
                      <w:szCs w:val="21"/>
                      <w:highlight w:val="none"/>
                    </w:rPr>
                    <w:t>有组织、无组织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color w:val="auto"/>
                      <w:sz w:val="21"/>
                      <w:szCs w:val="21"/>
                      <w:highlight w:val="none"/>
                    </w:rPr>
                  </w:pPr>
                  <w:r>
                    <w:rPr>
                      <w:rFonts w:hint="eastAsia"/>
                      <w:color w:val="auto"/>
                      <w:sz w:val="21"/>
                      <w:szCs w:val="21"/>
                      <w:highlight w:val="none"/>
                      <w:lang w:val="en-US" w:eastAsia="zh-CN"/>
                    </w:rPr>
                    <w:t>G2-2</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烘干废气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烘干</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eastAsiaTheme="minorEastAsia"/>
                      <w:color w:val="auto"/>
                      <w:sz w:val="21"/>
                      <w:szCs w:val="21"/>
                      <w:highlight w:val="none"/>
                    </w:rPr>
                  </w:pPr>
                  <w:r>
                    <w:rPr>
                      <w:rFonts w:eastAsiaTheme="minorEastAsia"/>
                      <w:color w:val="auto"/>
                      <w:sz w:val="21"/>
                      <w:szCs w:val="21"/>
                      <w:highlight w:val="none"/>
                    </w:rPr>
                    <w:t>有组织、无组织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color w:val="auto"/>
                      <w:sz w:val="21"/>
                      <w:szCs w:val="21"/>
                      <w:highlight w:val="none"/>
                      <w:lang w:val="en-US" w:eastAsia="zh-CN"/>
                    </w:rPr>
                  </w:pPr>
                  <w:r>
                    <w:rPr>
                      <w:rFonts w:hint="eastAsia"/>
                      <w:color w:val="auto"/>
                      <w:sz w:val="21"/>
                      <w:szCs w:val="21"/>
                      <w:highlight w:val="none"/>
                      <w:lang w:val="en-US" w:eastAsia="zh-CN"/>
                    </w:rPr>
                    <w:t>G2-3</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投料废气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注塑投料</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颗粒物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G2-4</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Theme="minorEastAsia"/>
                      <w:color w:val="auto"/>
                      <w:sz w:val="21"/>
                      <w:szCs w:val="21"/>
                      <w:highlight w:val="none"/>
                      <w:lang w:val="en-US" w:eastAsia="zh-CN"/>
                    </w:rPr>
                    <w:t>注塑废气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eastAsiaTheme="minorEastAsia"/>
                      <w:color w:val="auto"/>
                      <w:sz w:val="21"/>
                      <w:szCs w:val="21"/>
                      <w:highlight w:val="none"/>
                      <w:lang w:val="en-US" w:eastAsia="zh-CN"/>
                    </w:rPr>
                    <w:t>注塑</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eastAsiaTheme="minorEastAsia"/>
                      <w:color w:val="auto"/>
                      <w:sz w:val="21"/>
                      <w:szCs w:val="21"/>
                      <w:highlight w:val="none"/>
                    </w:rPr>
                    <w:t>有组织、无组织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G2-5</w:t>
                  </w:r>
                </w:p>
              </w:tc>
              <w:tc>
                <w:tcPr>
                  <w:tcW w:w="1330"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破碎废气</w:t>
                  </w:r>
                </w:p>
              </w:tc>
              <w:tc>
                <w:tcPr>
                  <w:tcW w:w="1364"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破碎</w:t>
                  </w:r>
                </w:p>
              </w:tc>
              <w:tc>
                <w:tcPr>
                  <w:tcW w:w="1931"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eastAsia" w:eastAsiaTheme="minorEastAsia"/>
                      <w:color w:val="auto"/>
                      <w:sz w:val="21"/>
                      <w:szCs w:val="21"/>
                      <w:highlight w:val="none"/>
                      <w:lang w:val="en-US" w:eastAsia="zh-CN"/>
                    </w:rPr>
                  </w:pPr>
                  <w:r>
                    <w:rPr>
                      <w:rFonts w:hint="eastAsia" w:eastAsiaTheme="minorEastAsia"/>
                      <w:color w:val="auto"/>
                      <w:sz w:val="21"/>
                      <w:szCs w:val="21"/>
                      <w:highlight w:val="none"/>
                      <w:lang w:val="en-US" w:eastAsia="zh-CN"/>
                    </w:rPr>
                    <w:t>无组织</w:t>
                  </w:r>
                </w:p>
              </w:tc>
              <w:tc>
                <w:tcPr>
                  <w:tcW w:w="1633" w:type="dxa"/>
                  <w:tcBorders>
                    <w:tl2br w:val="nil"/>
                    <w:tr2bl w:val="nil"/>
                  </w:tcBorders>
                  <w:tcMar>
                    <w:top w:w="0" w:type="dxa"/>
                    <w:left w:w="28" w:type="dxa"/>
                    <w:bottom w:w="0" w:type="dxa"/>
                    <w:right w:w="28" w:type="dxa"/>
                  </w:tcMar>
                  <w:vAlign w:val="center"/>
                </w:tcPr>
                <w:p>
                  <w:pPr>
                    <w:spacing w:line="240" w:lineRule="auto"/>
                    <w:ind w:firstLine="0" w:firstLineChars="0"/>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颗粒物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G2-6</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胶合板刷废气</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胶合板刷</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eastAsiaTheme="minorEastAsia"/>
                      <w:color w:val="auto"/>
                      <w:sz w:val="21"/>
                      <w:szCs w:val="21"/>
                      <w:highlight w:val="none"/>
                    </w:rPr>
                    <w:t>有组织、无组织</w:t>
                  </w:r>
                </w:p>
              </w:tc>
              <w:tc>
                <w:tcPr>
                  <w:tcW w:w="1633"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G3-1</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灌胶、固化废气</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灌胶</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有组织、无组织</w:t>
                  </w:r>
                </w:p>
              </w:tc>
              <w:tc>
                <w:tcPr>
                  <w:tcW w:w="1633"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G3-2</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浸漆废气</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浸漆、晾干</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有组织、无组织</w:t>
                  </w:r>
                </w:p>
              </w:tc>
              <w:tc>
                <w:tcPr>
                  <w:tcW w:w="1633"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非甲烷总烃</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lang w:eastAsia="zh-CN"/>
                    </w:rPr>
                  </w:pPr>
                  <w:r>
                    <w:rPr>
                      <w:rFonts w:hint="eastAsia" w:hAnsi="宋体"/>
                      <w:color w:val="auto"/>
                      <w:sz w:val="21"/>
                      <w:szCs w:val="21"/>
                      <w:highlight w:val="none"/>
                      <w:lang w:eastAsia="zh-CN"/>
                    </w:rPr>
                    <w:t>废水</w:t>
                  </w: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color w:val="auto"/>
                      <w:sz w:val="21"/>
                      <w:szCs w:val="21"/>
                      <w:highlight w:val="none"/>
                      <w:lang w:val="en-US" w:eastAsia="zh-CN"/>
                    </w:rPr>
                  </w:pPr>
                  <w:r>
                    <w:rPr>
                      <w:rFonts w:hint="eastAsia"/>
                      <w:color w:val="auto"/>
                      <w:sz w:val="21"/>
                      <w:szCs w:val="21"/>
                      <w:highlight w:val="none"/>
                      <w:lang w:val="en-US" w:eastAsia="zh-CN"/>
                    </w:rPr>
                    <w:t>W1</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生活污水</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lang w:eastAsia="zh-CN"/>
                    </w:rPr>
                  </w:pPr>
                  <w:r>
                    <w:rPr>
                      <w:rFonts w:hint="eastAsia" w:hAnsi="宋体"/>
                      <w:color w:val="auto"/>
                      <w:sz w:val="21"/>
                      <w:szCs w:val="21"/>
                      <w:highlight w:val="none"/>
                      <w:lang w:eastAsia="zh-CN"/>
                    </w:rPr>
                    <w:t>职工生活</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eastAsia="宋体"/>
                      <w:color w:val="auto"/>
                      <w:sz w:val="21"/>
                      <w:szCs w:val="21"/>
                      <w:highlight w:val="none"/>
                      <w:lang w:eastAsia="zh-CN"/>
                    </w:rPr>
                  </w:pPr>
                  <w:r>
                    <w:rPr>
                      <w:rFonts w:hint="eastAsia" w:hAnsi="宋体"/>
                      <w:color w:val="auto"/>
                      <w:sz w:val="21"/>
                      <w:szCs w:val="21"/>
                      <w:highlight w:val="none"/>
                      <w:lang w:eastAsia="zh-CN"/>
                    </w:rPr>
                    <w:t>间歇</w:t>
                  </w:r>
                </w:p>
              </w:tc>
              <w:tc>
                <w:tcPr>
                  <w:tcW w:w="1633"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COD、SS、NH</w:t>
                  </w:r>
                  <w:r>
                    <w:rPr>
                      <w:rFonts w:hint="eastAsia" w:hAnsi="宋体"/>
                      <w:color w:val="auto"/>
                      <w:sz w:val="21"/>
                      <w:szCs w:val="21"/>
                      <w:highlight w:val="none"/>
                      <w:vertAlign w:val="subscript"/>
                      <w:lang w:val="en-US" w:eastAsia="zh-CN"/>
                    </w:rPr>
                    <w:t>3</w:t>
                  </w:r>
                  <w:r>
                    <w:rPr>
                      <w:rFonts w:hint="eastAsia" w:hAnsi="宋体"/>
                      <w:color w:val="auto"/>
                      <w:sz w:val="21"/>
                      <w:szCs w:val="21"/>
                      <w:highlight w:val="none"/>
                      <w:lang w:val="en-US" w:eastAsia="zh-CN"/>
                    </w:rPr>
                    <w:t>-N总磷、总氮等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restart"/>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r>
                    <w:rPr>
                      <w:rFonts w:hint="eastAsia" w:hAnsi="宋体"/>
                      <w:color w:val="auto"/>
                      <w:sz w:val="21"/>
                      <w:szCs w:val="21"/>
                      <w:highlight w:val="none"/>
                    </w:rPr>
                    <w:t>固废</w:t>
                  </w:r>
                </w:p>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S1</w:t>
                  </w:r>
                  <w:r>
                    <w:rPr>
                      <w:rFonts w:hint="eastAsia"/>
                      <w:color w:val="auto"/>
                      <w:sz w:val="21"/>
                      <w:szCs w:val="21"/>
                      <w:highlight w:val="none"/>
                      <w:lang w:val="en-US" w:eastAsia="zh-CN"/>
                    </w:rPr>
                    <w:t>-1</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废</w:t>
                  </w:r>
                  <w:r>
                    <w:rPr>
                      <w:rFonts w:hint="eastAsia" w:hAnsi="宋体"/>
                      <w:color w:val="auto"/>
                      <w:sz w:val="21"/>
                      <w:szCs w:val="21"/>
                      <w:highlight w:val="none"/>
                      <w:lang w:val="en-US" w:eastAsia="zh-CN"/>
                    </w:rPr>
                    <w:t>海绵</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切割、</w:t>
                  </w:r>
                  <w:r>
                    <w:rPr>
                      <w:rFonts w:hint="eastAsia" w:hAnsi="宋体" w:cs="Times New Roman"/>
                      <w:color w:val="auto"/>
                      <w:kern w:val="2"/>
                      <w:sz w:val="21"/>
                      <w:szCs w:val="21"/>
                      <w:highlight w:val="none"/>
                      <w:lang w:val="en-US" w:eastAsia="zh-CN" w:bidi="ar-SA"/>
                    </w:rPr>
                    <w:t>冲孔</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废</w:t>
                  </w:r>
                  <w:r>
                    <w:rPr>
                      <w:rFonts w:hint="eastAsia" w:hAnsi="宋体"/>
                      <w:color w:val="auto"/>
                      <w:sz w:val="21"/>
                      <w:szCs w:val="21"/>
                      <w:highlight w:val="none"/>
                      <w:lang w:val="en-US" w:eastAsia="zh-CN"/>
                    </w:rPr>
                    <w:t>海绵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S</w:t>
                  </w:r>
                  <w:r>
                    <w:rPr>
                      <w:rFonts w:hint="eastAsia"/>
                      <w:color w:val="auto"/>
                      <w:sz w:val="21"/>
                      <w:szCs w:val="21"/>
                      <w:highlight w:val="none"/>
                      <w:lang w:val="en-US" w:eastAsia="zh-CN"/>
                    </w:rPr>
                    <w:t>1-2</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hAnsi="宋体" w:eastAsia="宋体"/>
                      <w:color w:val="auto"/>
                      <w:sz w:val="21"/>
                      <w:szCs w:val="21"/>
                      <w:highlight w:val="none"/>
                      <w:lang w:eastAsia="zh-CN"/>
                    </w:rPr>
                  </w:pPr>
                  <w:r>
                    <w:rPr>
                      <w:rFonts w:hint="eastAsia" w:hAnsi="宋体" w:eastAsia="宋体"/>
                      <w:color w:val="auto"/>
                      <w:sz w:val="21"/>
                      <w:szCs w:val="21"/>
                      <w:highlight w:val="none"/>
                      <w:lang w:val="en-US" w:eastAsia="zh-CN"/>
                    </w:rPr>
                    <w:t>废</w:t>
                  </w:r>
                  <w:r>
                    <w:rPr>
                      <w:rFonts w:hint="eastAsia" w:hAnsi="宋体"/>
                      <w:color w:val="auto"/>
                      <w:sz w:val="21"/>
                      <w:szCs w:val="21"/>
                      <w:highlight w:val="none"/>
                      <w:lang w:val="en-US" w:eastAsia="zh-CN"/>
                    </w:rPr>
                    <w:t>含胶海绵</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磨头、敲盖</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危险</w:t>
                  </w:r>
                  <w:r>
                    <w:rPr>
                      <w:rFonts w:hint="eastAsia" w:hAnsi="宋体"/>
                      <w:color w:val="auto"/>
                      <w:sz w:val="21"/>
                      <w:szCs w:val="21"/>
                      <w:highlight w:val="none"/>
                    </w:rPr>
                    <w:t>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含胶海绵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S2-1</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废PVC板材</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切割</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PVC板材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eastAsia="宋体"/>
                      <w:color w:val="auto"/>
                      <w:sz w:val="21"/>
                      <w:szCs w:val="21"/>
                      <w:highlight w:val="none"/>
                      <w:lang w:val="en-US" w:eastAsia="zh-CN"/>
                    </w:rPr>
                  </w:pPr>
                  <w:r>
                    <w:rPr>
                      <w:rFonts w:hint="eastAsia"/>
                      <w:color w:val="auto"/>
                      <w:sz w:val="21"/>
                      <w:szCs w:val="21"/>
                      <w:highlight w:val="none"/>
                      <w:lang w:val="en-US" w:eastAsia="zh-CN"/>
                    </w:rPr>
                    <w:t>S2-2</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废</w:t>
                  </w:r>
                  <w:r>
                    <w:rPr>
                      <w:rFonts w:hint="eastAsia" w:hAnsi="宋体"/>
                      <w:color w:val="auto"/>
                      <w:sz w:val="21"/>
                      <w:szCs w:val="21"/>
                      <w:highlight w:val="none"/>
                      <w:lang w:val="en-US" w:eastAsia="zh-CN"/>
                    </w:rPr>
                    <w:t>海绵</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lang w:val="en-US" w:eastAsia="zh-CN"/>
                    </w:rPr>
                  </w:pPr>
                  <w:r>
                    <w:rPr>
                      <w:rFonts w:hint="eastAsia" w:hAnsi="宋体"/>
                      <w:color w:val="auto"/>
                      <w:sz w:val="21"/>
                      <w:szCs w:val="21"/>
                      <w:highlight w:val="none"/>
                      <w:lang w:val="en-US" w:eastAsia="zh-CN"/>
                    </w:rPr>
                    <w:t>切割</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hAnsi="宋体" w:eastAsia="宋体"/>
                      <w:color w:val="auto"/>
                      <w:sz w:val="21"/>
                      <w:szCs w:val="21"/>
                      <w:highlight w:val="none"/>
                      <w:lang w:val="en-US" w:eastAsia="zh-CN"/>
                    </w:rPr>
                  </w:pPr>
                  <w:r>
                    <w:rPr>
                      <w:rFonts w:hint="eastAsia" w:hAnsi="宋体" w:eastAsia="宋体"/>
                      <w:color w:val="auto"/>
                      <w:sz w:val="21"/>
                      <w:szCs w:val="21"/>
                      <w:highlight w:val="none"/>
                      <w:lang w:val="en-US" w:eastAsia="zh-CN"/>
                    </w:rPr>
                    <w:t>废</w:t>
                  </w:r>
                  <w:r>
                    <w:rPr>
                      <w:rFonts w:hint="eastAsia" w:hAnsi="宋体"/>
                      <w:color w:val="auto"/>
                      <w:sz w:val="21"/>
                      <w:szCs w:val="21"/>
                      <w:highlight w:val="none"/>
                      <w:lang w:val="en-US" w:eastAsia="zh-CN"/>
                    </w:rPr>
                    <w:t>海绵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S2-3</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废料</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切块</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eastAsia="宋体"/>
                      <w:color w:val="auto"/>
                      <w:sz w:val="21"/>
                      <w:szCs w:val="21"/>
                      <w:highlight w:val="none"/>
                      <w:lang w:eastAsia="zh-CN"/>
                    </w:rPr>
                  </w:pPr>
                  <w:r>
                    <w:rPr>
                      <w:rFonts w:hint="eastAsia" w:hAnsi="宋体"/>
                      <w:color w:val="auto"/>
                      <w:sz w:val="21"/>
                      <w:szCs w:val="21"/>
                      <w:highlight w:val="none"/>
                      <w:lang w:val="en-US" w:eastAsia="zh-CN"/>
                    </w:rPr>
                    <w:t>危险固废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含胶海绵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S2-4</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废边角料</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修整</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hAnsi="宋体"/>
                      <w:color w:val="auto"/>
                      <w:sz w:val="21"/>
                      <w:szCs w:val="21"/>
                      <w:highlight w:val="none"/>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eastAsia="宋体"/>
                      <w:color w:val="auto"/>
                      <w:sz w:val="21"/>
                      <w:szCs w:val="21"/>
                      <w:highlight w:val="none"/>
                      <w:lang w:val="en-US" w:eastAsia="zh-CN"/>
                    </w:rPr>
                  </w:pPr>
                  <w:r>
                    <w:rPr>
                      <w:rFonts w:hint="eastAsia" w:hAnsi="宋体"/>
                      <w:color w:val="auto"/>
                      <w:sz w:val="21"/>
                      <w:szCs w:val="21"/>
                      <w:highlight w:val="none"/>
                      <w:lang w:val="en-US" w:eastAsia="zh-CN"/>
                    </w:rPr>
                    <w:t>废塑料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S3-1</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混丝废料</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混丝</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废毛丝</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S3-2</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废边角料</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冲压</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废铁皮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S3-3</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剪毛废料</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剪毛、清毛</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ascii="Times New Roman" w:hAnsi="宋体" w:eastAsia="宋体" w:cs="Times New Roman"/>
                      <w:color w:val="auto"/>
                      <w:sz w:val="21"/>
                      <w:szCs w:val="21"/>
                      <w:highlight w:val="none"/>
                      <w:lang w:val="en-US" w:eastAsia="zh-CN"/>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hAnsi="宋体"/>
                      <w:color w:val="auto"/>
                      <w:sz w:val="21"/>
                      <w:szCs w:val="21"/>
                      <w:highlight w:val="none"/>
                      <w:lang w:val="en-US" w:eastAsia="zh-CN"/>
                    </w:rPr>
                  </w:pPr>
                  <w:r>
                    <w:rPr>
                      <w:rFonts w:hint="eastAsia" w:hAnsi="宋体"/>
                      <w:color w:val="auto"/>
                      <w:sz w:val="21"/>
                      <w:szCs w:val="21"/>
                      <w:highlight w:val="none"/>
                      <w:lang w:val="en-US" w:eastAsia="zh-CN"/>
                    </w:rPr>
                    <w:t>废毛丝</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S3-4</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漆渣</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浸漆</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hAnsi="宋体"/>
                      <w:color w:val="auto"/>
                      <w:sz w:val="21"/>
                      <w:szCs w:val="21"/>
                      <w:highlight w:val="none"/>
                      <w:lang w:val="en-US" w:eastAsia="zh-CN"/>
                    </w:rPr>
                    <w:t>危险固废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漆渣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S3-5</w:t>
                  </w:r>
                </w:p>
              </w:tc>
              <w:tc>
                <w:tcPr>
                  <w:tcW w:w="1330"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废漆桶</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default" w:ascii="Times New Roman" w:hAnsi="宋体" w:eastAsia="宋体" w:cs="Times New Roman"/>
                      <w:color w:val="auto"/>
                      <w:sz w:val="21"/>
                      <w:szCs w:val="21"/>
                      <w:highlight w:val="none"/>
                      <w:lang w:val="en-US" w:eastAsia="zh-CN"/>
                    </w:rPr>
                  </w:pPr>
                  <w:r>
                    <w:rPr>
                      <w:rFonts w:hint="eastAsia" w:hAnsi="宋体" w:cs="Times New Roman"/>
                      <w:color w:val="auto"/>
                      <w:sz w:val="21"/>
                      <w:szCs w:val="21"/>
                      <w:highlight w:val="none"/>
                      <w:lang w:val="en-US" w:eastAsia="zh-CN"/>
                    </w:rPr>
                    <w:t>浸漆</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sz w:val="21"/>
                      <w:szCs w:val="21"/>
                      <w:highlight w:val="none"/>
                      <w:lang w:val="en-US" w:eastAsia="zh-CN"/>
                    </w:rPr>
                  </w:pPr>
                  <w:r>
                    <w:rPr>
                      <w:rFonts w:hint="eastAsia" w:hAnsi="宋体"/>
                      <w:color w:val="auto"/>
                      <w:sz w:val="21"/>
                      <w:szCs w:val="21"/>
                      <w:highlight w:val="none"/>
                      <w:lang w:val="en-US" w:eastAsia="zh-CN"/>
                    </w:rPr>
                    <w:t>危险固废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default" w:hAnsi="宋体"/>
                      <w:color w:val="auto"/>
                      <w:sz w:val="21"/>
                      <w:szCs w:val="21"/>
                      <w:highlight w:val="none"/>
                      <w:lang w:val="en-US" w:eastAsia="zh-CN"/>
                    </w:rPr>
                  </w:pPr>
                  <w:r>
                    <w:rPr>
                      <w:rFonts w:hint="eastAsia" w:hAnsi="宋体"/>
                      <w:color w:val="auto"/>
                      <w:sz w:val="21"/>
                      <w:szCs w:val="21"/>
                      <w:highlight w:val="none"/>
                      <w:lang w:val="en-US" w:eastAsia="zh-CN"/>
                    </w:rPr>
                    <w:t>废漆桶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w:t>
                  </w:r>
                </w:p>
              </w:tc>
              <w:tc>
                <w:tcPr>
                  <w:tcW w:w="1330"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生活垃圾</w:t>
                  </w:r>
                </w:p>
              </w:tc>
              <w:tc>
                <w:tcPr>
                  <w:tcW w:w="1364"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职工生活</w:t>
                  </w:r>
                </w:p>
              </w:tc>
              <w:tc>
                <w:tcPr>
                  <w:tcW w:w="1931" w:type="dxa"/>
                  <w:tcBorders>
                    <w:tl2br w:val="nil"/>
                    <w:tr2bl w:val="nil"/>
                  </w:tcBorders>
                  <w:tcMar>
                    <w:top w:w="0" w:type="dxa"/>
                    <w:left w:w="28" w:type="dxa"/>
                    <w:bottom w:w="0" w:type="dxa"/>
                    <w:right w:w="28" w:type="dxa"/>
                  </w:tcMar>
                  <w:vAlign w:val="center"/>
                </w:tcPr>
                <w:p>
                  <w:pPr>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adjustRightInd w:val="0"/>
                    <w:snapToGrid w:val="0"/>
                    <w:spacing w:line="320" w:lineRule="exact"/>
                    <w:ind w:firstLine="0" w:firstLineChars="0"/>
                    <w:jc w:val="center"/>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瓜果</w:t>
                  </w:r>
                  <w:r>
                    <w:rPr>
                      <w:rFonts w:hint="eastAsia" w:cs="Times New Roman"/>
                      <w:color w:val="auto"/>
                      <w:szCs w:val="21"/>
                      <w:highlight w:val="none"/>
                      <w:lang w:val="en-US" w:eastAsia="zh-CN"/>
                    </w:rPr>
                    <w:t>纸</w:t>
                  </w:r>
                  <w:r>
                    <w:rPr>
                      <w:rFonts w:hint="eastAsia" w:hAnsi="宋体"/>
                      <w:color w:val="auto"/>
                      <w:sz w:val="21"/>
                      <w:szCs w:val="21"/>
                      <w:highlight w:val="none"/>
                    </w:rPr>
                    <w:t>屑等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w:t>
                  </w:r>
                </w:p>
              </w:tc>
              <w:tc>
                <w:tcPr>
                  <w:tcW w:w="1330"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val="en-US" w:eastAsia="zh-CN"/>
                    </w:rPr>
                    <w:t>废活性炭</w:t>
                  </w:r>
                </w:p>
              </w:tc>
              <w:tc>
                <w:tcPr>
                  <w:tcW w:w="1364"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eastAsia="zh-CN"/>
                    </w:rPr>
                    <w:t>废气处理</w:t>
                  </w:r>
                </w:p>
              </w:tc>
              <w:tc>
                <w:tcPr>
                  <w:tcW w:w="1931"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eastAsia="zh-CN"/>
                    </w:rPr>
                    <w:t>危险</w:t>
                  </w:r>
                  <w:r>
                    <w:rPr>
                      <w:rFonts w:hint="eastAsia" w:hAnsi="宋体"/>
                      <w:color w:val="auto"/>
                      <w:sz w:val="21"/>
                      <w:szCs w:val="21"/>
                      <w:highlight w:val="none"/>
                    </w:rPr>
                    <w:t>固废</w:t>
                  </w:r>
                </w:p>
              </w:tc>
              <w:tc>
                <w:tcPr>
                  <w:tcW w:w="1633"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废活性炭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w:t>
                  </w:r>
                </w:p>
              </w:tc>
              <w:tc>
                <w:tcPr>
                  <w:tcW w:w="1330"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宋体" w:eastAsia="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除尘灰</w:t>
                  </w:r>
                </w:p>
              </w:tc>
              <w:tc>
                <w:tcPr>
                  <w:tcW w:w="1364"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lang w:eastAsia="zh-CN"/>
                    </w:rPr>
                    <w:t>废气处理</w:t>
                  </w:r>
                </w:p>
              </w:tc>
              <w:tc>
                <w:tcPr>
                  <w:tcW w:w="1931"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olor w:val="auto"/>
                      <w:sz w:val="21"/>
                      <w:szCs w:val="21"/>
                      <w:highlight w:val="none"/>
                    </w:rPr>
                    <w:t>一般固废</w:t>
                  </w:r>
                </w:p>
              </w:tc>
              <w:tc>
                <w:tcPr>
                  <w:tcW w:w="1633"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eastAsia" w:ascii="Times New Roman" w:hAnsi="宋体" w:eastAsia="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粉尘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1330"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废胶桶</w:t>
                  </w:r>
                </w:p>
              </w:tc>
              <w:tc>
                <w:tcPr>
                  <w:tcW w:w="1364"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hAnsi="宋体"/>
                      <w:color w:val="auto"/>
                      <w:sz w:val="21"/>
                      <w:szCs w:val="21"/>
                      <w:highlight w:val="none"/>
                      <w:lang w:val="en-US" w:eastAsia="zh-CN"/>
                    </w:rPr>
                  </w:pPr>
                  <w:r>
                    <w:rPr>
                      <w:rFonts w:hint="eastAsia" w:hAnsi="宋体"/>
                      <w:color w:val="auto"/>
                      <w:sz w:val="21"/>
                      <w:szCs w:val="21"/>
                      <w:highlight w:val="none"/>
                      <w:lang w:val="en-US" w:eastAsia="zh-CN"/>
                    </w:rPr>
                    <w:t>生产过程</w:t>
                  </w:r>
                </w:p>
              </w:tc>
              <w:tc>
                <w:tcPr>
                  <w:tcW w:w="1931"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r>
                    <w:rPr>
                      <w:rFonts w:hint="eastAsia" w:hAnsi="宋体"/>
                      <w:color w:val="auto"/>
                      <w:sz w:val="21"/>
                      <w:szCs w:val="21"/>
                      <w:highlight w:val="none"/>
                      <w:lang w:eastAsia="zh-CN"/>
                    </w:rPr>
                    <w:t>危险</w:t>
                  </w:r>
                  <w:r>
                    <w:rPr>
                      <w:rFonts w:hint="eastAsia" w:hAnsi="宋体"/>
                      <w:color w:val="auto"/>
                      <w:sz w:val="21"/>
                      <w:szCs w:val="21"/>
                      <w:highlight w:val="none"/>
                    </w:rPr>
                    <w:t>固废</w:t>
                  </w:r>
                </w:p>
              </w:tc>
              <w:tc>
                <w:tcPr>
                  <w:tcW w:w="1633"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废胶桶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52" w:type="dxa"/>
                  <w:vMerge w:val="continue"/>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Ansi="宋体"/>
                      <w:color w:val="auto"/>
                      <w:sz w:val="21"/>
                      <w:szCs w:val="21"/>
                      <w:highlight w:val="none"/>
                    </w:rPr>
                  </w:pPr>
                </w:p>
              </w:tc>
              <w:tc>
                <w:tcPr>
                  <w:tcW w:w="655"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w:t>
                  </w:r>
                </w:p>
              </w:tc>
              <w:tc>
                <w:tcPr>
                  <w:tcW w:w="1330"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废机油和机油桶</w:t>
                  </w:r>
                </w:p>
              </w:tc>
              <w:tc>
                <w:tcPr>
                  <w:tcW w:w="1364"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hAnsi="宋体"/>
                      <w:color w:val="auto"/>
                      <w:sz w:val="21"/>
                      <w:szCs w:val="21"/>
                      <w:highlight w:val="none"/>
                      <w:lang w:val="en-US" w:eastAsia="zh-CN"/>
                    </w:rPr>
                  </w:pPr>
                  <w:r>
                    <w:rPr>
                      <w:rFonts w:hint="eastAsia" w:hAnsi="宋体"/>
                      <w:color w:val="auto"/>
                      <w:sz w:val="21"/>
                      <w:szCs w:val="21"/>
                      <w:highlight w:val="none"/>
                      <w:lang w:val="en-US" w:eastAsia="zh-CN"/>
                    </w:rPr>
                    <w:t>维修</w:t>
                  </w:r>
                </w:p>
              </w:tc>
              <w:tc>
                <w:tcPr>
                  <w:tcW w:w="1931"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hAnsi="宋体"/>
                      <w:color w:val="auto"/>
                      <w:sz w:val="21"/>
                      <w:szCs w:val="21"/>
                      <w:highlight w:val="none"/>
                    </w:rPr>
                  </w:pPr>
                  <w:r>
                    <w:rPr>
                      <w:rFonts w:hint="eastAsia" w:hAnsi="宋体"/>
                      <w:color w:val="auto"/>
                      <w:sz w:val="21"/>
                      <w:szCs w:val="21"/>
                      <w:highlight w:val="none"/>
                      <w:lang w:eastAsia="zh-CN"/>
                    </w:rPr>
                    <w:t>危险</w:t>
                  </w:r>
                  <w:r>
                    <w:rPr>
                      <w:rFonts w:hint="eastAsia" w:hAnsi="宋体"/>
                      <w:color w:val="auto"/>
                      <w:sz w:val="21"/>
                      <w:szCs w:val="21"/>
                      <w:highlight w:val="none"/>
                    </w:rPr>
                    <w:t>固废</w:t>
                  </w:r>
                </w:p>
              </w:tc>
              <w:tc>
                <w:tcPr>
                  <w:tcW w:w="1633" w:type="dxa"/>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hAnsi="宋体" w:cs="Times New Roman"/>
                      <w:color w:val="auto"/>
                      <w:kern w:val="2"/>
                      <w:sz w:val="21"/>
                      <w:szCs w:val="21"/>
                      <w:highlight w:val="none"/>
                      <w:lang w:val="en-US" w:eastAsia="zh-CN" w:bidi="ar-SA"/>
                    </w:rPr>
                  </w:pPr>
                  <w:r>
                    <w:rPr>
                      <w:rFonts w:hint="eastAsia" w:hAnsi="宋体" w:cs="Times New Roman"/>
                      <w:color w:val="auto"/>
                      <w:kern w:val="2"/>
                      <w:sz w:val="21"/>
                      <w:szCs w:val="21"/>
                      <w:highlight w:val="none"/>
                      <w:lang w:val="en-US" w:eastAsia="zh-CN" w:bidi="ar-SA"/>
                    </w:rPr>
                    <w:t>废机油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607" w:type="dxa"/>
                  <w:gridSpan w:val="2"/>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color w:val="auto"/>
                      <w:sz w:val="21"/>
                      <w:szCs w:val="21"/>
                      <w:highlight w:val="none"/>
                    </w:rPr>
                  </w:pPr>
                  <w:r>
                    <w:rPr>
                      <w:rFonts w:hint="eastAsia" w:hAnsi="宋体"/>
                      <w:color w:val="auto"/>
                      <w:sz w:val="21"/>
                      <w:szCs w:val="21"/>
                      <w:highlight w:val="none"/>
                    </w:rPr>
                    <w:t>噪声</w:t>
                  </w:r>
                </w:p>
              </w:tc>
              <w:tc>
                <w:tcPr>
                  <w:tcW w:w="6258" w:type="dxa"/>
                  <w:gridSpan w:val="4"/>
                  <w:tcBorders>
                    <w:tl2br w:val="nil"/>
                    <w:tr2bl w:val="nil"/>
                  </w:tcBorders>
                  <w:tcMar>
                    <w:top w:w="0" w:type="dxa"/>
                    <w:left w:w="28" w:type="dxa"/>
                    <w:bottom w:w="0" w:type="dxa"/>
                    <w:right w:w="28" w:type="dxa"/>
                  </w:tcMar>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color w:val="auto"/>
                      <w:sz w:val="21"/>
                      <w:szCs w:val="21"/>
                      <w:highlight w:val="none"/>
                    </w:rPr>
                  </w:pPr>
                  <w:r>
                    <w:rPr>
                      <w:rFonts w:hint="eastAsia" w:hAnsi="宋体"/>
                      <w:color w:val="auto"/>
                      <w:sz w:val="21"/>
                      <w:szCs w:val="21"/>
                      <w:highlight w:val="none"/>
                    </w:rPr>
                    <w:t>主要噪声源为</w:t>
                  </w:r>
                  <w:r>
                    <w:rPr>
                      <w:rFonts w:hint="eastAsia" w:ascii="Times New Roman" w:hAnsi="Times New Roman" w:eastAsia="宋体" w:cs="Times New Roman"/>
                      <w:i w:val="0"/>
                      <w:iCs w:val="0"/>
                      <w:color w:val="auto"/>
                      <w:kern w:val="0"/>
                      <w:sz w:val="21"/>
                      <w:szCs w:val="21"/>
                      <w:highlight w:val="none"/>
                      <w:u w:val="none"/>
                      <w:lang w:val="en-US" w:eastAsia="zh-CN" w:bidi="ar"/>
                    </w:rPr>
                    <w:t>切割机</w:t>
                  </w:r>
                  <w:r>
                    <w:rPr>
                      <w:rFonts w:hint="eastAsia" w:hAnsi="宋体"/>
                      <w:color w:val="auto"/>
                      <w:sz w:val="21"/>
                      <w:szCs w:val="21"/>
                      <w:highlight w:val="none"/>
                      <w:lang w:eastAsia="zh-CN"/>
                    </w:rPr>
                    <w:t>、</w:t>
                  </w:r>
                  <w:r>
                    <w:rPr>
                      <w:rFonts w:hint="eastAsia" w:hAnsi="宋体"/>
                      <w:color w:val="auto"/>
                      <w:sz w:val="21"/>
                      <w:szCs w:val="21"/>
                      <w:highlight w:val="none"/>
                      <w:lang w:val="en-US" w:eastAsia="zh-CN"/>
                    </w:rPr>
                    <w:t>车床</w:t>
                  </w:r>
                  <w:r>
                    <w:rPr>
                      <w:rFonts w:hint="eastAsia" w:hAnsi="宋体"/>
                      <w:color w:val="auto"/>
                      <w:sz w:val="21"/>
                      <w:szCs w:val="21"/>
                      <w:highlight w:val="none"/>
                    </w:rPr>
                    <w:t>等</w:t>
                  </w:r>
                </w:p>
              </w:tc>
            </w:tr>
          </w:tbl>
          <w:p>
            <w:pPr>
              <w:jc w:val="both"/>
              <w:rPr>
                <w:rFonts w:hint="eastAsia" w:ascii="Times New Roman" w:hAnsi="Times New Roman" w:cs="Times New Roman"/>
                <w:b/>
                <w:bCs/>
                <w:color w:val="auto"/>
                <w:sz w:val="28"/>
                <w:szCs w:val="28"/>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738" w:hRule="atLeast"/>
        </w:trPr>
        <w:tc>
          <w:tcPr>
            <w:tcW w:w="438" w:type="dxa"/>
            <w:vAlign w:val="center"/>
          </w:tcPr>
          <w:p>
            <w:pPr>
              <w:pStyle w:val="22"/>
              <w:adjustRightInd w:val="0"/>
              <w:snapToGrid w:val="0"/>
              <w:spacing w:before="0" w:beforeAutospacing="0" w:after="0" w:afterAutospacing="0"/>
              <w:jc w:val="center"/>
              <w:rPr>
                <w:rFonts w:hint="default" w:ascii="Times New Roman" w:hAnsi="Times New Roman" w:cs="Times New Roman"/>
                <w:color w:val="auto"/>
                <w:kern w:val="0"/>
                <w:sz w:val="24"/>
                <w:szCs w:val="24"/>
                <w:highlight w:val="none"/>
              </w:rPr>
            </w:pPr>
            <w:r>
              <w:rPr>
                <w:rFonts w:hint="default" w:ascii="Times New Roman" w:hAnsi="Times New Roman" w:eastAsia="宋体" w:cs="Times New Roman"/>
                <w:bCs/>
                <w:color w:val="auto"/>
                <w:kern w:val="2"/>
                <w:sz w:val="24"/>
                <w:szCs w:val="24"/>
                <w:highlight w:val="none"/>
              </w:rPr>
              <w:t>与项目有关的原有环境污染问题</w:t>
            </w:r>
          </w:p>
        </w:tc>
        <w:tc>
          <w:tcPr>
            <w:tcW w:w="8084" w:type="dxa"/>
            <w:vAlign w:val="top"/>
          </w:tcPr>
          <w:p>
            <w:pPr>
              <w:autoSpaceDE w:val="0"/>
              <w:autoSpaceDN w:val="0"/>
              <w:adjustRightInd w:val="0"/>
              <w:snapToGrid w:val="0"/>
              <w:spacing w:line="360" w:lineRule="auto"/>
              <w:ind w:firstLine="482" w:firstLineChars="200"/>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1、现有项目环保手续概况</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2016年9月南通汉德家用电器有限公司</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新建滚筒刷生产项目</w:t>
            </w:r>
            <w:r>
              <w:rPr>
                <w:rFonts w:hint="eastAsia"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环评报告表</w:t>
            </w:r>
            <w:r>
              <w:rPr>
                <w:rFonts w:hint="eastAsia" w:ascii="Times New Roman" w:hAnsi="Times New Roman" w:eastAsia="宋体" w:cs="Times New Roman"/>
                <w:color w:val="auto"/>
                <w:kern w:val="0"/>
                <w:sz w:val="24"/>
                <w:szCs w:val="24"/>
                <w:highlight w:val="none"/>
                <w:lang w:val="en-US" w:eastAsia="zh-CN"/>
              </w:rPr>
              <w:t>于2016年10月取得</w:t>
            </w:r>
            <w:r>
              <w:rPr>
                <w:rFonts w:hint="eastAsia" w:cs="Times New Roman"/>
                <w:color w:val="auto"/>
                <w:kern w:val="0"/>
                <w:sz w:val="24"/>
                <w:szCs w:val="24"/>
                <w:highlight w:val="none"/>
                <w:lang w:val="en-US" w:eastAsia="zh-CN"/>
              </w:rPr>
              <w:t>原</w:t>
            </w:r>
            <w:r>
              <w:rPr>
                <w:rFonts w:hint="eastAsia" w:ascii="Times New Roman" w:hAnsi="Times New Roman" w:eastAsia="宋体" w:cs="Times New Roman"/>
                <w:color w:val="auto"/>
                <w:kern w:val="0"/>
                <w:sz w:val="24"/>
                <w:szCs w:val="24"/>
                <w:highlight w:val="none"/>
                <w:lang w:val="en-US" w:eastAsia="zh-CN"/>
              </w:rPr>
              <w:t>如皋市行政审批局批复</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皋行审环表复[2016]117号</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，形成年产476万把/年滚筒刷的生产能力，并于2017年8月</w:t>
            </w:r>
            <w:r>
              <w:rPr>
                <w:rFonts w:hint="eastAsia" w:cs="Times New Roman"/>
                <w:color w:val="auto"/>
                <w:kern w:val="0"/>
                <w:sz w:val="24"/>
                <w:szCs w:val="24"/>
                <w:highlight w:val="none"/>
                <w:lang w:val="en-US" w:eastAsia="zh-CN"/>
              </w:rPr>
              <w:t>通过竣工环保</w:t>
            </w:r>
            <w:r>
              <w:rPr>
                <w:rFonts w:hint="eastAsia" w:ascii="Times New Roman" w:hAnsi="Times New Roman" w:eastAsia="宋体" w:cs="Times New Roman"/>
                <w:color w:val="auto"/>
                <w:kern w:val="0"/>
                <w:sz w:val="24"/>
                <w:szCs w:val="24"/>
                <w:highlight w:val="none"/>
                <w:lang w:val="en-US" w:eastAsia="zh-CN"/>
              </w:rPr>
              <w:t>验收</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皋开行审环验（表）[2017]6号</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2017年</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板刷、滚筒刷生产扩建项目</w:t>
            </w:r>
            <w:r>
              <w:rPr>
                <w:rFonts w:hint="eastAsia" w:cs="Times New Roman"/>
                <w:color w:val="auto"/>
                <w:kern w:val="0"/>
                <w:sz w:val="24"/>
                <w:szCs w:val="24"/>
                <w:highlight w:val="none"/>
                <w:lang w:val="en-US" w:eastAsia="zh-CN"/>
              </w:rPr>
              <w:t>”</w:t>
            </w:r>
            <w:r>
              <w:rPr>
                <w:rFonts w:hint="default" w:ascii="Times New Roman" w:hAnsi="Times New Roman" w:eastAsia="宋体" w:cs="Times New Roman"/>
                <w:color w:val="auto"/>
                <w:kern w:val="0"/>
                <w:sz w:val="24"/>
                <w:szCs w:val="24"/>
                <w:highlight w:val="none"/>
                <w:lang w:val="en-US" w:eastAsia="zh-CN"/>
              </w:rPr>
              <w:t>环评报告表</w:t>
            </w:r>
            <w:r>
              <w:rPr>
                <w:rFonts w:hint="eastAsia" w:ascii="Times New Roman" w:hAnsi="Times New Roman" w:eastAsia="宋体" w:cs="Times New Roman"/>
                <w:color w:val="auto"/>
                <w:kern w:val="0"/>
                <w:sz w:val="24"/>
                <w:szCs w:val="24"/>
                <w:highlight w:val="none"/>
                <w:lang w:val="en-US" w:eastAsia="zh-CN"/>
              </w:rPr>
              <w:t>于2017年11月取得如皋市经济技术开发区批复</w:t>
            </w:r>
            <w:r>
              <w:rPr>
                <w:rFonts w:hint="eastAsia"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皋开行审环表复[2017]15号</w:t>
            </w:r>
            <w:r>
              <w:rPr>
                <w:rFonts w:hint="eastAsia" w:cs="Times New Roman"/>
                <w:color w:val="auto"/>
                <w:kern w:val="0"/>
                <w:sz w:val="24"/>
                <w:szCs w:val="24"/>
                <w:highlight w:val="none"/>
                <w:lang w:val="en-US" w:eastAsia="zh-CN"/>
              </w:rPr>
              <w:t>），目前因公司经营和市场等内外部原因，以及环保处罚问题等历史遗留问题，现有项目不满足验收要求，尚未验收，本次技改扩建后，将扩大公司经营范围和市场竞争力，同时解决项目环保手续，完善环保验收</w:t>
            </w:r>
            <w:r>
              <w:rPr>
                <w:rFonts w:hint="eastAsia" w:ascii="Times New Roman" w:hAnsi="Times New Roman" w:eastAsia="宋体" w:cs="Times New Roman"/>
                <w:color w:val="auto"/>
                <w:kern w:val="0"/>
                <w:sz w:val="24"/>
                <w:szCs w:val="24"/>
                <w:highlight w:val="none"/>
                <w:lang w:val="en-US" w:eastAsia="zh-CN"/>
              </w:rPr>
              <w:t>。</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现有环保手续一览表见表2-7。</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vertAlign w:val="baseline"/>
                <w:lang w:val="en-US" w:eastAsia="zh-CN"/>
              </w:rPr>
            </w:pPr>
            <w:r>
              <w:rPr>
                <w:rFonts w:hint="eastAsia" w:ascii="Times New Roman" w:hAnsi="Times New Roman" w:eastAsia="宋体" w:cs="Times New Roman"/>
                <w:b/>
                <w:color w:val="auto"/>
                <w:sz w:val="24"/>
                <w:szCs w:val="24"/>
                <w:highlight w:val="none"/>
                <w:lang w:val="en-US" w:eastAsia="zh-CN"/>
              </w:rPr>
              <w:t>表2-7现有项目环保手续一览表</w:t>
            </w:r>
          </w:p>
          <w:tbl>
            <w:tblPr>
              <w:tblStyle w:val="26"/>
              <w:tblW w:w="7830"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305"/>
              <w:gridCol w:w="1305"/>
              <w:gridCol w:w="1305"/>
              <w:gridCol w:w="1305"/>
              <w:gridCol w:w="13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项目名称</w:t>
                  </w:r>
                </w:p>
              </w:tc>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Times New Roman" w:eastAsia="宋体" w:cs="Times New Roman"/>
                      <w:b/>
                      <w:color w:val="auto"/>
                      <w:sz w:val="21"/>
                      <w:szCs w:val="21"/>
                    </w:rPr>
                  </w:pPr>
                  <w:r>
                    <w:rPr>
                      <w:rFonts w:hint="default" w:ascii="Times New Roman" w:hAnsi="Times New Roman" w:eastAsia="宋体" w:cs="Times New Roman"/>
                      <w:b/>
                      <w:color w:val="auto"/>
                      <w:sz w:val="21"/>
                      <w:szCs w:val="21"/>
                    </w:rPr>
                    <w:t>环保</w:t>
                  </w:r>
                </w:p>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事项</w:t>
                  </w:r>
                </w:p>
              </w:tc>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审批部门</w:t>
                  </w:r>
                </w:p>
              </w:tc>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文件号</w:t>
                  </w:r>
                </w:p>
              </w:tc>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时间</w:t>
                  </w:r>
                </w:p>
              </w:tc>
              <w:tc>
                <w:tcPr>
                  <w:tcW w:w="1305" w:type="dxa"/>
                  <w:tcBorders>
                    <w:tl2br w:val="nil"/>
                    <w:tr2bl w:val="nil"/>
                  </w:tcBorders>
                  <w:vAlign w:val="center"/>
                </w:tcPr>
                <w:p>
                  <w:pPr>
                    <w:pStyle w:val="14"/>
                    <w:pageBreakBefore w:val="0"/>
                    <w:kinsoku/>
                    <w:wordWrap/>
                    <w:overflowPunct/>
                    <w:topLinePunct w:val="0"/>
                    <w:bidi w:val="0"/>
                    <w:adjustRightInd w:val="0"/>
                    <w:snapToGrid w:val="0"/>
                    <w:jc w:val="center"/>
                    <w:rPr>
                      <w:rFonts w:hint="default" w:ascii="Times New Roman" w:hAnsi="宋体" w:eastAsia="宋体" w:cs="Times New Roman"/>
                      <w:color w:val="auto"/>
                      <w:sz w:val="21"/>
                      <w:szCs w:val="21"/>
                      <w:highlight w:val="none"/>
                      <w:lang w:val="en-US" w:eastAsia="zh-CN"/>
                    </w:rPr>
                  </w:pPr>
                  <w:r>
                    <w:rPr>
                      <w:rFonts w:hint="default" w:ascii="Times New Roman" w:hAnsi="Times New Roman" w:eastAsia="宋体" w:cs="Times New Roman"/>
                      <w:b/>
                      <w:color w:val="auto"/>
                      <w:sz w:val="21"/>
                      <w:szCs w:val="21"/>
                    </w:rPr>
                    <w:t>实际产能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05"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新建滚筒刷生产项目</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环评审批</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olor w:val="auto"/>
                      <w:lang w:val="en-US" w:eastAsia="zh-CN"/>
                    </w:rPr>
                    <w:t>如皋市行政审批局</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皋行审环表复[2016]117号</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2016-10-31</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年产476万把滚筒刷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竣工环保验收</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lang w:val="en-US" w:eastAsia="zh-CN"/>
                    </w:rPr>
                  </w:pPr>
                  <w:r>
                    <w:rPr>
                      <w:rFonts w:hint="eastAsia"/>
                      <w:color w:val="auto"/>
                      <w:lang w:val="en-US" w:eastAsia="zh-CN"/>
                    </w:rPr>
                    <w:t>如皋市经济技术开发区</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皋开行审环验（表）[2017]6号</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2017.08</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年产476万把滚筒刷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05"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板刷、滚筒刷生产扩建项目</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环评审批</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color w:val="auto"/>
                    </w:rPr>
                  </w:pPr>
                  <w:r>
                    <w:rPr>
                      <w:rFonts w:hint="eastAsia"/>
                      <w:color w:val="auto"/>
                      <w:lang w:val="en-US" w:eastAsia="zh-CN"/>
                    </w:rPr>
                    <w:t>如皋市经济技术开发区</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皋开行审环表复[2017]15号</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2017-11-06</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年产滚筒刷1676万个、年产板刷900万个</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305"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竣工环保验收</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olor w:val="auto"/>
                      <w:lang w:val="en-US" w:eastAsia="zh-CN"/>
                    </w:rPr>
                  </w:pPr>
                  <w:r>
                    <w:rPr>
                      <w:rFonts w:hint="eastAsia"/>
                      <w:color w:val="auto"/>
                      <w:lang w:val="en-US" w:eastAsia="zh-CN"/>
                    </w:rPr>
                    <w:t>/</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eastAsia="宋体"/>
                      <w:color w:val="auto"/>
                      <w:lang w:val="en-US" w:eastAsia="zh-CN"/>
                    </w:rPr>
                  </w:pPr>
                  <w:r>
                    <w:rPr>
                      <w:rFonts w:hint="eastAsia"/>
                      <w:color w:val="auto"/>
                      <w:lang w:val="en-US" w:eastAsia="zh-CN"/>
                    </w:rPr>
                    <w:t>/</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color w:val="auto"/>
                    </w:rPr>
                  </w:pPr>
                  <w:r>
                    <w:rPr>
                      <w:rFonts w:hint="eastAsia" w:cs="Times New Roman"/>
                      <w:color w:val="auto"/>
                      <w:kern w:val="0"/>
                      <w:sz w:val="21"/>
                      <w:szCs w:val="21"/>
                      <w:highlight w:val="none"/>
                      <w:lang w:val="en-US" w:eastAsia="zh-CN"/>
                    </w:rPr>
                    <w:t>/</w:t>
                  </w:r>
                </w:p>
              </w:tc>
              <w:tc>
                <w:tcPr>
                  <w:tcW w:w="1305"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尚未验收</w:t>
                  </w:r>
                </w:p>
              </w:tc>
            </w:tr>
          </w:tbl>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2、排污许可手续情况</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南通汉德家用电器有限公司已于2020年5月20日取得固定污染源排污登记回执，登记编号：913206825580358005001W。</w:t>
            </w:r>
          </w:p>
          <w:p>
            <w:pPr>
              <w:autoSpaceDE w:val="0"/>
              <w:autoSpaceDN w:val="0"/>
              <w:adjustRightInd w:val="0"/>
              <w:snapToGrid w:val="0"/>
              <w:spacing w:line="360" w:lineRule="auto"/>
              <w:ind w:firstLine="482" w:firstLineChars="200"/>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3、现有项目产品方案</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表2-8现有项目产品方案</w:t>
            </w:r>
          </w:p>
          <w:tbl>
            <w:tblPr>
              <w:tblStyle w:val="26"/>
              <w:tblW w:w="7830"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66"/>
              <w:gridCol w:w="1566"/>
              <w:gridCol w:w="1566"/>
              <w:gridCol w:w="1566"/>
              <w:gridCol w:w="156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序号</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工程名称</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产品名称</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设计能力</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年运行时数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滚筒刷加工生产线</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滚筒刷</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1676万个/年</w:t>
                  </w:r>
                </w:p>
              </w:tc>
              <w:tc>
                <w:tcPr>
                  <w:tcW w:w="156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2400h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板刷生产线</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板刷</w:t>
                  </w:r>
                </w:p>
              </w:tc>
              <w:tc>
                <w:tcPr>
                  <w:tcW w:w="1566" w:type="dxa"/>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900万个/年</w:t>
                  </w:r>
                </w:p>
              </w:tc>
              <w:tc>
                <w:tcPr>
                  <w:tcW w:w="156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r>
          </w:tbl>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4、现有项目</w:t>
            </w:r>
            <w:r>
              <w:rPr>
                <w:rFonts w:hint="eastAsia" w:cs="Times New Roman"/>
                <w:b/>
                <w:bCs/>
                <w:color w:val="auto"/>
                <w:kern w:val="0"/>
                <w:sz w:val="24"/>
                <w:szCs w:val="24"/>
                <w:highlight w:val="none"/>
                <w:lang w:val="en-US" w:eastAsia="zh-CN"/>
              </w:rPr>
              <w:t>主体工程、公</w:t>
            </w:r>
            <w:r>
              <w:rPr>
                <w:rFonts w:hint="eastAsia" w:ascii="Times New Roman" w:hAnsi="Times New Roman" w:eastAsia="宋体" w:cs="Times New Roman"/>
                <w:b/>
                <w:bCs/>
                <w:color w:val="auto"/>
                <w:kern w:val="0"/>
                <w:sz w:val="24"/>
                <w:szCs w:val="24"/>
                <w:highlight w:val="none"/>
                <w:lang w:val="en-US" w:eastAsia="zh-CN"/>
              </w:rPr>
              <w:t>用及辅助工程</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表2-</w:t>
            </w:r>
            <w:r>
              <w:rPr>
                <w:rFonts w:hint="eastAsia" w:cs="Times New Roman"/>
                <w:b/>
                <w:color w:val="auto"/>
                <w:sz w:val="24"/>
                <w:szCs w:val="24"/>
                <w:highlight w:val="none"/>
                <w:lang w:val="en-US" w:eastAsia="zh-CN"/>
              </w:rPr>
              <w:t>9</w:t>
            </w:r>
            <w:r>
              <w:rPr>
                <w:rFonts w:hint="eastAsia" w:ascii="Times New Roman" w:hAnsi="Times New Roman" w:eastAsia="宋体" w:cs="Times New Roman"/>
                <w:b/>
                <w:color w:val="auto"/>
                <w:sz w:val="24"/>
                <w:szCs w:val="24"/>
                <w:highlight w:val="none"/>
                <w:lang w:val="en-US" w:eastAsia="zh-CN"/>
              </w:rPr>
              <w:t>现有项目</w:t>
            </w:r>
            <w:r>
              <w:rPr>
                <w:rFonts w:hint="eastAsia" w:cs="Times New Roman"/>
                <w:b/>
                <w:color w:val="auto"/>
                <w:sz w:val="24"/>
                <w:szCs w:val="24"/>
                <w:highlight w:val="none"/>
                <w:lang w:val="en-US" w:eastAsia="zh-CN"/>
              </w:rPr>
              <w:t>批建验运情况表</w:t>
            </w:r>
          </w:p>
          <w:tbl>
            <w:tblPr>
              <w:tblStyle w:val="25"/>
              <w:tblW w:w="7862" w:type="dxa"/>
              <w:tblInd w:w="0" w:type="dxa"/>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
            <w:tblGrid>
              <w:gridCol w:w="793"/>
              <w:gridCol w:w="635"/>
              <w:gridCol w:w="985"/>
              <w:gridCol w:w="1516"/>
              <w:gridCol w:w="1411"/>
              <w:gridCol w:w="1381"/>
              <w:gridCol w:w="1141"/>
            </w:tblGrid>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650" w:hRule="atLeast"/>
              </w:trPr>
              <w:tc>
                <w:tcPr>
                  <w:tcW w:w="793"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工程类别</w:t>
                  </w:r>
                </w:p>
              </w:tc>
              <w:tc>
                <w:tcPr>
                  <w:tcW w:w="3136" w:type="dxa"/>
                  <w:gridSpan w:val="3"/>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环境影响报告批复情况</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验收情况</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b/>
                      <w:bCs/>
                      <w:color w:val="auto"/>
                      <w:kern w:val="0"/>
                      <w:sz w:val="21"/>
                      <w:szCs w:val="21"/>
                      <w:highlight w:val="none"/>
                      <w:lang w:val="en-US" w:eastAsia="zh-CN"/>
                    </w:rPr>
                  </w:pPr>
                  <w:r>
                    <w:rPr>
                      <w:rFonts w:hint="eastAsia" w:cs="Times New Roman"/>
                      <w:b/>
                      <w:bCs/>
                      <w:color w:val="auto"/>
                      <w:kern w:val="0"/>
                      <w:sz w:val="21"/>
                      <w:szCs w:val="21"/>
                      <w:highlight w:val="none"/>
                      <w:lang w:val="en-US" w:eastAsia="zh-CN"/>
                    </w:rPr>
                    <w:t>实际建设情况</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b/>
                      <w:bCs/>
                      <w:color w:val="auto"/>
                      <w:kern w:val="0"/>
                      <w:sz w:val="21"/>
                      <w:szCs w:val="21"/>
                      <w:highlight w:val="none"/>
                      <w:lang w:val="en-US" w:eastAsia="zh-CN"/>
                    </w:rPr>
                  </w:pPr>
                  <w:r>
                    <w:rPr>
                      <w:rFonts w:hint="eastAsia" w:ascii="Times New Roman" w:hAnsi="Times New Roman" w:eastAsia="宋体" w:cs="Times New Roman"/>
                      <w:b/>
                      <w:bCs/>
                      <w:color w:val="auto"/>
                      <w:kern w:val="0"/>
                      <w:sz w:val="21"/>
                      <w:szCs w:val="21"/>
                      <w:highlight w:val="none"/>
                      <w:lang w:val="en-US" w:eastAsia="zh-CN"/>
                    </w:rPr>
                    <w:t>备注</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主体工程</w:t>
                  </w: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办公室</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216m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职员办公</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植绒车间</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144m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静电植绒胶合、烘干</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板刷胶合车间</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129m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板刷胶合</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加工车间</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1530m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滚筒刷、板刷加工</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贮运工程</w:t>
                  </w: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原料仓库</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2187m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原料堆放</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成品仓库</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2187m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成品堆放</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公用工程</w:t>
                  </w: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给水系统</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1890t/a</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已验收1530t/a</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市政供水</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污水系统</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1374t/a</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已验收1050t/a</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雨污分流</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供电系统</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13.182万kw·h</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市政供电</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环保系统</w:t>
                  </w:r>
                </w:p>
              </w:tc>
              <w:tc>
                <w:tcPr>
                  <w:tcW w:w="635"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废气处理</w:t>
                  </w:r>
                </w:p>
              </w:tc>
              <w:tc>
                <w:tcPr>
                  <w:tcW w:w="98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粉尘</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布袋式除尘器+15m</w:t>
                  </w:r>
                  <w:r>
                    <w:rPr>
                      <w:rFonts w:hint="eastAsia" w:cs="Times New Roman"/>
                      <w:color w:val="auto"/>
                      <w:kern w:val="0"/>
                      <w:sz w:val="21"/>
                      <w:szCs w:val="21"/>
                      <w:highlight w:val="none"/>
                      <w:lang w:val="en-US" w:eastAsia="zh-CN"/>
                    </w:rPr>
                    <w:t>高DA001</w:t>
                  </w:r>
                  <w:r>
                    <w:rPr>
                      <w:rFonts w:hint="eastAsia" w:ascii="Times New Roman" w:hAnsi="Times New Roman" w:eastAsia="宋体" w:cs="Times New Roman"/>
                      <w:color w:val="auto"/>
                      <w:kern w:val="0"/>
                      <w:sz w:val="21"/>
                      <w:szCs w:val="21"/>
                      <w:highlight w:val="none"/>
                      <w:lang w:val="en-US" w:eastAsia="zh-CN"/>
                    </w:rPr>
                    <w:t>排气筒</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达标排放</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635"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98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胶合废气、烘干废气</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活性炭吸附处理装置2套+15m</w:t>
                  </w:r>
                  <w:r>
                    <w:rPr>
                      <w:rFonts w:hint="eastAsia" w:cs="Times New Roman"/>
                      <w:color w:val="auto"/>
                      <w:kern w:val="0"/>
                      <w:sz w:val="21"/>
                      <w:szCs w:val="21"/>
                      <w:highlight w:val="none"/>
                      <w:lang w:val="en-US" w:eastAsia="zh-CN"/>
                    </w:rPr>
                    <w:t>高DA001</w:t>
                  </w:r>
                  <w:r>
                    <w:rPr>
                      <w:rFonts w:hint="eastAsia" w:ascii="Times New Roman" w:hAnsi="Times New Roman" w:eastAsia="宋体" w:cs="Times New Roman"/>
                      <w:color w:val="auto"/>
                      <w:kern w:val="0"/>
                      <w:sz w:val="21"/>
                      <w:szCs w:val="21"/>
                      <w:highlight w:val="none"/>
                      <w:lang w:val="en-US" w:eastAsia="zh-CN"/>
                    </w:rPr>
                    <w:t>排气筒</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未验收</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达标排放</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255"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63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废水处理</w:t>
                  </w:r>
                </w:p>
              </w:tc>
              <w:tc>
                <w:tcPr>
                  <w:tcW w:w="98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生活污水</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化粪池1座</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达标排放</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1620" w:type="dxa"/>
                  <w:gridSpan w:val="2"/>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噪声治理</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隔声、减震</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厂界达标</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635" w:type="dxa"/>
                  <w:vMerge w:val="restart"/>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固废处理</w:t>
                  </w:r>
                </w:p>
              </w:tc>
              <w:tc>
                <w:tcPr>
                  <w:tcW w:w="98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一般固废库</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20m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安全处置</w:t>
                  </w:r>
                </w:p>
              </w:tc>
            </w:tr>
            <w:tr>
              <w:tblPrEx>
                <w:tblBorders>
                  <w:top w:val="single" w:color="000000" w:sz="12" w:space="0"/>
                  <w:left w:val="none" w:color="auto" w:sz="0" w:space="0"/>
                  <w:bottom w:val="single" w:color="000000" w:sz="12" w:space="0"/>
                  <w:right w:val="none" w:color="auto" w:sz="0" w:space="0"/>
                  <w:insideH w:val="single" w:color="000000" w:sz="6" w:space="0"/>
                  <w:insideV w:val="single" w:color="000000" w:sz="6" w:space="0"/>
                </w:tblBorders>
                <w:tblLayout w:type="fixed"/>
                <w:tblCellMar>
                  <w:top w:w="0" w:type="dxa"/>
                  <w:left w:w="108" w:type="dxa"/>
                  <w:bottom w:w="0" w:type="dxa"/>
                  <w:right w:w="108" w:type="dxa"/>
                </w:tblCellMar>
              </w:tblPrEx>
              <w:trPr>
                <w:trHeight w:val="340" w:hRule="atLeast"/>
              </w:trPr>
              <w:tc>
                <w:tcPr>
                  <w:tcW w:w="793"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635" w:type="dxa"/>
                  <w:vMerge w:val="continue"/>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p>
              </w:tc>
              <w:tc>
                <w:tcPr>
                  <w:tcW w:w="985"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危废库</w:t>
                  </w:r>
                </w:p>
              </w:tc>
              <w:tc>
                <w:tcPr>
                  <w:tcW w:w="1516"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20m</w:t>
                  </w:r>
                  <w:r>
                    <w:rPr>
                      <w:rFonts w:hint="eastAsia" w:ascii="Times New Roman" w:hAnsi="Times New Roman" w:eastAsia="宋体" w:cs="Times New Roman"/>
                      <w:color w:val="auto"/>
                      <w:kern w:val="0"/>
                      <w:sz w:val="21"/>
                      <w:szCs w:val="21"/>
                      <w:highlight w:val="none"/>
                      <w:vertAlign w:val="superscript"/>
                      <w:lang w:val="en-US" w:eastAsia="zh-CN"/>
                    </w:rPr>
                    <w:t>2</w:t>
                  </w:r>
                </w:p>
              </w:tc>
              <w:tc>
                <w:tcPr>
                  <w:tcW w:w="141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38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与环评一致</w:t>
                  </w:r>
                </w:p>
              </w:tc>
              <w:tc>
                <w:tcPr>
                  <w:tcW w:w="1141" w:type="dxa"/>
                  <w:noWrap w:val="0"/>
                  <w:vAlign w:val="center"/>
                </w:tcPr>
                <w:p>
                  <w:pPr>
                    <w:keepNext w:val="0"/>
                    <w:keepLines w:val="0"/>
                    <w:pageBreakBefore w:val="0"/>
                    <w:widowControl w:val="0"/>
                    <w:kinsoku/>
                    <w:wordWrap/>
                    <w:overflowPunct/>
                    <w:topLinePunct w:val="0"/>
                    <w:autoSpaceDE/>
                    <w:autoSpaceDN/>
                    <w:bidi w:val="0"/>
                    <w:spacing w:line="320" w:lineRule="exact"/>
                    <w:ind w:firstLine="0" w:firstLineChars="0"/>
                    <w:jc w:val="center"/>
                    <w:textAlignment w:val="auto"/>
                    <w:rPr>
                      <w:rFonts w:hint="eastAsia"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安全处置</w:t>
                  </w:r>
                </w:p>
              </w:tc>
            </w:tr>
          </w:tbl>
          <w:p>
            <w:pPr>
              <w:autoSpaceDE w:val="0"/>
              <w:autoSpaceDN w:val="0"/>
              <w:adjustRightInd w:val="0"/>
              <w:snapToGrid w:val="0"/>
              <w:spacing w:line="360" w:lineRule="auto"/>
              <w:ind w:firstLine="482" w:firstLineChars="200"/>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5、现有项目生产工艺及</w:t>
            </w:r>
            <w:r>
              <w:rPr>
                <w:rFonts w:hint="eastAsia" w:cs="Times New Roman"/>
                <w:b/>
                <w:bCs/>
                <w:color w:val="auto"/>
                <w:kern w:val="0"/>
                <w:sz w:val="24"/>
                <w:szCs w:val="24"/>
                <w:highlight w:val="none"/>
                <w:lang w:val="en-US" w:eastAsia="zh-CN"/>
              </w:rPr>
              <w:t>产污</w:t>
            </w:r>
            <w:r>
              <w:rPr>
                <w:rFonts w:hint="eastAsia" w:ascii="Times New Roman" w:hAnsi="Times New Roman" w:eastAsia="宋体" w:cs="Times New Roman"/>
                <w:b/>
                <w:bCs/>
                <w:color w:val="auto"/>
                <w:kern w:val="0"/>
                <w:sz w:val="24"/>
                <w:szCs w:val="24"/>
                <w:highlight w:val="none"/>
                <w:lang w:val="en-US" w:eastAsia="zh-CN"/>
              </w:rPr>
              <w:t>环节</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现有项目</w:t>
            </w:r>
            <w:r>
              <w:rPr>
                <w:rFonts w:hint="eastAsia" w:eastAsia="宋体" w:cs="Times New Roman"/>
                <w:color w:val="auto"/>
                <w:kern w:val="0"/>
                <w:sz w:val="24"/>
                <w:szCs w:val="24"/>
                <w:highlight w:val="none"/>
                <w:lang w:val="en-US" w:eastAsia="zh-CN"/>
              </w:rPr>
              <w:t>对比本次扩建项目主要有以下差别：</w:t>
            </w:r>
            <w:r>
              <w:rPr>
                <w:rFonts w:hint="eastAsia" w:ascii="Times New Roman" w:hAnsi="Times New Roman" w:eastAsia="宋体" w:cs="Times New Roman"/>
                <w:color w:val="auto"/>
                <w:kern w:val="0"/>
                <w:sz w:val="24"/>
                <w:szCs w:val="24"/>
                <w:highlight w:val="none"/>
                <w:lang w:val="en-US" w:eastAsia="zh-CN"/>
              </w:rPr>
              <w:t>①现有项目</w:t>
            </w:r>
            <w:r>
              <w:rPr>
                <w:rFonts w:hint="eastAsia" w:eastAsia="宋体" w:cs="Times New Roman"/>
                <w:color w:val="auto"/>
                <w:kern w:val="0"/>
                <w:sz w:val="24"/>
                <w:szCs w:val="24"/>
                <w:highlight w:val="none"/>
                <w:lang w:val="en-US" w:eastAsia="zh-CN"/>
              </w:rPr>
              <w:t>滚筒刷</w:t>
            </w:r>
            <w:r>
              <w:rPr>
                <w:rFonts w:hint="eastAsia" w:ascii="Times New Roman" w:hAnsi="Times New Roman" w:eastAsia="宋体" w:cs="Times New Roman"/>
                <w:color w:val="auto"/>
                <w:kern w:val="0"/>
                <w:sz w:val="24"/>
                <w:szCs w:val="24"/>
                <w:highlight w:val="none"/>
                <w:lang w:val="en-US" w:eastAsia="zh-CN"/>
              </w:rPr>
              <w:t>胶合用胶水</w:t>
            </w:r>
            <w:r>
              <w:rPr>
                <w:rFonts w:hint="eastAsia" w:eastAsia="宋体" w:cs="Times New Roman"/>
                <w:color w:val="auto"/>
                <w:kern w:val="0"/>
                <w:sz w:val="24"/>
                <w:szCs w:val="24"/>
                <w:highlight w:val="none"/>
                <w:lang w:val="en-US" w:eastAsia="zh-CN"/>
              </w:rPr>
              <w:t>本次更换供应商</w:t>
            </w:r>
            <w:r>
              <w:rPr>
                <w:rFonts w:hint="eastAsia" w:ascii="Times New Roman" w:hAnsi="Times New Roman" w:eastAsia="宋体" w:cs="Times New Roman"/>
                <w:color w:val="auto"/>
                <w:kern w:val="0"/>
                <w:sz w:val="24"/>
                <w:szCs w:val="24"/>
                <w:highlight w:val="none"/>
                <w:lang w:val="en-US" w:eastAsia="zh-CN"/>
              </w:rPr>
              <w:t>；②现有项目板刷工艺植绒等工序用胶水</w:t>
            </w:r>
            <w:r>
              <w:rPr>
                <w:rFonts w:hint="eastAsia" w:eastAsia="宋体" w:cs="Times New Roman"/>
                <w:color w:val="auto"/>
                <w:kern w:val="0"/>
                <w:sz w:val="24"/>
                <w:szCs w:val="24"/>
                <w:highlight w:val="none"/>
                <w:lang w:val="en-US" w:eastAsia="zh-CN"/>
              </w:rPr>
              <w:t>本次更换供应商，现有项目板刷无</w:t>
            </w:r>
            <w:r>
              <w:rPr>
                <w:rFonts w:hint="eastAsia" w:ascii="Times New Roman" w:hAnsi="Times New Roman" w:eastAsia="宋体" w:cs="Times New Roman"/>
                <w:color w:val="auto"/>
                <w:kern w:val="0"/>
                <w:sz w:val="24"/>
                <w:szCs w:val="24"/>
                <w:highlight w:val="none"/>
                <w:lang w:val="en-US" w:eastAsia="zh-CN"/>
              </w:rPr>
              <w:t>注塑工艺；③</w:t>
            </w:r>
            <w:r>
              <w:rPr>
                <w:rFonts w:hint="eastAsia" w:eastAsia="宋体" w:cs="Times New Roman"/>
                <w:color w:val="auto"/>
                <w:kern w:val="0"/>
                <w:sz w:val="24"/>
                <w:szCs w:val="24"/>
                <w:highlight w:val="none"/>
                <w:lang w:val="en-US" w:eastAsia="zh-CN"/>
              </w:rPr>
              <w:t>现有项目无</w:t>
            </w:r>
            <w:r>
              <w:rPr>
                <w:rFonts w:hint="eastAsia" w:ascii="Times New Roman" w:hAnsi="Times New Roman" w:eastAsia="宋体" w:cs="Times New Roman"/>
                <w:color w:val="auto"/>
                <w:kern w:val="0"/>
                <w:sz w:val="24"/>
                <w:szCs w:val="24"/>
                <w:highlight w:val="none"/>
                <w:lang w:val="en-US" w:eastAsia="zh-CN"/>
              </w:rPr>
              <w:t>漆刷产品</w:t>
            </w:r>
            <w:r>
              <w:rPr>
                <w:rFonts w:hint="eastAsia" w:eastAsia="宋体" w:cs="Times New Roman"/>
                <w:color w:val="auto"/>
                <w:kern w:val="0"/>
                <w:sz w:val="24"/>
                <w:szCs w:val="24"/>
                <w:highlight w:val="none"/>
                <w:lang w:val="en-US" w:eastAsia="zh-CN"/>
              </w:rPr>
              <w:t>。现有项目具体关于如下：</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1、滚筒刷生产工艺流程：</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mc:AlternateContent>
                <mc:Choice Requires="wpc">
                  <w:drawing>
                    <wp:inline distT="0" distB="0" distL="114300" distR="114300">
                      <wp:extent cx="5274310" cy="4939665"/>
                      <wp:effectExtent l="0" t="0" r="0" b="0"/>
                      <wp:docPr id="111" name="画布 111"/>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2" name="文本框 32"/>
                              <wps:cNvSpPr txBox="1"/>
                              <wps:spPr>
                                <a:xfrm>
                                  <a:off x="1609090" y="111125"/>
                                  <a:ext cx="1060450"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海绵（原料）</w:t>
                                    </w:r>
                                  </w:p>
                                </w:txbxContent>
                              </wps:txbx>
                              <wps:bodyPr upright="1">
                                <a:spAutoFit/>
                              </wps:bodyPr>
                            </wps:wsp>
                            <wps:wsp>
                              <wps:cNvPr id="113" name="直接箭头连接符 33"/>
                              <wps:cNvCnPr/>
                              <wps:spPr>
                                <a:xfrm>
                                  <a:off x="2140585" y="415290"/>
                                  <a:ext cx="0" cy="315595"/>
                                </a:xfrm>
                                <a:prstGeom prst="straightConnector1">
                                  <a:avLst/>
                                </a:prstGeom>
                                <a:ln w="9525" cap="flat" cmpd="sng">
                                  <a:solidFill>
                                    <a:srgbClr val="000000"/>
                                  </a:solidFill>
                                  <a:prstDash val="solid"/>
                                  <a:headEnd type="none" w="med" len="med"/>
                                  <a:tailEnd type="triangle" w="med" len="med"/>
                                </a:ln>
                              </wps:spPr>
                              <wps:bodyPr/>
                            </wps:wsp>
                            <wps:wsp>
                              <wps:cNvPr id="114" name="文本框 34"/>
                              <wps:cNvSpPr txBox="1"/>
                              <wps:spPr>
                                <a:xfrm>
                                  <a:off x="1822450" y="75501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切割</w:t>
                                    </w:r>
                                  </w:p>
                                </w:txbxContent>
                              </wps:txbx>
                              <wps:bodyPr upright="1">
                                <a:spAutoFit/>
                              </wps:bodyPr>
                            </wps:wsp>
                            <wps:wsp>
                              <wps:cNvPr id="115" name="直接箭头连接符 35"/>
                              <wps:cNvCnPr/>
                              <wps:spPr>
                                <a:xfrm>
                                  <a:off x="2150110" y="1043940"/>
                                  <a:ext cx="0" cy="315595"/>
                                </a:xfrm>
                                <a:prstGeom prst="straightConnector1">
                                  <a:avLst/>
                                </a:prstGeom>
                                <a:ln w="9525" cap="flat" cmpd="sng">
                                  <a:solidFill>
                                    <a:srgbClr val="000000"/>
                                  </a:solidFill>
                                  <a:prstDash val="solid"/>
                                  <a:headEnd type="none" w="med" len="med"/>
                                  <a:tailEnd type="triangle" w="med" len="med"/>
                                </a:ln>
                              </wps:spPr>
                              <wps:bodyPr/>
                            </wps:wsp>
                            <wps:wsp>
                              <wps:cNvPr id="116" name="文本框 36"/>
                              <wps:cNvSpPr txBox="1"/>
                              <wps:spPr>
                                <a:xfrm>
                                  <a:off x="1827530" y="136969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钻孔</w:t>
                                    </w:r>
                                  </w:p>
                                </w:txbxContent>
                              </wps:txbx>
                              <wps:bodyPr upright="1">
                                <a:spAutoFit/>
                              </wps:bodyPr>
                            </wps:wsp>
                            <wps:wsp>
                              <wps:cNvPr id="117" name="文本框 37"/>
                              <wps:cNvSpPr txBox="1"/>
                              <wps:spPr>
                                <a:xfrm>
                                  <a:off x="1784985" y="1985645"/>
                                  <a:ext cx="742950"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胶合</w:t>
                                    </w:r>
                                  </w:p>
                                </w:txbxContent>
                              </wps:txbx>
                              <wps:bodyPr upright="1">
                                <a:spAutoFit/>
                              </wps:bodyPr>
                            </wps:wsp>
                            <wps:wsp>
                              <wps:cNvPr id="118" name="文本框 38"/>
                              <wps:cNvSpPr txBox="1"/>
                              <wps:spPr>
                                <a:xfrm>
                                  <a:off x="1823720" y="263207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磨头</w:t>
                                    </w:r>
                                  </w:p>
                                </w:txbxContent>
                              </wps:txbx>
                              <wps:bodyPr upright="1">
                                <a:spAutoFit/>
                              </wps:bodyPr>
                            </wps:wsp>
                            <wps:wsp>
                              <wps:cNvPr id="119" name="文本框 39"/>
                              <wps:cNvSpPr txBox="1"/>
                              <wps:spPr>
                                <a:xfrm>
                                  <a:off x="1861820" y="328104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装柄</w:t>
                                    </w:r>
                                  </w:p>
                                </w:txbxContent>
                              </wps:txbx>
                              <wps:bodyPr upright="1">
                                <a:spAutoFit/>
                              </wps:bodyPr>
                            </wps:wsp>
                            <wps:wsp>
                              <wps:cNvPr id="120" name="文本框 40"/>
                              <wps:cNvSpPr txBox="1"/>
                              <wps:spPr>
                                <a:xfrm>
                                  <a:off x="1865630" y="4546600"/>
                                  <a:ext cx="648335"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成品</w:t>
                                    </w:r>
                                  </w:p>
                                </w:txbxContent>
                              </wps:txbx>
                              <wps:bodyPr upright="1">
                                <a:spAutoFit/>
                              </wps:bodyPr>
                            </wps:wsp>
                            <wps:wsp>
                              <wps:cNvPr id="121" name="直接箭头连接符 41"/>
                              <wps:cNvCnPr/>
                              <wps:spPr>
                                <a:xfrm>
                                  <a:off x="2150110" y="1653540"/>
                                  <a:ext cx="0" cy="315595"/>
                                </a:xfrm>
                                <a:prstGeom prst="straightConnector1">
                                  <a:avLst/>
                                </a:prstGeom>
                                <a:ln w="9525" cap="flat" cmpd="sng">
                                  <a:solidFill>
                                    <a:srgbClr val="000000"/>
                                  </a:solidFill>
                                  <a:prstDash val="solid"/>
                                  <a:headEnd type="none" w="med" len="med"/>
                                  <a:tailEnd type="triangle" w="med" len="med"/>
                                </a:ln>
                              </wps:spPr>
                              <wps:bodyPr/>
                            </wps:wsp>
                            <wps:wsp>
                              <wps:cNvPr id="122" name="直接箭头连接符 42"/>
                              <wps:cNvCnPr/>
                              <wps:spPr>
                                <a:xfrm>
                                  <a:off x="2140585" y="2291715"/>
                                  <a:ext cx="0" cy="315595"/>
                                </a:xfrm>
                                <a:prstGeom prst="straightConnector1">
                                  <a:avLst/>
                                </a:prstGeom>
                                <a:ln w="9525" cap="flat" cmpd="sng">
                                  <a:solidFill>
                                    <a:srgbClr val="000000"/>
                                  </a:solidFill>
                                  <a:prstDash val="solid"/>
                                  <a:headEnd type="none" w="med" len="med"/>
                                  <a:tailEnd type="triangle" w="med" len="med"/>
                                </a:ln>
                              </wps:spPr>
                              <wps:bodyPr/>
                            </wps:wsp>
                            <wps:wsp>
                              <wps:cNvPr id="123" name="直接箭头连接符 43"/>
                              <wps:cNvCnPr/>
                              <wps:spPr>
                                <a:xfrm>
                                  <a:off x="2169160" y="2939415"/>
                                  <a:ext cx="0" cy="315595"/>
                                </a:xfrm>
                                <a:prstGeom prst="straightConnector1">
                                  <a:avLst/>
                                </a:prstGeom>
                                <a:ln w="9525" cap="flat" cmpd="sng">
                                  <a:solidFill>
                                    <a:srgbClr val="000000"/>
                                  </a:solidFill>
                                  <a:prstDash val="solid"/>
                                  <a:headEnd type="none" w="med" len="med"/>
                                  <a:tailEnd type="triangle" w="med" len="med"/>
                                </a:ln>
                              </wps:spPr>
                              <wps:bodyPr/>
                            </wps:wsp>
                            <wps:wsp>
                              <wps:cNvPr id="124" name="直接箭头连接符 44"/>
                              <wps:cNvCnPr/>
                              <wps:spPr>
                                <a:xfrm>
                                  <a:off x="2188210" y="3587115"/>
                                  <a:ext cx="0" cy="315595"/>
                                </a:xfrm>
                                <a:prstGeom prst="straightConnector1">
                                  <a:avLst/>
                                </a:prstGeom>
                                <a:ln w="9525" cap="flat" cmpd="sng">
                                  <a:solidFill>
                                    <a:srgbClr val="000000"/>
                                  </a:solidFill>
                                  <a:prstDash val="solid"/>
                                  <a:headEnd type="none" w="med" len="med"/>
                                  <a:tailEnd type="triangle" w="med" len="med"/>
                                </a:ln>
                              </wps:spPr>
                              <wps:bodyPr/>
                            </wps:wsp>
                            <wps:wsp>
                              <wps:cNvPr id="125" name="文本框 45"/>
                              <wps:cNvSpPr txBox="1"/>
                              <wps:spPr>
                                <a:xfrm>
                                  <a:off x="3123565" y="749300"/>
                                  <a:ext cx="1436370" cy="289560"/>
                                </a:xfrm>
                                <a:prstGeom prst="rect">
                                  <a:avLst/>
                                </a:prstGeom>
                                <a:solidFill>
                                  <a:srgbClr val="FFFFFF"/>
                                </a:solidFill>
                                <a:ln>
                                  <a:noFill/>
                                </a:ln>
                              </wps:spPr>
                              <wps:txbx>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wps:txbx>
                              <wps:bodyPr upright="1">
                                <a:spAutoFit/>
                              </wps:bodyPr>
                            </wps:wsp>
                            <wps:wsp>
                              <wps:cNvPr id="126" name="直接箭头连接符 46"/>
                              <wps:cNvCnPr/>
                              <wps:spPr>
                                <a:xfrm>
                                  <a:off x="2472690" y="2797810"/>
                                  <a:ext cx="629920" cy="0"/>
                                </a:xfrm>
                                <a:prstGeom prst="straightConnector1">
                                  <a:avLst/>
                                </a:prstGeom>
                                <a:ln w="9525" cap="flat" cmpd="sng">
                                  <a:solidFill>
                                    <a:srgbClr val="000000"/>
                                  </a:solidFill>
                                  <a:prstDash val="dash"/>
                                  <a:headEnd type="none" w="med" len="med"/>
                                  <a:tailEnd type="triangle" w="med" len="med"/>
                                </a:ln>
                              </wps:spPr>
                              <wps:bodyPr/>
                            </wps:wsp>
                            <wps:wsp>
                              <wps:cNvPr id="127" name="文本框 47"/>
                              <wps:cNvSpPr txBox="1"/>
                              <wps:spPr>
                                <a:xfrm>
                                  <a:off x="3123565" y="2632075"/>
                                  <a:ext cx="1360170"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G2</w:t>
                                    </w:r>
                                    <w:r>
                                      <w:rPr>
                                        <w:sz w:val="21"/>
                                        <w:szCs w:val="21"/>
                                      </w:rPr>
                                      <w:t>粉尘、N噪声</w:t>
                                    </w:r>
                                  </w:p>
                                </w:txbxContent>
                              </wps:txbx>
                              <wps:bodyPr upright="1">
                                <a:spAutoFit/>
                              </wps:bodyPr>
                            </wps:wsp>
                            <wps:wsp>
                              <wps:cNvPr id="128" name="直接箭头连接符 48"/>
                              <wps:cNvCnPr/>
                              <wps:spPr>
                                <a:xfrm>
                                  <a:off x="2472690" y="892810"/>
                                  <a:ext cx="629920" cy="0"/>
                                </a:xfrm>
                                <a:prstGeom prst="straightConnector1">
                                  <a:avLst/>
                                </a:prstGeom>
                                <a:ln w="9525" cap="flat" cmpd="sng">
                                  <a:solidFill>
                                    <a:srgbClr val="000000"/>
                                  </a:solidFill>
                                  <a:prstDash val="dash"/>
                                  <a:headEnd type="none" w="med" len="med"/>
                                  <a:tailEnd type="triangle" w="med" len="med"/>
                                </a:ln>
                              </wps:spPr>
                              <wps:bodyPr/>
                            </wps:wsp>
                            <wps:wsp>
                              <wps:cNvPr id="129" name="直接箭头连接符 49"/>
                              <wps:cNvCnPr/>
                              <wps:spPr>
                                <a:xfrm>
                                  <a:off x="2482215" y="1521460"/>
                                  <a:ext cx="629920" cy="0"/>
                                </a:xfrm>
                                <a:prstGeom prst="straightConnector1">
                                  <a:avLst/>
                                </a:prstGeom>
                                <a:ln w="9525" cap="flat" cmpd="sng">
                                  <a:solidFill>
                                    <a:srgbClr val="000000"/>
                                  </a:solidFill>
                                  <a:prstDash val="dash"/>
                                  <a:headEnd type="none" w="med" len="med"/>
                                  <a:tailEnd type="triangle" w="med" len="med"/>
                                </a:ln>
                              </wps:spPr>
                              <wps:bodyPr/>
                            </wps:wsp>
                            <wps:wsp>
                              <wps:cNvPr id="130" name="文本框 50"/>
                              <wps:cNvSpPr txBox="1"/>
                              <wps:spPr>
                                <a:xfrm>
                                  <a:off x="3142615" y="1378585"/>
                                  <a:ext cx="1483995" cy="289560"/>
                                </a:xfrm>
                                <a:prstGeom prst="rect">
                                  <a:avLst/>
                                </a:prstGeom>
                                <a:solidFill>
                                  <a:srgbClr val="FFFFFF"/>
                                </a:solidFill>
                                <a:ln>
                                  <a:noFill/>
                                </a:ln>
                              </wps:spPr>
                              <wps:txbx>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wps:txbx>
                              <wps:bodyPr upright="1">
                                <a:spAutoFit/>
                              </wps:bodyPr>
                            </wps:wsp>
                            <wps:wsp>
                              <wps:cNvPr id="131" name="文本框 51"/>
                              <wps:cNvSpPr txBox="1"/>
                              <wps:spPr>
                                <a:xfrm>
                                  <a:off x="1852295" y="390969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包装</w:t>
                                    </w:r>
                                  </w:p>
                                </w:txbxContent>
                              </wps:txbx>
                              <wps:bodyPr upright="1">
                                <a:spAutoFit/>
                              </wps:bodyPr>
                            </wps:wsp>
                            <wps:wsp>
                              <wps:cNvPr id="132" name="直接箭头连接符 52"/>
                              <wps:cNvCnPr/>
                              <wps:spPr>
                                <a:xfrm>
                                  <a:off x="2188210" y="4211320"/>
                                  <a:ext cx="635" cy="315595"/>
                                </a:xfrm>
                                <a:prstGeom prst="straightConnector1">
                                  <a:avLst/>
                                </a:prstGeom>
                                <a:ln w="9525" cap="flat" cmpd="sng">
                                  <a:solidFill>
                                    <a:srgbClr val="000000"/>
                                  </a:solidFill>
                                  <a:prstDash val="solid"/>
                                  <a:headEnd type="none" w="med" len="med"/>
                                  <a:tailEnd type="triangle" w="med" len="med"/>
                                </a:ln>
                              </wps:spPr>
                              <wps:bodyPr/>
                            </wps:wsp>
                            <wps:wsp>
                              <wps:cNvPr id="133" name="直接箭头连接符 53"/>
                              <wps:cNvCnPr/>
                              <wps:spPr>
                                <a:xfrm>
                                  <a:off x="1308735" y="2125980"/>
                                  <a:ext cx="476250" cy="635"/>
                                </a:xfrm>
                                <a:prstGeom prst="straightConnector1">
                                  <a:avLst/>
                                </a:prstGeom>
                                <a:ln w="9525" cap="flat" cmpd="sng">
                                  <a:solidFill>
                                    <a:srgbClr val="000000"/>
                                  </a:solidFill>
                                  <a:prstDash val="solid"/>
                                  <a:headEnd type="none" w="med" len="med"/>
                                  <a:tailEnd type="triangle" w="med" len="med"/>
                                </a:ln>
                              </wps:spPr>
                              <wps:bodyPr/>
                            </wps:wsp>
                            <wps:wsp>
                              <wps:cNvPr id="136" name="文本框 54"/>
                              <wps:cNvSpPr txBox="1"/>
                              <wps:spPr>
                                <a:xfrm>
                                  <a:off x="116840" y="1995170"/>
                                  <a:ext cx="1333500"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尼龙管、水性胶黏剂</w:t>
                                    </w:r>
                                  </w:p>
                                </w:txbxContent>
                              </wps:txbx>
                              <wps:bodyPr upright="1">
                                <a:spAutoFit/>
                              </wps:bodyPr>
                            </wps:wsp>
                            <wps:wsp>
                              <wps:cNvPr id="137" name="直接箭头连接符 55"/>
                              <wps:cNvCnPr/>
                              <wps:spPr>
                                <a:xfrm>
                                  <a:off x="2529840" y="2112010"/>
                                  <a:ext cx="629920" cy="635"/>
                                </a:xfrm>
                                <a:prstGeom prst="straightConnector1">
                                  <a:avLst/>
                                </a:prstGeom>
                                <a:ln w="9525" cap="flat" cmpd="sng">
                                  <a:solidFill>
                                    <a:srgbClr val="000000"/>
                                  </a:solidFill>
                                  <a:prstDash val="dash"/>
                                  <a:headEnd type="none" w="med" len="med"/>
                                  <a:tailEnd type="triangle" w="med" len="med"/>
                                </a:ln>
                              </wps:spPr>
                              <wps:bodyPr/>
                            </wps:wsp>
                            <wps:wsp>
                              <wps:cNvPr id="138" name="文本框 56"/>
                              <wps:cNvSpPr txBox="1"/>
                              <wps:spPr>
                                <a:xfrm>
                                  <a:off x="3161665" y="1984375"/>
                                  <a:ext cx="1445895"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G1胶合废气</w:t>
                                    </w:r>
                                    <w:r>
                                      <w:rPr>
                                        <w:sz w:val="21"/>
                                        <w:szCs w:val="21"/>
                                      </w:rPr>
                                      <w:t>、N噪声</w:t>
                                    </w:r>
                                  </w:p>
                                </w:txbxContent>
                              </wps:txbx>
                              <wps:bodyPr upright="1">
                                <a:spAutoFit/>
                              </wps:bodyPr>
                            </wps:wsp>
                          </wpc:wpc>
                        </a:graphicData>
                      </a:graphic>
                    </wp:inline>
                  </w:drawing>
                </mc:Choice>
                <mc:Fallback>
                  <w:pict>
                    <v:group id="_x0000_s1026" o:spid="_x0000_s1026" o:spt="203" style="height:388.95pt;width:415.3pt;" coordsize="5274310,4939665" editas="canvas" o:gfxdata="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">
                      <o:lock v:ext="edit" aspectratio="f"/>
                      <v:shape id="_x0000_s1026" o:spid="_x0000_s1026" style="position:absolute;left:0;top:0;height:4939665;width:5274310;" filled="f" stroked="f" coordsize="21600,21600" o:gfxdata="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">
                        <v:fill on="f" focussize="0,0"/>
                        <v:stroke on="f"/>
                        <v:imagedata o:title=""/>
                        <o:lock v:ext="edit" aspectratio="t"/>
                      </v:shape>
                      <v:shape id="文本框 32" o:spid="_x0000_s1026" o:spt="202" type="#_x0000_t202" style="position:absolute;left:1609090;top:111125;height:289560;width:1060450;"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CV1Nbm1AAAAAUBAAAPAAAAAAAAAAEAIAAAACIAAABkcnMvZG93bnJldi54bWxQSwECFAAU&#10;AAAACACHTuJAEyQSFLwBAABRAwAADgAAAAAAAAABACAAAAAjAQAAZHJzL2Uyb0RvYy54bWxQSwUG&#10;AAAAAAYABgBZAQAAUQU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海绵（原料）</w:t>
                              </w:r>
                            </w:p>
                          </w:txbxContent>
                        </v:textbox>
                      </v:shape>
                      <v:shape id="直接箭头连接符 33" o:spid="_x0000_s1026" o:spt="32" type="#_x0000_t32" style="position:absolute;left:2140585;top:415290;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oL3nXAAAABQEAAA8AAAAAAAAAAQAgAAAAIgAAAGRycy9kb3ducmV2LnhtbFBL&#10;AQIUABQAAAAIAIdO4kB1iDIg9wEAAK8DAAAOAAAAAAAAAAEAIAAAACYBAABkcnMvZTJvRG9jLnht&#10;bFBLBQYAAAAABgAGAFkBAACPBQAAAAA=&#10;">
                        <v:fill on="f" focussize="0,0"/>
                        <v:stroke color="#000000" joinstyle="round" endarrow="block"/>
                        <v:imagedata o:title=""/>
                        <o:lock v:ext="edit" aspectratio="f"/>
                      </v:shape>
                      <v:shape id="文本框 34" o:spid="_x0000_s1026" o:spt="202" type="#_x0000_t202" style="position:absolute;left:1822450;top:755015;height:299085;width:648335;"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NTWdn1gAAAAUBAAAPAAAAAAAAAAEAIAAAACIAAABk&#10;cnMvZG93bnJldi54bWxQSwECFAAUAAAACACHTuJAQzUdewgCAAAPBAAADgAAAAAAAAABACAAAAAl&#10;AQAAZHJzL2Uyb0RvYy54bWxQSwUGAAAAAAYABgBZAQAAnwU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切割</w:t>
                              </w:r>
                            </w:p>
                          </w:txbxContent>
                        </v:textbox>
                      </v:shape>
                      <v:shape id="直接箭头连接符 35" o:spid="_x0000_s1026" o:spt="32" type="#_x0000_t32" style="position:absolute;left:2150110;top:1043940;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oL3nXAAAABQEAAA8AAAAAAAAAAQAgAAAAIgAAAGRycy9kb3ducmV2LnhtbFBL&#10;AQIUABQAAAAIAIdO4kAXv07w9wEAALADAAAOAAAAAAAAAAEAIAAAACYBAABkcnMvZTJvRG9jLnht&#10;bFBLBQYAAAAABgAGAFkBAACPBQAAAAA=&#10;">
                        <v:fill on="f" focussize="0,0"/>
                        <v:stroke color="#000000" joinstyle="round" endarrow="block"/>
                        <v:imagedata o:title=""/>
                        <o:lock v:ext="edit" aspectratio="f"/>
                      </v:shape>
                      <v:shape id="文本框 36" o:spid="_x0000_s1026" o:spt="202" type="#_x0000_t202" style="position:absolute;left:1827530;top:1369695;height:299085;width:648335;"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zU1nZ9YAAAAFAQAADwAAAAAAAAABACAAAAAiAAAA&#10;ZHJzL2Rvd25yZXYueG1sUEsBAhQAFAAAAAgAh07iQGqNVvUJAgAAEAQAAA4AAAAAAAAAAQAgAAAA&#10;JQEAAGRycy9lMm9Eb2MueG1sUEsFBgAAAAAGAAYAWQEAAKAFA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钻孔</w:t>
                              </w:r>
                            </w:p>
                          </w:txbxContent>
                        </v:textbox>
                      </v:shape>
                      <v:shape id="文本框 37" o:spid="_x0000_s1026" o:spt="202" type="#_x0000_t202" style="position:absolute;left:1784985;top:1985645;height:299085;width:742950;"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胶合</w:t>
                              </w:r>
                            </w:p>
                          </w:txbxContent>
                        </v:textbox>
                      </v:shape>
                      <v:shape id="文本框 38" o:spid="_x0000_s1026" o:spt="202" type="#_x0000_t202" style="position:absolute;left:1823720;top:2632075;height:299085;width:648335;"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NTWdn1gAAAAUBAAAPAAAAAAAAAAEAIAAAACIAAABk&#10;cnMvZG93bnJldi54bWxQSwECFAAUAAAACACHTuJAabFcGggCAAAQBAAADgAAAAAAAAABACAAAAAl&#10;AQAAZHJzL2Uyb0RvYy54bWxQSwUGAAAAAAYABgBZAQAAnwU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磨头</w:t>
                              </w:r>
                            </w:p>
                          </w:txbxContent>
                        </v:textbox>
                      </v:shape>
                      <v:shape id="文本框 39" o:spid="_x0000_s1026" o:spt="202" type="#_x0000_t202" style="position:absolute;left:1861820;top:3281045;height:299085;width:648335;"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装柄</w:t>
                              </w:r>
                            </w:p>
                          </w:txbxContent>
                        </v:textbox>
                      </v:shape>
                      <v:shape id="文本框 40" o:spid="_x0000_s1026" o:spt="202" type="#_x0000_t202" style="position:absolute;left:1865630;top:4546600;height:289560;width:648335;"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ldTW5tQAAAAFAQAADwAAAAAAAAABACAAAAAiAAAAZHJzL2Rvd25yZXYueG1sUEsBAhQA&#10;FAAAAAgAh07iQCHbXcC9AQAAUQMAAA4AAAAAAAAAAQAgAAAAIwEAAGRycy9lMm9Eb2MueG1sUEsF&#10;BgAAAAAGAAYAWQEAAFIFA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成品</w:t>
                              </w:r>
                            </w:p>
                          </w:txbxContent>
                        </v:textbox>
                      </v:shape>
                      <v:shape id="直接箭头连接符 41" o:spid="_x0000_s1026" o:spt="32" type="#_x0000_t32" style="position:absolute;left:2150110;top:1653540;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YigvedcAAAAFAQAADwAAAAAAAAABACAAAAAiAAAAZHJzL2Rvd25yZXYueG1sUEsB&#10;AhQAFAAAAAgAh07iQDK5J4b2AQAAsAMAAA4AAAAAAAAAAQAgAAAAJgEAAGRycy9lMm9Eb2MueG1s&#10;UEsFBgAAAAAGAAYAWQEAAI4FAAAAAA==&#10;">
                        <v:fill on="f" focussize="0,0"/>
                        <v:stroke color="#000000" joinstyle="round" endarrow="block"/>
                        <v:imagedata o:title=""/>
                        <o:lock v:ext="edit" aspectratio="f"/>
                      </v:shape>
                      <v:shape id="直接箭头连接符 42" o:spid="_x0000_s1026" o:spt="32" type="#_x0000_t32" style="position:absolute;left:2140585;top:2291715;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iKC951wAAAAUBAAAPAAAAAAAAAAEAIAAAACIAAABkcnMvZG93bnJldi54bWxQ&#10;SwECFAAUAAAACACHTuJAIG1VEvgBAACwAwAADgAAAAAAAAABACAAAAAmAQAAZHJzL2Uyb0RvYy54&#10;bWxQSwUGAAAAAAYABgBZAQAAkAUAAAAA&#10;">
                        <v:fill on="f" focussize="0,0"/>
                        <v:stroke color="#000000" joinstyle="round" endarrow="block"/>
                        <v:imagedata o:title=""/>
                        <o:lock v:ext="edit" aspectratio="f"/>
                      </v:shape>
                      <v:shape id="直接箭头连接符 43" o:spid="_x0000_s1026" o:spt="32" type="#_x0000_t32" style="position:absolute;left:2169160;top:2939415;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iKC951wAAAAUBAAAPAAAAAAAAAAEAIAAAACIAAABkcnMvZG93bnJldi54bWxQ&#10;SwECFAAUAAAACACHTuJAU72SXfgBAACwAwAADgAAAAAAAAABACAAAAAmAQAAZHJzL2Uyb0RvYy54&#10;bWxQSwUGAAAAAAYABgBZAQAAkAUAAAAA&#10;">
                        <v:fill on="f" focussize="0,0"/>
                        <v:stroke color="#000000" joinstyle="round" endarrow="block"/>
                        <v:imagedata o:title=""/>
                        <o:lock v:ext="edit" aspectratio="f"/>
                      </v:shape>
                      <v:shape id="直接箭头连接符 44" o:spid="_x0000_s1026" o:spt="32" type="#_x0000_t32" style="position:absolute;left:2188210;top:3587115;height:315595;width: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iKC951wAAAAUBAAAPAAAAAAAAAAEAIAAAACIAAABkcnMvZG93bnJldi54bWxQ&#10;SwECFAAUAAAACACHTuJA9FVYUfgBAACwAwAADgAAAAAAAAABACAAAAAmAQAAZHJzL2Uyb0RvYy54&#10;bWxQSwUGAAAAAAYABgBZAQAAkAUAAAAA&#10;">
                        <v:fill on="f" focussize="0,0"/>
                        <v:stroke color="#000000" joinstyle="round" endarrow="block"/>
                        <v:imagedata o:title=""/>
                        <o:lock v:ext="edit" aspectratio="f"/>
                      </v:shape>
                      <v:shape id="文本框 45" o:spid="_x0000_s1026" o:spt="202" type="#_x0000_t202" style="position:absolute;left:3123565;top:749300;height:289560;width:1436370;"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XU1ubUAAAABQEAAA8AAAAAAAAAAQAgAAAAIgAAAGRycy9kb3ducmV2LnhtbFBL&#10;AQIUABQAAAAIAIdO4kBTBbxjwQEAAFEDAAAOAAAAAAAAAAEAIAAAACMBAABkcnMvZTJvRG9jLnht&#10;bFBLBQYAAAAABgAGAFkBAABWBQAAAAA=&#10;">
                        <v:fill on="t" focussize="0,0"/>
                        <v:stroke on="f"/>
                        <v:imagedata o:title=""/>
                        <o:lock v:ext="edit" aspectratio="f"/>
                        <v:textbox style="mso-fit-shape-to-text:t;">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v:textbox>
                      </v:shape>
                      <v:shape id="直接箭头连接符 46" o:spid="_x0000_s1026" o:spt="32" type="#_x0000_t32" style="position:absolute;left:2472690;top:2797810;height:0;width:629920;" filled="f" stroked="t" coordsize="21600,21600" o:gfxdata="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X3HILTAAAABQEAAA8AAAAAAAAAAQAgAAAAIgAAAGRycy9kb3ducmV2LnhtbFBLAQIU&#10;ABQAAAAIAIdO4kBE2fjX+AEAAK8DAAAOAAAAAAAAAAEAIAAAACIBAABkcnMvZTJvRG9jLnhtbFBL&#10;BQYAAAAABgAGAFkBAACMBQAAAAA=&#10;">
                        <v:fill on="f" focussize="0,0"/>
                        <v:stroke color="#000000" joinstyle="round" dashstyle="dash" endarrow="block"/>
                        <v:imagedata o:title=""/>
                        <o:lock v:ext="edit" aspectratio="f"/>
                      </v:shape>
                      <v:shape id="文本框 47" o:spid="_x0000_s1026" o:spt="202" type="#_x0000_t202" style="position:absolute;left:3123565;top:2632075;height:289560;width:1360170;"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XU1ubUAAAABQEAAA8AAAAAAAAAAQAgAAAAIgAAAGRycy9kb3ducmV2LnhtbFBL&#10;AQIUABQAAAAIAIdO4kCSXmt0wQEAAFIDAAAOAAAAAAAAAAEAIAAAACMBAABkcnMvZTJvRG9jLnht&#10;bFBLBQYAAAAABgAGAFkBAABWBQ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G2</w:t>
                              </w:r>
                              <w:r>
                                <w:rPr>
                                  <w:sz w:val="21"/>
                                  <w:szCs w:val="21"/>
                                </w:rPr>
                                <w:t>粉尘、N噪声</w:t>
                              </w:r>
                            </w:p>
                          </w:txbxContent>
                        </v:textbox>
                      </v:shape>
                      <v:shape id="直接箭头连接符 48" o:spid="_x0000_s1026" o:spt="32" type="#_x0000_t32" style="position:absolute;left:2472690;top:892810;height:0;width:629920;" filled="f" stroked="t" coordsize="21600,21600" o:gfxdata="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X3HILTAAAABQEAAA8AAAAAAAAAAQAgAAAAIgAAAGRycy9kb3ducmV2LnhtbFBLAQIU&#10;ABQAAAAIAIdO4kD6d8JO+AEAAK4DAAAOAAAAAAAAAAEAIAAAACIBAABkcnMvZTJvRG9jLnhtbFBL&#10;BQYAAAAABgAGAFkBAACMBQAAAAA=&#10;">
                        <v:fill on="f" focussize="0,0"/>
                        <v:stroke color="#000000" joinstyle="round" dashstyle="dash" endarrow="block"/>
                        <v:imagedata o:title=""/>
                        <o:lock v:ext="edit" aspectratio="f"/>
                      </v:shape>
                      <v:shape id="直接箭头连接符 49" o:spid="_x0000_s1026" o:spt="32" type="#_x0000_t32" style="position:absolute;left:2482215;top:1521460;height:0;width:629920;" filled="f" stroked="t" coordsize="21600,21600" o:gfxdata="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X3HILTAAAABQEAAA8AAAAAAAAAAQAgAAAAIgAAAGRycy9kb3ducmV2LnhtbFBLAQIU&#10;ABQAAAAIAIdO4kD3KH/t+AEAAK8DAAAOAAAAAAAAAAEAIAAAACIBAABkcnMvZTJvRG9jLnhtbFBL&#10;BQYAAAAABgAGAFkBAACMBQAAAAA=&#10;">
                        <v:fill on="f" focussize="0,0"/>
                        <v:stroke color="#000000" joinstyle="round" dashstyle="dash" endarrow="block"/>
                        <v:imagedata o:title=""/>
                        <o:lock v:ext="edit" aspectratio="f"/>
                      </v:shape>
                      <v:shape id="文本框 50" o:spid="_x0000_s1026" o:spt="202" type="#_x0000_t202" style="position:absolute;left:3142615;top:1378585;height:289560;width:1483995;"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ldTW5tQAAAAFAQAADwAAAAAAAAABACAAAAAiAAAAZHJzL2Rvd25yZXYueG1sUEsB&#10;AhQAFAAAAAgAh07iQHB6NsPAAQAAUgMAAA4AAAAAAAAAAQAgAAAAIwEAAGRycy9lMm9Eb2MueG1s&#10;UEsFBgAAAAAGAAYAWQEAAFUFAAAAAA==&#10;">
                        <v:fill on="t" focussize="0,0"/>
                        <v:stroke on="f"/>
                        <v:imagedata o:title=""/>
                        <o:lock v:ext="edit" aspectratio="f"/>
                        <v:textbox style="mso-fit-shape-to-text:t;">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v:textbox>
                      </v:shape>
                      <v:shape id="文本框 51" o:spid="_x0000_s1026" o:spt="202" type="#_x0000_t202" style="position:absolute;left:1852295;top:3909695;height:299085;width:648335;" fillcolor="#FFFFFF" filled="t" stroked="t" coordsize="21600,21600" o:gfxdata="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M1NZ2fWAAAABQEAAA8AAAAAAAAAAQAgAAAAIgAAAGRy&#10;cy9kb3ducmV2LnhtbFBLAQIUABQAAAAIAIdO4kC6k4fqBwIAABAEAAAOAAAAAAAAAAEAIAAAACUB&#10;AABkcnMvZTJvRG9jLnhtbFBLBQYAAAAABgAGAFkBAACeBQ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包装</w:t>
                              </w:r>
                            </w:p>
                          </w:txbxContent>
                        </v:textbox>
                      </v:shape>
                      <v:shape id="直接箭头连接符 52" o:spid="_x0000_s1026" o:spt="32" type="#_x0000_t32" style="position:absolute;left:2188210;top:4211320;height:315595;width:635;"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GIoL3nXAAAABQEAAA8AAAAAAAAAAQAgAAAAIgAAAGRycy9kb3ducmV2LnhtbFBL&#10;AQIUABQAAAAIAIdO4kDzxOwo9wEAALIDAAAOAAAAAAAAAAEAIAAAACYBAABkcnMvZTJvRG9jLnht&#10;bFBLBQYAAAAABgAGAFkBAACPBQAAAAA=&#10;">
                        <v:fill on="f" focussize="0,0"/>
                        <v:stroke color="#000000" joinstyle="round" endarrow="block"/>
                        <v:imagedata o:title=""/>
                        <o:lock v:ext="edit" aspectratio="f"/>
                      </v:shape>
                      <v:shape id="直接箭头连接符 53" o:spid="_x0000_s1026" o:spt="32" type="#_x0000_t32" style="position:absolute;left:1308735;top:2125980;height:635;width:476250;" filled="f" stroked="t" coordsize="21600,21600" o:gfxdata="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BiKC951wAAAAUBAAAPAAAAAAAAAAEAIAAAACIAAABkcnMvZG93bnJldi54bWxQ&#10;SwECFAAUAAAACACHTuJA6U5cYPgBAACyAwAADgAAAAAAAAABACAAAAAmAQAAZHJzL2Uyb0RvYy54&#10;bWxQSwUGAAAAAAYABgBZAQAAkAUAAAAA&#10;">
                        <v:fill on="f" focussize="0,0"/>
                        <v:stroke color="#000000" joinstyle="round" endarrow="block"/>
                        <v:imagedata o:title=""/>
                        <o:lock v:ext="edit" aspectratio="f"/>
                      </v:shape>
                      <v:shape id="文本框 54" o:spid="_x0000_s1026" o:spt="202" type="#_x0000_t202" style="position:absolute;left:116840;top:1995170;height:289560;width:1333500;"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V1Nbm1AAAAAUBAAAPAAAAAAAAAAEAIAAAACIAAABkcnMvZG93bnJldi54bWxQSwEC&#10;FAAUAAAACACHTuJAYu6liL8BAABRAwAADgAAAAAAAAABACAAAAAjAQAAZHJzL2Uyb0RvYy54bWxQ&#10;SwUGAAAAAAYABgBZAQAAVAU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尼龙管、水性胶黏剂</w:t>
                              </w:r>
                            </w:p>
                          </w:txbxContent>
                        </v:textbox>
                      </v:shape>
                      <v:shape id="直接箭头连接符 55" o:spid="_x0000_s1026" o:spt="32" type="#_x0000_t32" style="position:absolute;left:2529840;top:2112010;height:635;width:629920;" filled="f" stroked="t" coordsize="21600,21600" o:gfxdata="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Al9xyC0wAAAAUBAAAPAAAAAAAAAAEAIAAAACIAAABkcnMvZG93bnJldi54bWxQSwEC&#10;FAAUAAAACACHTuJAeAJJT/kBAACxAwAADgAAAAAAAAABACAAAAAiAQAAZHJzL2Uyb0RvYy54bWxQ&#10;SwUGAAAAAAYABgBZAQAAjQUAAAAA&#10;">
                        <v:fill on="f" focussize="0,0"/>
                        <v:stroke color="#000000" joinstyle="round" dashstyle="dash" endarrow="block"/>
                        <v:imagedata o:title=""/>
                        <o:lock v:ext="edit" aspectratio="f"/>
                      </v:shape>
                      <v:shape id="文本框 56" o:spid="_x0000_s1026" o:spt="202" type="#_x0000_t202" style="position:absolute;left:3161665;top:1984375;height:289560;width:1445895;" fillcolor="#FFFFFF" filled="t" stroked="f" coordsize="21600,21600" o:gfxdata="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JXU1ubUAAAABQEAAA8AAAAAAAAAAQAgAAAAIgAAAGRycy9kb3ducmV2LnhtbFBL&#10;AQIUABQAAAAIAIdO4kAM2uViwQEAAFIDAAAOAAAAAAAAAAEAIAAAACMBAABkcnMvZTJvRG9jLnht&#10;bFBLBQYAAAAABgAGAFkBAABWBQ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G1胶合废气</w:t>
                              </w:r>
                              <w:r>
                                <w:rPr>
                                  <w:sz w:val="21"/>
                                  <w:szCs w:val="21"/>
                                </w:rPr>
                                <w:t>、N噪声</w:t>
                              </w:r>
                            </w:p>
                          </w:txbxContent>
                        </v:textbox>
                      </v:shape>
                      <w10:wrap type="none"/>
                      <w10:anchorlock/>
                    </v:group>
                  </w:pict>
                </mc:Fallback>
              </mc:AlternateContent>
            </w:r>
          </w:p>
          <w:p>
            <w:pPr>
              <w:autoSpaceDE w:val="0"/>
              <w:autoSpaceDN w:val="0"/>
              <w:adjustRightInd w:val="0"/>
              <w:snapToGrid w:val="0"/>
              <w:spacing w:line="360" w:lineRule="auto"/>
              <w:ind w:firstLine="482" w:firstLineChars="200"/>
              <w:jc w:val="center"/>
              <w:rPr>
                <w:rFonts w:hint="eastAsia"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图2-6滚筒刷生产工艺流程及产污节点图</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滚筒刷生产工艺简述：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（1）切割：按照工艺要求对海绵进行切边料、切块加工。</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产污环节：在切割过程产生S废海绵。</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（2）钻孔：对加工后的海绵进行钻孔、拔芯、拨毛套。</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产污工序：在钻孔过程中会产生S废海绵；</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（3）胶合：利用胶合机将胶水涂至海绵内，套上尼龙管，自然晾干。</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产污工序：在胶合过程中会产生G1胶合废气、N噪声。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（4）磨头：对成型的滚筒刷头利用磨头机进行磨头。</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产污工序：在磨头过程中产生G2海绵粉尘、N噪声。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（5）包装：对装柄好的滚筒刷利用吸塑机进行包装。</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2、板刷生产工艺流程</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mc:AlternateContent>
                <mc:Choice Requires="wpc">
                  <w:drawing>
                    <wp:inline distT="0" distB="0" distL="114300" distR="114300">
                      <wp:extent cx="4627245" cy="4479290"/>
                      <wp:effectExtent l="0" t="0" r="20320" b="16510"/>
                      <wp:docPr id="139" name="画布 13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40" name="文本框 1"/>
                              <wps:cNvSpPr txBox="1"/>
                              <wps:spPr>
                                <a:xfrm>
                                  <a:off x="580390" y="284480"/>
                                  <a:ext cx="682625"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海绵</w:t>
                                    </w:r>
                                  </w:p>
                                </w:txbxContent>
                              </wps:txbx>
                              <wps:bodyPr upright="1">
                                <a:spAutoFit/>
                              </wps:bodyPr>
                            </wps:wsp>
                            <wps:wsp>
                              <wps:cNvPr id="141" name="直接箭头连接符 6"/>
                              <wps:cNvCnPr/>
                              <wps:spPr>
                                <a:xfrm>
                                  <a:off x="930910" y="548640"/>
                                  <a:ext cx="635" cy="315595"/>
                                </a:xfrm>
                                <a:prstGeom prst="straightConnector1">
                                  <a:avLst/>
                                </a:prstGeom>
                                <a:ln w="9525" cap="flat" cmpd="sng">
                                  <a:solidFill>
                                    <a:srgbClr val="000000"/>
                                  </a:solidFill>
                                  <a:prstDash val="solid"/>
                                  <a:headEnd type="none" w="med" len="med"/>
                                  <a:tailEnd type="triangle" w="med" len="med"/>
                                </a:ln>
                              </wps:spPr>
                              <wps:bodyPr/>
                            </wps:wsp>
                            <wps:wsp>
                              <wps:cNvPr id="142" name="文本框 7"/>
                              <wps:cNvSpPr txBox="1"/>
                              <wps:spPr>
                                <a:xfrm>
                                  <a:off x="612775" y="88836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切割</w:t>
                                    </w:r>
                                  </w:p>
                                </w:txbxContent>
                              </wps:txbx>
                              <wps:bodyPr upright="1">
                                <a:spAutoFit/>
                              </wps:bodyPr>
                            </wps:wsp>
                            <wps:wsp>
                              <wps:cNvPr id="143" name="文本框 9"/>
                              <wps:cNvSpPr txBox="1"/>
                              <wps:spPr>
                                <a:xfrm>
                                  <a:off x="1551940" y="913130"/>
                                  <a:ext cx="908050" cy="487680"/>
                                </a:xfrm>
                                <a:prstGeom prst="rect">
                                  <a:avLst/>
                                </a:prstGeom>
                                <a:solidFill>
                                  <a:srgbClr val="FFFFFF"/>
                                </a:solidFill>
                                <a:ln>
                                  <a:noFill/>
                                </a:ln>
                              </wps:spPr>
                              <wps:txbx>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wps:txbx>
                              <wps:bodyPr upright="1">
                                <a:spAutoFit/>
                              </wps:bodyPr>
                            </wps:wsp>
                            <wps:wsp>
                              <wps:cNvPr id="144" name="直接箭头连接符 10"/>
                              <wps:cNvCnPr/>
                              <wps:spPr>
                                <a:xfrm>
                                  <a:off x="1261110" y="1020445"/>
                                  <a:ext cx="349250" cy="635"/>
                                </a:xfrm>
                                <a:prstGeom prst="straightConnector1">
                                  <a:avLst/>
                                </a:prstGeom>
                                <a:ln w="9525" cap="flat" cmpd="sng">
                                  <a:solidFill>
                                    <a:srgbClr val="000000"/>
                                  </a:solidFill>
                                  <a:prstDash val="dash"/>
                                  <a:headEnd type="none" w="med" len="med"/>
                                  <a:tailEnd type="triangle" w="med" len="med"/>
                                </a:ln>
                              </wps:spPr>
                              <wps:bodyPr/>
                            </wps:wsp>
                            <wps:wsp>
                              <wps:cNvPr id="145" name="文本框 11"/>
                              <wps:cNvSpPr txBox="1"/>
                              <wps:spPr>
                                <a:xfrm>
                                  <a:off x="3333115" y="303530"/>
                                  <a:ext cx="682625"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塑料板</w:t>
                                    </w:r>
                                  </w:p>
                                </w:txbxContent>
                              </wps:txbx>
                              <wps:bodyPr upright="1">
                                <a:spAutoFit/>
                              </wps:bodyPr>
                            </wps:wsp>
                            <wps:wsp>
                              <wps:cNvPr id="146" name="文本框 12"/>
                              <wps:cNvSpPr txBox="1"/>
                              <wps:spPr>
                                <a:xfrm>
                                  <a:off x="3162935" y="2369185"/>
                                  <a:ext cx="1478280"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G3烘干废气、</w:t>
                                    </w:r>
                                    <w:r>
                                      <w:rPr>
                                        <w:sz w:val="21"/>
                                        <w:szCs w:val="21"/>
                                      </w:rPr>
                                      <w:t>N噪声</w:t>
                                    </w:r>
                                  </w:p>
                                </w:txbxContent>
                              </wps:txbx>
                              <wps:bodyPr upright="1">
                                <a:spAutoFit/>
                              </wps:bodyPr>
                            </wps:wsp>
                            <wps:wsp>
                              <wps:cNvPr id="147" name="直接箭头连接符 13"/>
                              <wps:cNvCnPr/>
                              <wps:spPr>
                                <a:xfrm>
                                  <a:off x="2813685" y="2497455"/>
                                  <a:ext cx="349250" cy="635"/>
                                </a:xfrm>
                                <a:prstGeom prst="straightConnector1">
                                  <a:avLst/>
                                </a:prstGeom>
                                <a:ln w="9525" cap="flat" cmpd="sng">
                                  <a:solidFill>
                                    <a:srgbClr val="000000"/>
                                  </a:solidFill>
                                  <a:prstDash val="dash"/>
                                  <a:headEnd type="none" w="med" len="med"/>
                                  <a:tailEnd type="triangle" w="med" len="med"/>
                                </a:ln>
                              </wps:spPr>
                              <wps:bodyPr/>
                            </wps:wsp>
                            <wps:wsp>
                              <wps:cNvPr id="148" name="文本框 14"/>
                              <wps:cNvSpPr txBox="1"/>
                              <wps:spPr>
                                <a:xfrm>
                                  <a:off x="1973580" y="1739265"/>
                                  <a:ext cx="1029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静电植绒</w:t>
                                    </w:r>
                                  </w:p>
                                </w:txbxContent>
                              </wps:txbx>
                              <wps:bodyPr upright="1">
                                <a:spAutoFit/>
                              </wps:bodyPr>
                            </wps:wsp>
                            <wps:wsp>
                              <wps:cNvPr id="149" name="直接箭头连接符 15"/>
                              <wps:cNvCnPr/>
                              <wps:spPr>
                                <a:xfrm>
                                  <a:off x="2493010" y="2025015"/>
                                  <a:ext cx="635" cy="315595"/>
                                </a:xfrm>
                                <a:prstGeom prst="straightConnector1">
                                  <a:avLst/>
                                </a:prstGeom>
                                <a:ln w="9525" cap="flat" cmpd="sng">
                                  <a:solidFill>
                                    <a:srgbClr val="000000"/>
                                  </a:solidFill>
                                  <a:prstDash val="solid"/>
                                  <a:headEnd type="none" w="med" len="med"/>
                                  <a:tailEnd type="triangle" w="med" len="med"/>
                                </a:ln>
                              </wps:spPr>
                              <wps:bodyPr/>
                            </wps:wsp>
                            <wps:wsp>
                              <wps:cNvPr id="150" name="文本框 16"/>
                              <wps:cNvSpPr txBox="1"/>
                              <wps:spPr>
                                <a:xfrm>
                                  <a:off x="2165350" y="2364740"/>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烘干</w:t>
                                    </w:r>
                                  </w:p>
                                </w:txbxContent>
                              </wps:txbx>
                              <wps:bodyPr upright="1">
                                <a:spAutoFit/>
                              </wps:bodyPr>
                            </wps:wsp>
                            <wps:wsp>
                              <wps:cNvPr id="151" name="文本框 17"/>
                              <wps:cNvSpPr txBox="1"/>
                              <wps:spPr>
                                <a:xfrm>
                                  <a:off x="3292475" y="869315"/>
                                  <a:ext cx="768985" cy="2736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涂胶</w:t>
                                    </w:r>
                                  </w:p>
                                </w:txbxContent>
                              </wps:txbx>
                              <wps:bodyPr upright="1"/>
                            </wps:wsp>
                            <wps:wsp>
                              <wps:cNvPr id="152" name="直接箭头连接符 18"/>
                              <wps:cNvCnPr/>
                              <wps:spPr>
                                <a:xfrm>
                                  <a:off x="3667760" y="544195"/>
                                  <a:ext cx="635" cy="315595"/>
                                </a:xfrm>
                                <a:prstGeom prst="straightConnector1">
                                  <a:avLst/>
                                </a:prstGeom>
                                <a:ln w="9525" cap="flat" cmpd="sng">
                                  <a:solidFill>
                                    <a:srgbClr val="000000"/>
                                  </a:solidFill>
                                  <a:prstDash val="solid"/>
                                  <a:headEnd type="none" w="med" len="med"/>
                                  <a:tailEnd type="triangle" w="med" len="med"/>
                                </a:ln>
                              </wps:spPr>
                              <wps:bodyPr/>
                            </wps:wsp>
                            <wps:wsp>
                              <wps:cNvPr id="153" name="文本框 19"/>
                              <wps:cNvSpPr txBox="1"/>
                              <wps:spPr>
                                <a:xfrm>
                                  <a:off x="2203450" y="4185920"/>
                                  <a:ext cx="648335" cy="28956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成品</w:t>
                                    </w:r>
                                  </w:p>
                                </w:txbxContent>
                              </wps:txbx>
                              <wps:bodyPr upright="1">
                                <a:spAutoFit/>
                              </wps:bodyPr>
                            </wps:wsp>
                            <wps:wsp>
                              <wps:cNvPr id="154" name="直接箭头连接符 20"/>
                              <wps:cNvCnPr/>
                              <wps:spPr>
                                <a:xfrm>
                                  <a:off x="2483485" y="2644775"/>
                                  <a:ext cx="635" cy="315595"/>
                                </a:xfrm>
                                <a:prstGeom prst="straightConnector1">
                                  <a:avLst/>
                                </a:prstGeom>
                                <a:ln w="9525" cap="flat" cmpd="sng">
                                  <a:solidFill>
                                    <a:srgbClr val="000000"/>
                                  </a:solidFill>
                                  <a:prstDash val="solid"/>
                                  <a:headEnd type="none" w="med" len="med"/>
                                  <a:tailEnd type="triangle" w="med" len="med"/>
                                </a:ln>
                              </wps:spPr>
                              <wps:bodyPr/>
                            </wps:wsp>
                            <wps:wsp>
                              <wps:cNvPr id="155" name="直接箭头连接符 21"/>
                              <wps:cNvCnPr/>
                              <wps:spPr>
                                <a:xfrm>
                                  <a:off x="3000375" y="1010285"/>
                                  <a:ext cx="301625" cy="635"/>
                                </a:xfrm>
                                <a:prstGeom prst="straightConnector1">
                                  <a:avLst/>
                                </a:prstGeom>
                                <a:ln w="9525" cap="flat" cmpd="sng">
                                  <a:solidFill>
                                    <a:srgbClr val="000000"/>
                                  </a:solidFill>
                                  <a:prstDash val="solid"/>
                                  <a:headEnd type="none" w="med" len="med"/>
                                  <a:tailEnd type="triangle" w="med" len="med"/>
                                </a:ln>
                              </wps:spPr>
                              <wps:bodyPr/>
                            </wps:wsp>
                            <wps:wsp>
                              <wps:cNvPr id="156" name="文本框 22"/>
                              <wps:cNvSpPr txBox="1"/>
                              <wps:spPr>
                                <a:xfrm>
                                  <a:off x="2335530" y="772160"/>
                                  <a:ext cx="667385" cy="487680"/>
                                </a:xfrm>
                                <a:prstGeom prst="rect">
                                  <a:avLst/>
                                </a:prstGeom>
                                <a:solidFill>
                                  <a:srgbClr val="FFFFFF"/>
                                </a:solidFill>
                                <a:ln>
                                  <a:noFill/>
                                </a:ln>
                              </wps:spPr>
                              <wps:txbx>
                                <w:txbxContent>
                                  <w:p>
                                    <w:pPr>
                                      <w:spacing w:line="240" w:lineRule="auto"/>
                                      <w:ind w:firstLine="0" w:firstLineChars="0"/>
                                      <w:jc w:val="center"/>
                                      <w:rPr>
                                        <w:sz w:val="21"/>
                                        <w:szCs w:val="21"/>
                                      </w:rPr>
                                    </w:pPr>
                                    <w:r>
                                      <w:rPr>
                                        <w:rFonts w:hint="eastAsia"/>
                                        <w:sz w:val="21"/>
                                        <w:szCs w:val="21"/>
                                      </w:rPr>
                                      <w:t>水性胶黏剂</w:t>
                                    </w:r>
                                  </w:p>
                                </w:txbxContent>
                              </wps:txbx>
                              <wps:bodyPr upright="1">
                                <a:spAutoFit/>
                              </wps:bodyPr>
                            </wps:wsp>
                            <wps:wsp>
                              <wps:cNvPr id="157" name="肘形连接符 23"/>
                              <wps:cNvCnPr/>
                              <wps:spPr>
                                <a:xfrm rot="-5400000" flipH="1">
                                  <a:off x="1423670" y="674370"/>
                                  <a:ext cx="577215" cy="1551305"/>
                                </a:xfrm>
                                <a:prstGeom prst="bentConnector3">
                                  <a:avLst>
                                    <a:gd name="adj1" fmla="val 49944"/>
                                  </a:avLst>
                                </a:prstGeom>
                                <a:ln w="9525" cap="flat" cmpd="sng">
                                  <a:solidFill>
                                    <a:srgbClr val="000000"/>
                                  </a:solidFill>
                                  <a:prstDash val="solid"/>
                                  <a:miter/>
                                  <a:headEnd type="none" w="med" len="med"/>
                                  <a:tailEnd type="triangle" w="med" len="med"/>
                                </a:ln>
                              </wps:spPr>
                              <wps:bodyPr/>
                            </wps:wsp>
                            <wps:wsp>
                              <wps:cNvPr id="158" name="肘形连接符 24"/>
                              <wps:cNvCnPr/>
                              <wps:spPr>
                                <a:xfrm rot="5400000">
                                  <a:off x="2783840" y="845820"/>
                                  <a:ext cx="596265" cy="1188720"/>
                                </a:xfrm>
                                <a:prstGeom prst="bentConnector3">
                                  <a:avLst>
                                    <a:gd name="adj1" fmla="val 49944"/>
                                  </a:avLst>
                                </a:prstGeom>
                                <a:ln w="9525" cap="flat" cmpd="sng">
                                  <a:solidFill>
                                    <a:srgbClr val="000000"/>
                                  </a:solidFill>
                                  <a:prstDash val="solid"/>
                                  <a:miter/>
                                  <a:headEnd type="none" w="med" len="med"/>
                                  <a:tailEnd type="triangle" w="med" len="med"/>
                                </a:ln>
                              </wps:spPr>
                              <wps:bodyPr/>
                            </wps:wsp>
                            <wps:wsp>
                              <wps:cNvPr id="159" name="文本框 25"/>
                              <wps:cNvSpPr txBox="1"/>
                              <wps:spPr>
                                <a:xfrm>
                                  <a:off x="2155825" y="296481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切割</w:t>
                                    </w:r>
                                  </w:p>
                                </w:txbxContent>
                              </wps:txbx>
                              <wps:bodyPr upright="1">
                                <a:spAutoFit/>
                              </wps:bodyPr>
                            </wps:wsp>
                            <wps:wsp>
                              <wps:cNvPr id="160" name="直接箭头连接符 26"/>
                              <wps:cNvCnPr/>
                              <wps:spPr>
                                <a:xfrm>
                                  <a:off x="2493010" y="3244850"/>
                                  <a:ext cx="635" cy="315595"/>
                                </a:xfrm>
                                <a:prstGeom prst="straightConnector1">
                                  <a:avLst/>
                                </a:prstGeom>
                                <a:ln w="9525" cap="flat" cmpd="sng">
                                  <a:solidFill>
                                    <a:srgbClr val="000000"/>
                                  </a:solidFill>
                                  <a:prstDash val="solid"/>
                                  <a:headEnd type="none" w="med" len="med"/>
                                  <a:tailEnd type="triangle" w="med" len="med"/>
                                </a:ln>
                              </wps:spPr>
                              <wps:bodyPr/>
                            </wps:wsp>
                            <wps:wsp>
                              <wps:cNvPr id="161" name="文本框 27"/>
                              <wps:cNvSpPr txBox="1"/>
                              <wps:spPr>
                                <a:xfrm>
                                  <a:off x="2174875" y="3574415"/>
                                  <a:ext cx="648335" cy="29908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spacing w:line="240" w:lineRule="auto"/>
                                      <w:ind w:firstLine="0" w:firstLineChars="0"/>
                                      <w:jc w:val="center"/>
                                      <w:rPr>
                                        <w:sz w:val="21"/>
                                        <w:szCs w:val="21"/>
                                      </w:rPr>
                                    </w:pPr>
                                    <w:r>
                                      <w:rPr>
                                        <w:rFonts w:hint="eastAsia"/>
                                        <w:sz w:val="21"/>
                                        <w:szCs w:val="21"/>
                                      </w:rPr>
                                      <w:t>包装</w:t>
                                    </w:r>
                                  </w:p>
                                </w:txbxContent>
                              </wps:txbx>
                              <wps:bodyPr upright="1">
                                <a:spAutoFit/>
                              </wps:bodyPr>
                            </wps:wsp>
                            <wps:wsp>
                              <wps:cNvPr id="162" name="直接箭头连接符 28"/>
                              <wps:cNvCnPr/>
                              <wps:spPr>
                                <a:xfrm>
                                  <a:off x="2512060" y="3854450"/>
                                  <a:ext cx="635" cy="315595"/>
                                </a:xfrm>
                                <a:prstGeom prst="straightConnector1">
                                  <a:avLst/>
                                </a:prstGeom>
                                <a:ln w="9525" cap="flat" cmpd="sng">
                                  <a:solidFill>
                                    <a:srgbClr val="000000"/>
                                  </a:solidFill>
                                  <a:prstDash val="solid"/>
                                  <a:headEnd type="none" w="med" len="med"/>
                                  <a:tailEnd type="triangle" w="med" len="med"/>
                                </a:ln>
                              </wps:spPr>
                              <wps:bodyPr/>
                            </wps:wsp>
                            <wps:wsp>
                              <wps:cNvPr id="163" name="文本框 29"/>
                              <wps:cNvSpPr txBox="1"/>
                              <wps:spPr>
                                <a:xfrm>
                                  <a:off x="3153410" y="2969260"/>
                                  <a:ext cx="908050" cy="289560"/>
                                </a:xfrm>
                                <a:prstGeom prst="rect">
                                  <a:avLst/>
                                </a:prstGeom>
                                <a:solidFill>
                                  <a:srgbClr val="FFFFFF"/>
                                </a:solidFill>
                                <a:ln>
                                  <a:noFill/>
                                </a:ln>
                              </wps:spPr>
                              <wps:txbx>
                                <w:txbxContent>
                                  <w:p>
                                    <w:pPr>
                                      <w:spacing w:line="240" w:lineRule="auto"/>
                                      <w:ind w:firstLine="0" w:firstLineChars="0"/>
                                      <w:jc w:val="center"/>
                                      <w:rPr>
                                        <w:sz w:val="21"/>
                                        <w:szCs w:val="21"/>
                                      </w:rPr>
                                    </w:pPr>
                                    <w:r>
                                      <w:rPr>
                                        <w:sz w:val="21"/>
                                        <w:szCs w:val="21"/>
                                      </w:rPr>
                                      <w:t>N噪声</w:t>
                                    </w:r>
                                  </w:p>
                                </w:txbxContent>
                              </wps:txbx>
                              <wps:bodyPr upright="1">
                                <a:spAutoFit/>
                              </wps:bodyPr>
                            </wps:wsp>
                            <wps:wsp>
                              <wps:cNvPr id="164" name="直接箭头连接符 30"/>
                              <wps:cNvCnPr/>
                              <wps:spPr>
                                <a:xfrm>
                                  <a:off x="2804160" y="3097530"/>
                                  <a:ext cx="349250" cy="635"/>
                                </a:xfrm>
                                <a:prstGeom prst="straightConnector1">
                                  <a:avLst/>
                                </a:prstGeom>
                                <a:ln w="9525" cap="flat" cmpd="sng">
                                  <a:solidFill>
                                    <a:srgbClr val="000000"/>
                                  </a:solidFill>
                                  <a:prstDash val="dash"/>
                                  <a:headEnd type="none" w="med" len="med"/>
                                  <a:tailEnd type="triangle" w="med" len="med"/>
                                </a:ln>
                              </wps:spPr>
                              <wps:bodyPr/>
                            </wps:wsp>
                          </wpc:wpc>
                        </a:graphicData>
                      </a:graphic>
                    </wp:inline>
                  </w:drawing>
                </mc:Choice>
                <mc:Fallback>
                  <w:pict>
                    <v:group id="_x0000_s1026" o:spid="_x0000_s1026" o:spt="203" style="height:352.7pt;width:364.35pt;" coordsize="4627245,4479290" editas="canvas" o:gfxdata="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">
                      <o:lock v:ext="edit" aspectratio="f"/>
                      <v:shape id="_x0000_s1026" o:spid="_x0000_s1026" style="position:absolute;left:0;top:0;height:4479290;width:4627245;" filled="f" stroked="f" coordsize="21600,21600" o:gfxdata="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">
                        <v:fill on="f" focussize="0,0"/>
                        <v:stroke on="f"/>
                        <v:imagedata o:title=""/>
                        <o:lock v:ext="edit" aspectratio="t"/>
                      </v:shape>
                      <v:shape id="文本框 1" o:spid="_x0000_s1026" o:spt="202" type="#_x0000_t202" style="position:absolute;left:580390;top:284480;height:289560;width:682625;"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2s1W+1AAAAAUBAAAPAAAAAAAAAAEAIAAAACIAAABkcnMvZG93bnJldi54bWxQSwECFAAU&#10;AAAACACHTuJAVg6Xc7wBAABOAwAADgAAAAAAAAABACAAAAAjAQAAZHJzL2Uyb0RvYy54bWxQSwUG&#10;AAAAAAYABgBZAQAAUQU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海绵</w:t>
                              </w:r>
                            </w:p>
                          </w:txbxContent>
                        </v:textbox>
                      </v:shape>
                      <v:shape id="直接箭头连接符 6" o:spid="_x0000_s1026" o:spt="32" type="#_x0000_t32" style="position:absolute;left:930910;top:548640;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BT6wh1wAAAAUBAAAPAAAAAAAAAAEAIAAAACIAAABkcnMvZG93bnJldi54bWxQSwEC&#10;FAAUAAAACACHTuJAKEZzBvUBAACvAwAADgAAAAAAAAABACAAAAAmAQAAZHJzL2Uyb0RvYy54bWxQ&#10;SwUGAAAAAAYABgBZAQAAjQUAAAAA&#10;">
                        <v:fill on="f" focussize="0,0"/>
                        <v:stroke color="#000000" joinstyle="round" endarrow="block"/>
                        <v:imagedata o:title=""/>
                        <o:lock v:ext="edit" aspectratio="f"/>
                      </v:shape>
                      <v:shape id="文本框 7" o:spid="_x0000_s1026" o:spt="202" type="#_x0000_t202" style="position:absolute;left:612775;top:888365;height:299085;width:648335;" fillcolor="#FFFFFF" filled="t" stroked="t" coordsize="21600,21600" o:gfxdata="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切割</w:t>
                              </w:r>
                            </w:p>
                          </w:txbxContent>
                        </v:textbox>
                      </v:shape>
                      <v:shape id="文本框 9" o:spid="_x0000_s1026" o:spt="202" type="#_x0000_t202" style="position:absolute;left:1551940;top:913130;height:487680;width:908050;"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HazVb7UAAAABQEAAA8AAAAAAAAAAQAgAAAAIgAAAGRycy9kb3ducmV2LnhtbFBLAQIU&#10;ABQAAAAIAIdO4kDagybHvgEAAE8DAAAOAAAAAAAAAAEAIAAAACMBAABkcnMvZTJvRG9jLnhtbFBL&#10;BQYAAAAABgAGAFkBAABTBQAAAAA=&#10;">
                        <v:fill on="t" focussize="0,0"/>
                        <v:stroke on="f"/>
                        <v:imagedata o:title=""/>
                        <o:lock v:ext="edit" aspectratio="f"/>
                        <v:textbox style="mso-fit-shape-to-text:t;">
                          <w:txbxContent>
                            <w:p>
                              <w:pPr>
                                <w:spacing w:line="240" w:lineRule="auto"/>
                                <w:ind w:firstLine="0" w:firstLineChars="0"/>
                                <w:jc w:val="center"/>
                                <w:rPr>
                                  <w:sz w:val="21"/>
                                  <w:szCs w:val="21"/>
                                </w:rPr>
                              </w:pPr>
                              <w:r>
                                <w:rPr>
                                  <w:sz w:val="21"/>
                                  <w:szCs w:val="21"/>
                                </w:rPr>
                                <w:t>S1废海绵</w:t>
                              </w:r>
                              <w:r>
                                <w:rPr>
                                  <w:rFonts w:hint="eastAsia"/>
                                  <w:sz w:val="21"/>
                                  <w:szCs w:val="21"/>
                                </w:rPr>
                                <w:t>、</w:t>
                              </w:r>
                              <w:r>
                                <w:rPr>
                                  <w:sz w:val="21"/>
                                  <w:szCs w:val="21"/>
                                </w:rPr>
                                <w:t>N噪声</w:t>
                              </w:r>
                            </w:p>
                          </w:txbxContent>
                        </v:textbox>
                      </v:shape>
                      <v:shape id="直接箭头连接符 10" o:spid="_x0000_s1026" o:spt="32" type="#_x0000_t32" style="position:absolute;left:1261110;top:1020445;height:635;width:349250;" filled="f" stroked="t" coordsize="21600,21600" o:gfxdata="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">
                        <v:fill on="f" focussize="0,0"/>
                        <v:stroke color="#000000" joinstyle="round" dashstyle="dash" endarrow="block"/>
                        <v:imagedata o:title=""/>
                        <o:lock v:ext="edit" aspectratio="f"/>
                      </v:shape>
                      <v:shape id="文本框 11" o:spid="_x0000_s1026" o:spt="202" type="#_x0000_t202" style="position:absolute;left:3333115;top:303530;height:289560;width:682625;"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2s1W+1AAAAAUBAAAPAAAAAAAAAAEAIAAAACIAAABkcnMvZG93bnJldi54bWxQSwECFAAU&#10;AAAACACHTuJAOQNGBbwBAABQAwAADgAAAAAAAAABACAAAAAjAQAAZHJzL2Uyb0RvYy54bWxQSwUG&#10;AAAAAAYABgBZAQAAUQU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塑料板</w:t>
                              </w:r>
                            </w:p>
                          </w:txbxContent>
                        </v:textbox>
                      </v:shape>
                      <v:shape id="文本框 12" o:spid="_x0000_s1026" o:spt="202" type="#_x0000_t202" style="position:absolute;left:3162935;top:2369185;height:289560;width:1478280;"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drNVvtQAAAAFAQAADwAAAAAAAAABACAAAAAiAAAAZHJzL2Rvd25yZXYueG1s&#10;UEsBAhQAFAAAAAgAh07iQIpBsSvDAQAAUgMAAA4AAAAAAAAAAQAgAAAAIwEAAGRycy9lMm9Eb2Mu&#10;eG1sUEsFBgAAAAAGAAYAWQEAAFgFA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G3烘干废气、</w:t>
                              </w:r>
                              <w:r>
                                <w:rPr>
                                  <w:sz w:val="21"/>
                                  <w:szCs w:val="21"/>
                                </w:rPr>
                                <w:t>N噪声</w:t>
                              </w:r>
                            </w:p>
                          </w:txbxContent>
                        </v:textbox>
                      </v:shape>
                      <v:shape id="直接箭头连接符 13" o:spid="_x0000_s1026" o:spt="32" type="#_x0000_t32" style="position:absolute;left:2813685;top:2497455;height:635;width:349250;" filled="f" stroked="t" coordsize="21600,21600" o:gfxdata="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MaQn9rTAAAABQEAAA8AAAAAAAAAAQAgAAAAIgAAAGRycy9kb3ducmV2LnhtbFBL&#10;AQIUABQAAAAIAIdO4kDIMj3w+wEAALEDAAAOAAAAAAAAAAEAIAAAACIBAABkcnMvZTJvRG9jLnht&#10;bFBLBQYAAAAABgAGAFkBAACPBQAAAAA=&#10;">
                        <v:fill on="f" focussize="0,0"/>
                        <v:stroke color="#000000" joinstyle="round" dashstyle="dash" endarrow="block"/>
                        <v:imagedata o:title=""/>
                        <o:lock v:ext="edit" aspectratio="f"/>
                      </v:shape>
                      <v:shape id="文本框 14" o:spid="_x0000_s1026" o:spt="202" type="#_x0000_t202" style="position:absolute;left:1973580;top:1739265;height:299085;width:1029335;" fillcolor="#FFFFFF" filled="t" stroked="t" coordsize="21600,21600" o:gfxdata="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uKuQ/1QAAAAUBAAAPAAAAAAAAAAEAIAAAACIAAABk&#10;cnMvZG93bnJldi54bWxQSwECFAAUAAAACACHTuJADgwOzAkCAAARBAAADgAAAAAAAAABACAAAAAk&#10;AQAAZHJzL2Uyb0RvYy54bWxQSwUGAAAAAAYABgBZAQAAnwU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静电植绒</w:t>
                              </w:r>
                            </w:p>
                          </w:txbxContent>
                        </v:textbox>
                      </v:shape>
                      <v:shape id="直接箭头连接符 15" o:spid="_x0000_s1026" o:spt="32" type="#_x0000_t32" style="position:absolute;left:2493010;top:2025015;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FPrCHXAAAABQEAAA8AAAAAAAAAAQAgAAAAIgAAAGRycy9kb3ducmV2Lnht&#10;bFBLAQIUABQAAAAIAIdO4kAz6tK3+gEAALIDAAAOAAAAAAAAAAEAIAAAACYBAABkcnMvZTJvRG9j&#10;LnhtbFBLBQYAAAAABgAGAFkBAACSBQAAAAA=&#10;">
                        <v:fill on="f" focussize="0,0"/>
                        <v:stroke color="#000000" joinstyle="round" endarrow="block"/>
                        <v:imagedata o:title=""/>
                        <o:lock v:ext="edit" aspectratio="f"/>
                      </v:shape>
                      <v:shape id="文本框 16" o:spid="_x0000_s1026" o:spt="202" type="#_x0000_t202" style="position:absolute;left:2165350;top:2364740;height:299085;width:648335;" fillcolor="#FFFFFF" filled="t" stroked="t" coordsize="21600,21600" o:gfxdata="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LirkP9UAAAAFAQAADwAAAAAAAAABACAAAAAiAAAAZHJzL2Rv&#10;d25yZXYueG1sUEsBAhQAFAAAAAgAh07iQJP5ZqUEAgAAEAQAAA4AAAAAAAAAAQAgAAAAJAEAAGRy&#10;cy9lMm9Eb2MueG1sUEsFBgAAAAAGAAYAWQEAAJoFA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烘干</w:t>
                              </w:r>
                            </w:p>
                          </w:txbxContent>
                        </v:textbox>
                      </v:shape>
                      <v:shape id="文本框 17" o:spid="_x0000_s1026" o:spt="202" type="#_x0000_t202" style="position:absolute;left:3292475;top:869315;height:273685;width:768985;" fillcolor="#FFFFFF" filled="t" stroked="t" coordsize="21600,21600" o:gfxdata="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Km/bjvWAAAABQEAAA8AAAAAAAAAAQAgAAAAIgAAAGRycy9kb3ducmV2Lnht&#10;bFBLAQIUABQAAAAIAIdO4kCvahAe+wEAAPUDAAAOAAAAAAAAAAEAIAAAACUBAABkcnMvZTJvRG9j&#10;LnhtbFBLBQYAAAAABgAGAFkBAACSBQAAAAA=&#10;">
                        <v:fill on="t" focussize="0,0"/>
                        <v:stroke color="#000000" joinstyle="miter"/>
                        <v:imagedata o:title=""/>
                        <o:lock v:ext="edit" aspectratio="f"/>
                        <v:textbox>
                          <w:txbxContent>
                            <w:p>
                              <w:pPr>
                                <w:spacing w:line="240" w:lineRule="auto"/>
                                <w:ind w:firstLine="0" w:firstLineChars="0"/>
                                <w:jc w:val="center"/>
                                <w:rPr>
                                  <w:sz w:val="21"/>
                                  <w:szCs w:val="21"/>
                                </w:rPr>
                              </w:pPr>
                              <w:r>
                                <w:rPr>
                                  <w:rFonts w:hint="eastAsia"/>
                                  <w:sz w:val="21"/>
                                  <w:szCs w:val="21"/>
                                </w:rPr>
                                <w:t>涂胶</w:t>
                              </w:r>
                            </w:p>
                          </w:txbxContent>
                        </v:textbox>
                      </v:shape>
                      <v:shape id="直接箭头连接符 18" o:spid="_x0000_s1026" o:spt="32" type="#_x0000_t32" style="position:absolute;left:3667760;top:544195;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">
                        <v:fill on="f" focussize="0,0"/>
                        <v:stroke color="#000000" joinstyle="round" endarrow="block"/>
                        <v:imagedata o:title=""/>
                        <o:lock v:ext="edit" aspectratio="f"/>
                      </v:shape>
                      <v:shape id="文本框 19" o:spid="_x0000_s1026" o:spt="202" type="#_x0000_t202" style="position:absolute;left:2203450;top:4185920;height:289560;width:648335;"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azVb7UAAAABQEAAA8AAAAAAAAAAQAgAAAAIgAAAGRycy9kb3ducmV2LnhtbFBL&#10;AQIUABQAAAAIAIdO4kBSo9nwwQEAAFEDAAAOAAAAAAAAAAEAIAAAACMBAABkcnMvZTJvRG9jLnht&#10;bFBLBQYAAAAABgAGAFkBAABWBQ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成品</w:t>
                              </w:r>
                            </w:p>
                          </w:txbxContent>
                        </v:textbox>
                      </v:shape>
                      <v:shape id="直接箭头连接符 20" o:spid="_x0000_s1026" o:spt="32" type="#_x0000_t32" style="position:absolute;left:2483485;top:2644775;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BT6wh1wAAAAUBAAAPAAAAAAAAAAEAIAAAACIAAABkcnMvZG93bnJldi54bWxQ&#10;SwECFAAUAAAACACHTuJAs7EIJvgBAACyAwAADgAAAAAAAAABACAAAAAmAQAAZHJzL2Uyb0RvYy54&#10;bWxQSwUGAAAAAAYABgBZAQAAkAUAAAAA&#10;">
                        <v:fill on="f" focussize="0,0"/>
                        <v:stroke color="#000000" joinstyle="round" endarrow="block"/>
                        <v:imagedata o:title=""/>
                        <o:lock v:ext="edit" aspectratio="f"/>
                      </v:shape>
                      <v:shape id="直接箭头连接符 21" o:spid="_x0000_s1026" o:spt="32" type="#_x0000_t32" style="position:absolute;left:3000375;top:1010285;height:635;width:30162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CBT6wh1wAAAAUBAAAPAAAAAAAAAAEAIAAAACIAAABkcnMvZG93bnJldi54bWxQSwEC&#10;FAAUAAAACACHTuJAWtDKa/UBAACyAwAADgAAAAAAAAABACAAAAAmAQAAZHJzL2Uyb0RvYy54bWxQ&#10;SwUGAAAAAAYABgBZAQAAjQUAAAAA&#10;">
                        <v:fill on="f" focussize="0,0"/>
                        <v:stroke color="#000000" joinstyle="round" endarrow="block"/>
                        <v:imagedata o:title=""/>
                        <o:lock v:ext="edit" aspectratio="f"/>
                      </v:shape>
                      <v:shape id="文本框 22" o:spid="_x0000_s1026" o:spt="202" type="#_x0000_t202" style="position:absolute;left:2335530;top:772160;height:487680;width:667385;"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drNVvtQAAAAFAQAADwAAAAAAAAABACAAAAAiAAAAZHJzL2Rvd25yZXYueG1sUEsB&#10;AhQAFAAAAAgAh07iQOEYzGjAAQAAUAMAAA4AAAAAAAAAAQAgAAAAIwEAAGRycy9lMm9Eb2MueG1s&#10;UEsFBgAAAAAGAAYAWQEAAFUFAAAAAA==&#10;">
                        <v:fill on="t" focussize="0,0"/>
                        <v:stroke on="f"/>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水性胶黏剂</w:t>
                              </w:r>
                            </w:p>
                          </w:txbxContent>
                        </v:textbox>
                      </v:shape>
                      <v:shape id="肘形连接符 23" o:spid="_x0000_s1026" o:spt="34" type="#_x0000_t34" style="position:absolute;left:1423670;top:674370;flip:x;height:1551305;width:577215;rotation:5898240f;" filled="f" stroked="t" coordsize="21600,21600" o:gfxdata="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" adj="10788">
                        <v:fill on="f" focussize="0,0"/>
                        <v:stroke color="#000000" joinstyle="miter" endarrow="block"/>
                        <v:imagedata o:title=""/>
                        <o:lock v:ext="edit" aspectratio="f"/>
                      </v:shape>
                      <v:shape id="肘形连接符 24" o:spid="_x0000_s1026" o:spt="34" type="#_x0000_t34" style="position:absolute;left:2783840;top:845820;height:1188720;width:596265;rotation:5898240f;" filled="f" stroked="t" coordsize="21600,21600" o:gfxdata="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MfdggPVAAAABQEA&#10;AA8AAAAAAAAAAQAgAAAAIgAAAGRycy9kb3ducmV2LnhtbFBLAQIUABQAAAAIAIdO4kB62OBBHQIA&#10;APADAAAOAAAAAAAAAAEAIAAAACQBAABkcnMvZTJvRG9jLnhtbFBLBQYAAAAABgAGAFkBAACzBQAA&#10;AAA=&#10;" adj="10788">
                        <v:fill on="f" focussize="0,0"/>
                        <v:stroke color="#000000" joinstyle="miter" endarrow="block"/>
                        <v:imagedata o:title=""/>
                        <o:lock v:ext="edit" aspectratio="f"/>
                      </v:shape>
                      <v:shape id="文本框 25" o:spid="_x0000_s1026" o:spt="202" type="#_x0000_t202" style="position:absolute;left:2155825;top:2964815;height:299085;width:648335;" fillcolor="#FFFFFF" filled="t" stroked="t" coordsize="21600,21600" o:gfxdata="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C4q5D/VAAAABQEAAA8AAAAAAAAAAQAgAAAAIgAAAGRycy9k&#10;b3ducmV2LnhtbFBLAQIUABQAAAAIAIdO4kBLO/HWBQIAABAEAAAOAAAAAAAAAAEAIAAAACQBAABk&#10;cnMvZTJvRG9jLnhtbFBLBQYAAAAABgAGAFkBAACbBQ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切割</w:t>
                              </w:r>
                            </w:p>
                          </w:txbxContent>
                        </v:textbox>
                      </v:shape>
                      <v:shape id="直接箭头连接符 26" o:spid="_x0000_s1026" o:spt="32" type="#_x0000_t32" style="position:absolute;left:2493010;top:3244850;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">
                        <v:fill on="f" focussize="0,0"/>
                        <v:stroke color="#000000" joinstyle="round" endarrow="block"/>
                        <v:imagedata o:title=""/>
                        <o:lock v:ext="edit" aspectratio="f"/>
                      </v:shape>
                      <v:shape id="文本框 27" o:spid="_x0000_s1026" o:spt="202" type="#_x0000_t202" style="position:absolute;left:2174875;top:3574415;height:299085;width:648335;" fillcolor="#FFFFFF" filled="t" stroked="t" coordsize="21600,21600" o:gfxdata="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&#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uKuQ/1QAAAAUBAAAPAAAAAAAAAAEAIAAAACIAAABk&#10;cnMvZG93bnJldi54bWxQSwECFAAUAAAACACHTuJAfQEsJgkCAAAQBAAADgAAAAAAAAABACAAAAAk&#10;AQAAZHJzL2Uyb0RvYy54bWxQSwUGAAAAAAYABgBZAQAAnwUAAAAA&#10;">
                        <v:fill on="t" focussize="0,0"/>
                        <v:stroke color="#000000" joinstyle="miter"/>
                        <v:imagedata o:title=""/>
                        <o:lock v:ext="edit" aspectratio="f"/>
                        <v:textbox style="mso-fit-shape-to-text:t;">
                          <w:txbxContent>
                            <w:p>
                              <w:pPr>
                                <w:spacing w:line="240" w:lineRule="auto"/>
                                <w:ind w:firstLine="0" w:firstLineChars="0"/>
                                <w:jc w:val="center"/>
                                <w:rPr>
                                  <w:sz w:val="21"/>
                                  <w:szCs w:val="21"/>
                                </w:rPr>
                              </w:pPr>
                              <w:r>
                                <w:rPr>
                                  <w:rFonts w:hint="eastAsia"/>
                                  <w:sz w:val="21"/>
                                  <w:szCs w:val="21"/>
                                </w:rPr>
                                <w:t>包装</w:t>
                              </w:r>
                            </w:p>
                          </w:txbxContent>
                        </v:textbox>
                      </v:shape>
                      <v:shape id="直接箭头连接符 28" o:spid="_x0000_s1026" o:spt="32" type="#_x0000_t32" style="position:absolute;left:2512060;top:3854450;height:315595;width:635;" filled="f" stroked="t" coordsize="21600,21600" o:gfxdata="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CBT6wh1wAAAAUBAAAPAAAAAAAAAAEAIAAAACIAAABkcnMvZG93bnJldi54bWxQ&#10;SwECFAAUAAAACACHTuJAPKoGDfgBAACyAwAADgAAAAAAAAABACAAAAAmAQAAZHJzL2Uyb0RvYy54&#10;bWxQSwUGAAAAAAYABgBZAQAAkAUAAAAA&#10;">
                        <v:fill on="f" focussize="0,0"/>
                        <v:stroke color="#000000" joinstyle="round" endarrow="block"/>
                        <v:imagedata o:title=""/>
                        <o:lock v:ext="edit" aspectratio="f"/>
                      </v:shape>
                      <v:shape id="文本框 29" o:spid="_x0000_s1026" o:spt="202" type="#_x0000_t202" style="position:absolute;left:3153410;top:2969260;height:289560;width:908050;" fillcolor="#FFFFFF" filled="t" stroked="f" coordsize="21600,21600" o:gfxdata="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B2s1W+1AAAAAUBAAAPAAAAAAAAAAEAIAAAACIAAABkcnMvZG93bnJldi54bWxQSwEC&#10;FAAUAAAACACHTuJAsdrPmb8BAABRAwAADgAAAAAAAAABACAAAAAjAQAAZHJzL2Uyb0RvYy54bWxQ&#10;SwUGAAAAAAYABgBZAQAAVAUAAAAA&#10;">
                        <v:fill on="t" focussize="0,0"/>
                        <v:stroke on="f"/>
                        <v:imagedata o:title=""/>
                        <o:lock v:ext="edit" aspectratio="f"/>
                        <v:textbox style="mso-fit-shape-to-text:t;">
                          <w:txbxContent>
                            <w:p>
                              <w:pPr>
                                <w:spacing w:line="240" w:lineRule="auto"/>
                                <w:ind w:firstLine="0" w:firstLineChars="0"/>
                                <w:jc w:val="center"/>
                                <w:rPr>
                                  <w:sz w:val="21"/>
                                  <w:szCs w:val="21"/>
                                </w:rPr>
                              </w:pPr>
                              <w:r>
                                <w:rPr>
                                  <w:sz w:val="21"/>
                                  <w:szCs w:val="21"/>
                                </w:rPr>
                                <w:t>N噪声</w:t>
                              </w:r>
                            </w:p>
                          </w:txbxContent>
                        </v:textbox>
                      </v:shape>
                      <v:shape id="直接箭头连接符 30" o:spid="_x0000_s1026" o:spt="32" type="#_x0000_t32" style="position:absolute;left:2804160;top:3097530;height:635;width:349250;" filled="f" stroked="t" coordsize="21600,21600" o:gfxdata="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xpCf2tMAAAAFAQAADwAAAAAAAAABACAAAAAiAAAAZHJzL2Rvd25yZXYueG1sUEsBAhQA&#10;FAAAAAgAh07iQEtGjZ73AQAAsQMAAA4AAAAAAAAAAQAgAAAAIgEAAGRycy9lMm9Eb2MueG1sUEsF&#10;BgAAAAAGAAYAWQEAAIsFAAAAAA==&#10;">
                        <v:fill on="f" focussize="0,0"/>
                        <v:stroke color="#000000" joinstyle="round" dashstyle="dash" endarrow="block"/>
                        <v:imagedata o:title=""/>
                        <o:lock v:ext="edit" aspectratio="f"/>
                      </v:shape>
                      <w10:wrap type="none"/>
                      <w10:anchorlock/>
                    </v:group>
                  </w:pict>
                </mc:Fallback>
              </mc:AlternateContent>
            </w:r>
          </w:p>
          <w:p>
            <w:pPr>
              <w:autoSpaceDE w:val="0"/>
              <w:autoSpaceDN w:val="0"/>
              <w:adjustRightInd w:val="0"/>
              <w:snapToGrid w:val="0"/>
              <w:spacing w:line="360" w:lineRule="auto"/>
              <w:ind w:firstLine="482" w:firstLineChars="200"/>
              <w:jc w:val="center"/>
              <w:rPr>
                <w:rFonts w:hint="eastAsia"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图2-7板刷生产工艺流程及产污节点图</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板刷生产工艺简述：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（1）切割：按照工艺要求对海绵进行切边料、切块加工。</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产污环节：在切割过程产生S1废海绵。</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（2）涂胶：将水性胶黏剂搅拌均匀涂抹于塑料板上。</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（3）静电植绒：静电植绒是在高压静电场中将电着处理好的短纤维定向植于涂有胶粘剂的基材表面。</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（4）烘干：将植绒后的海绵送至烘干轨道进行烘干，烘干温度为90℃，烘干时间为1h。</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产污环节：在烘干过程中产生G3烘干废气、N噪声。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（5）切割：烘干后将植绒后的塑料板按照要求进行切割，切割后利用清理机进行表面清理。</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产污环节：在烘干过程中产生N噪声。</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（6）包装：对板刷进行包装。</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主要污染工序：</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（1）大气污染物：G1胶合废气、G2粉尘、G3烘干废气；</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（2）水污染物：职工生活污水；</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（3）噪声污染物：各类设备运转产生的噪声；</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（4）固体废物：S1废海绵、S2废活性炭、S3粉尘、S4职工生活垃圾、S5化粪池污泥。</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表2-1</w:t>
            </w:r>
            <w:r>
              <w:rPr>
                <w:rFonts w:hint="eastAsia" w:cs="Times New Roman"/>
                <w:b/>
                <w:color w:val="auto"/>
                <w:sz w:val="24"/>
                <w:szCs w:val="24"/>
                <w:highlight w:val="none"/>
                <w:lang w:val="en-US" w:eastAsia="zh-CN"/>
              </w:rPr>
              <w:t xml:space="preserve">0 </w:t>
            </w:r>
            <w:r>
              <w:rPr>
                <w:rFonts w:hint="eastAsia" w:ascii="Times New Roman" w:hAnsi="Times New Roman" w:eastAsia="宋体" w:cs="Times New Roman"/>
                <w:b/>
                <w:color w:val="auto"/>
                <w:sz w:val="24"/>
                <w:szCs w:val="24"/>
                <w:highlight w:val="none"/>
                <w:lang w:val="en-US" w:eastAsia="zh-CN"/>
              </w:rPr>
              <w:t>现有项目产污情况一览表</w:t>
            </w:r>
          </w:p>
          <w:tbl>
            <w:tblPr>
              <w:tblStyle w:val="25"/>
              <w:tblW w:w="786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69"/>
              <w:gridCol w:w="639"/>
              <w:gridCol w:w="1513"/>
              <w:gridCol w:w="1894"/>
              <w:gridCol w:w="1448"/>
              <w:gridCol w:w="180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w:t>
                  </w:r>
                </w:p>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因素</w:t>
                  </w:r>
                </w:p>
              </w:tc>
              <w:tc>
                <w:tcPr>
                  <w:tcW w:w="63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编号</w:t>
                  </w:r>
                </w:p>
              </w:tc>
              <w:tc>
                <w:tcPr>
                  <w:tcW w:w="1513"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名称</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产污环节</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排放特性/性质</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default" w:ascii="Times New Roman" w:hAnsi="Times New Roman" w:eastAsia="宋体" w:cs="Times New Roman"/>
                      <w:b/>
                      <w:bCs/>
                      <w:color w:val="auto"/>
                      <w:sz w:val="21"/>
                      <w:szCs w:val="21"/>
                      <w:lang w:val="en-US" w:eastAsia="zh-CN"/>
                    </w:rPr>
                    <w:t>污染因子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restart"/>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废气</w:t>
                  </w:r>
                </w:p>
              </w:tc>
              <w:tc>
                <w:tcPr>
                  <w:tcW w:w="63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cs="Times New Roman"/>
                      <w:color w:val="auto"/>
                      <w:sz w:val="21"/>
                      <w:szCs w:val="21"/>
                      <w:lang w:val="en-US" w:eastAsia="zh-CN"/>
                    </w:rPr>
                  </w:pPr>
                  <w:r>
                    <w:rPr>
                      <w:rFonts w:hint="default" w:ascii="Times New Roman" w:hAnsi="Times New Roman" w:cs="Times New Roman"/>
                      <w:color w:val="auto"/>
                      <w:sz w:val="21"/>
                      <w:szCs w:val="21"/>
                      <w:lang w:val="en-US" w:eastAsia="zh-CN"/>
                    </w:rPr>
                    <w:t>G1</w:t>
                  </w:r>
                </w:p>
              </w:tc>
              <w:tc>
                <w:tcPr>
                  <w:tcW w:w="1513"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胶合废气</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胶合</w:t>
                  </w:r>
                </w:p>
              </w:tc>
              <w:tc>
                <w:tcPr>
                  <w:tcW w:w="1448" w:type="dxa"/>
                  <w:shd w:val="clear" w:color="auto" w:fill="auto"/>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有组织、无组织</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VOCs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p>
              </w:tc>
              <w:tc>
                <w:tcPr>
                  <w:tcW w:w="63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G2</w:t>
                  </w:r>
                </w:p>
              </w:tc>
              <w:tc>
                <w:tcPr>
                  <w:tcW w:w="1513"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磨头</w:t>
                  </w:r>
                  <w:r>
                    <w:rPr>
                      <w:rFonts w:hint="default" w:ascii="Times New Roman" w:hAnsi="Times New Roman" w:eastAsia="宋体" w:cs="Times New Roman"/>
                      <w:color w:val="auto"/>
                      <w:sz w:val="21"/>
                      <w:szCs w:val="21"/>
                      <w:lang w:val="en-US" w:eastAsia="zh-CN"/>
                    </w:rPr>
                    <w:t>粉尘</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磨头</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有组织、无组织</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颗粒物</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p>
              </w:tc>
              <w:tc>
                <w:tcPr>
                  <w:tcW w:w="63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G3</w:t>
                  </w:r>
                </w:p>
              </w:tc>
              <w:tc>
                <w:tcPr>
                  <w:tcW w:w="1513"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烘干废气</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烘干</w:t>
                  </w:r>
                </w:p>
              </w:tc>
              <w:tc>
                <w:tcPr>
                  <w:tcW w:w="1448" w:type="dxa"/>
                  <w:shd w:val="clear" w:color="auto" w:fill="auto"/>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有组织、无组织</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VOCs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69" w:type="dxa"/>
                  <w:vMerge w:val="restart"/>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废水</w:t>
                  </w: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生活污水</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员工生活用水</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间接排放</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COD、SS、NH</w:t>
                  </w:r>
                  <w:r>
                    <w:rPr>
                      <w:rFonts w:hint="default" w:ascii="Times New Roman" w:hAnsi="Times New Roman" w:eastAsia="宋体" w:cs="Times New Roman"/>
                      <w:color w:val="auto"/>
                      <w:sz w:val="21"/>
                      <w:szCs w:val="21"/>
                      <w:vertAlign w:val="subscript"/>
                      <w:lang w:val="en-US" w:eastAsia="zh-CN"/>
                    </w:rPr>
                    <w:t>3</w:t>
                  </w:r>
                  <w:r>
                    <w:rPr>
                      <w:rFonts w:hint="default" w:ascii="Times New Roman" w:hAnsi="Times New Roman" w:eastAsia="宋体" w:cs="Times New Roman"/>
                      <w:color w:val="auto"/>
                      <w:sz w:val="21"/>
                      <w:szCs w:val="21"/>
                      <w:lang w:val="en-US" w:eastAsia="zh-CN"/>
                    </w:rPr>
                    <w:t>-N、</w:t>
                  </w:r>
                </w:p>
                <w:p>
                  <w:pPr>
                    <w:pageBreakBefore w:val="0"/>
                    <w:kinsoku/>
                    <w:wordWrap/>
                    <w:overflowPunct/>
                    <w:topLinePunct w:val="0"/>
                    <w:bidi w:val="0"/>
                    <w:adjustRightInd w:val="0"/>
                    <w:snapToGrid w:val="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TP、TN</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restart"/>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固废</w:t>
                  </w: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废海绵</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切割等</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一般固废</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海绵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废活性炭</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废气处理</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危险废物</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废活性炭</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废包装桶</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生产过程</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r>
                    <w:rPr>
                      <w:rFonts w:hint="eastAsia" w:cs="Times New Roman"/>
                      <w:color w:val="auto"/>
                      <w:sz w:val="21"/>
                      <w:szCs w:val="21"/>
                      <w:lang w:val="en-US" w:eastAsia="zh-CN"/>
                    </w:rPr>
                    <w:t>危险废物</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r>
                    <w:rPr>
                      <w:rFonts w:hint="eastAsia" w:cs="Times New Roman"/>
                      <w:color w:val="auto"/>
                      <w:sz w:val="21"/>
                      <w:szCs w:val="21"/>
                      <w:lang w:val="en-US" w:eastAsia="zh-CN"/>
                    </w:rPr>
                    <w:t>废包装桶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粉尘</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废气处理</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一般固废</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粉尘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vMerge w:val="continue"/>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2152" w:type="dxa"/>
                  <w:gridSpan w:val="2"/>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职工生活垃圾</w:t>
                  </w:r>
                </w:p>
              </w:tc>
              <w:tc>
                <w:tcPr>
                  <w:tcW w:w="1894"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职工生活</w:t>
                  </w:r>
                </w:p>
              </w:tc>
              <w:tc>
                <w:tcPr>
                  <w:tcW w:w="1448"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一般固废</w:t>
                  </w:r>
                </w:p>
              </w:tc>
              <w:tc>
                <w:tcPr>
                  <w:tcW w:w="1805"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纸、瓜果等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3" w:hRule="atLeast"/>
                <w:jc w:val="center"/>
              </w:trPr>
              <w:tc>
                <w:tcPr>
                  <w:tcW w:w="56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噪声</w:t>
                  </w:r>
                </w:p>
              </w:tc>
              <w:tc>
                <w:tcPr>
                  <w:tcW w:w="639" w:type="dxa"/>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N</w:t>
                  </w:r>
                </w:p>
              </w:tc>
              <w:tc>
                <w:tcPr>
                  <w:tcW w:w="6660" w:type="dxa"/>
                  <w:gridSpan w:val="4"/>
                  <w:noWrap w:val="0"/>
                  <w:tcMar>
                    <w:left w:w="28" w:type="dxa"/>
                    <w:right w:w="28" w:type="dxa"/>
                  </w:tcMar>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default" w:cs="Times New Roman"/>
                      <w:color w:val="auto"/>
                      <w:sz w:val="21"/>
                      <w:szCs w:val="21"/>
                      <w:lang w:val="en-US" w:eastAsia="zh-CN"/>
                    </w:rPr>
                    <w:t>主要噪声源为生产设备噪声</w:t>
                  </w:r>
                </w:p>
              </w:tc>
            </w:tr>
          </w:tbl>
          <w:p>
            <w:pPr>
              <w:autoSpaceDE w:val="0"/>
              <w:autoSpaceDN w:val="0"/>
              <w:adjustRightInd w:val="0"/>
              <w:snapToGrid w:val="0"/>
              <w:spacing w:line="360" w:lineRule="auto"/>
              <w:ind w:firstLine="482" w:firstLineChars="200"/>
              <w:rPr>
                <w:rFonts w:hint="eastAsia"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6、现有项目污染防治措施</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表2-1</w:t>
            </w:r>
            <w:r>
              <w:rPr>
                <w:rFonts w:hint="eastAsia" w:cs="Times New Roman"/>
                <w:b/>
                <w:color w:val="auto"/>
                <w:sz w:val="24"/>
                <w:szCs w:val="24"/>
                <w:highlight w:val="none"/>
                <w:lang w:val="en-US" w:eastAsia="zh-CN"/>
              </w:rPr>
              <w:t xml:space="preserve">1 </w:t>
            </w:r>
            <w:r>
              <w:rPr>
                <w:rFonts w:hint="eastAsia" w:ascii="Times New Roman" w:hAnsi="Times New Roman" w:eastAsia="宋体" w:cs="Times New Roman"/>
                <w:b/>
                <w:color w:val="auto"/>
                <w:sz w:val="24"/>
                <w:szCs w:val="24"/>
                <w:highlight w:val="none"/>
                <w:lang w:val="en-US" w:eastAsia="zh-CN"/>
              </w:rPr>
              <w:t>现有项目污染防治措施</w:t>
            </w:r>
          </w:p>
          <w:tbl>
            <w:tblPr>
              <w:tblStyle w:val="26"/>
              <w:tblW w:w="7830"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01"/>
              <w:gridCol w:w="666"/>
              <w:gridCol w:w="735"/>
              <w:gridCol w:w="1466"/>
              <w:gridCol w:w="1432"/>
              <w:gridCol w:w="2130"/>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内容类型</w:t>
                  </w:r>
                </w:p>
              </w:tc>
              <w:tc>
                <w:tcPr>
                  <w:tcW w:w="1401" w:type="dxa"/>
                  <w:gridSpan w:val="2"/>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排放源</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污染物名称</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防治措施</w:t>
                  </w:r>
                </w:p>
              </w:tc>
              <w:tc>
                <w:tcPr>
                  <w:tcW w:w="2130"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b/>
                      <w:bCs/>
                      <w:color w:val="auto"/>
                      <w:sz w:val="21"/>
                      <w:szCs w:val="21"/>
                      <w:lang w:val="en-US" w:eastAsia="zh-CN"/>
                    </w:rPr>
                  </w:pPr>
                  <w:r>
                    <w:rPr>
                      <w:rFonts w:hint="eastAsia" w:cs="Times New Roman"/>
                      <w:b/>
                      <w:bCs/>
                      <w:color w:val="auto"/>
                      <w:sz w:val="21"/>
                      <w:szCs w:val="21"/>
                      <w:lang w:val="en-US" w:eastAsia="zh-CN"/>
                    </w:rPr>
                    <w:t>标准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大气污染物</w:t>
                  </w:r>
                </w:p>
              </w:tc>
              <w:tc>
                <w:tcPr>
                  <w:tcW w:w="666"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1#排气筒</w:t>
                  </w:r>
                </w:p>
              </w:tc>
              <w:tc>
                <w:tcPr>
                  <w:tcW w:w="735"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胶合</w:t>
                  </w:r>
                </w:p>
              </w:tc>
              <w:tc>
                <w:tcPr>
                  <w:tcW w:w="1466"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非甲烷总烃</w:t>
                  </w:r>
                </w:p>
              </w:tc>
              <w:tc>
                <w:tcPr>
                  <w:tcW w:w="1432"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二级活性炭</w:t>
                  </w:r>
                </w:p>
              </w:tc>
              <w:tc>
                <w:tcPr>
                  <w:tcW w:w="2130" w:type="dxa"/>
                  <w:vMerge w:val="restart"/>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《大气污染物综合排放标准》（DB32/4041-2021）</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666"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735"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烘干</w:t>
                  </w:r>
                </w:p>
              </w:tc>
              <w:tc>
                <w:tcPr>
                  <w:tcW w:w="1466"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1432"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666" w:type="dxa"/>
                  <w:vMerge w:val="continue"/>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735"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磨头</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颗粒物</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布袋除尘器</w:t>
                  </w: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水污染物</w:t>
                  </w:r>
                </w:p>
              </w:tc>
              <w:tc>
                <w:tcPr>
                  <w:tcW w:w="1401" w:type="dxa"/>
                  <w:gridSpan w:val="2"/>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生活污水</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pH、COD、SS、氨氮、总磷、总氮</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化粪池</w:t>
                  </w:r>
                </w:p>
              </w:tc>
              <w:tc>
                <w:tcPr>
                  <w:tcW w:w="2130" w:type="dxa"/>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color w:val="auto"/>
                      <w:kern w:val="0"/>
                      <w:szCs w:val="21"/>
                    </w:rPr>
                    <w:t>《</w:t>
                  </w:r>
                  <w:r>
                    <w:rPr>
                      <w:rFonts w:hint="eastAsia"/>
                      <w:color w:val="auto"/>
                      <w:kern w:val="0"/>
                      <w:szCs w:val="21"/>
                    </w:rPr>
                    <w:t>污水综合</w:t>
                  </w:r>
                  <w:r>
                    <w:rPr>
                      <w:color w:val="auto"/>
                      <w:kern w:val="0"/>
                      <w:szCs w:val="21"/>
                    </w:rPr>
                    <w:t>排放标准》（GB</w:t>
                  </w:r>
                  <w:r>
                    <w:rPr>
                      <w:rFonts w:hint="eastAsia"/>
                      <w:color w:val="auto"/>
                      <w:kern w:val="0"/>
                      <w:szCs w:val="21"/>
                    </w:rPr>
                    <w:t>8978</w:t>
                  </w:r>
                  <w:r>
                    <w:rPr>
                      <w:color w:val="auto"/>
                      <w:kern w:val="0"/>
                      <w:szCs w:val="21"/>
                    </w:rPr>
                    <w:t>-</w:t>
                  </w:r>
                  <w:r>
                    <w:rPr>
                      <w:rFonts w:hint="eastAsia"/>
                      <w:color w:val="auto"/>
                      <w:kern w:val="0"/>
                      <w:szCs w:val="21"/>
                    </w:rPr>
                    <w:t>1996</w:t>
                  </w:r>
                  <w:r>
                    <w:rPr>
                      <w:color w:val="auto"/>
                      <w:kern w:val="0"/>
                      <w:szCs w:val="21"/>
                    </w:rPr>
                    <w:t>）</w:t>
                  </w:r>
                  <w:r>
                    <w:rPr>
                      <w:rFonts w:hint="eastAsia"/>
                      <w:color w:val="auto"/>
                      <w:kern w:val="0"/>
                      <w:szCs w:val="21"/>
                    </w:rPr>
                    <w:t>&amp;《污水排入城镇下水道水质标准》（</w:t>
                  </w:r>
                  <w:r>
                    <w:rPr>
                      <w:color w:val="auto"/>
                      <w:kern w:val="0"/>
                      <w:szCs w:val="21"/>
                    </w:rPr>
                    <w:t>GB/T31962-2015</w:t>
                  </w:r>
                  <w:r>
                    <w:rPr>
                      <w:rFonts w:hint="eastAsia"/>
                      <w:color w:val="auto"/>
                      <w:kern w:val="0"/>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噪声</w:t>
                  </w:r>
                </w:p>
              </w:tc>
              <w:tc>
                <w:tcPr>
                  <w:tcW w:w="1401" w:type="dxa"/>
                  <w:gridSpan w:val="2"/>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生产设备</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切割机、钻孔机、磨头机等</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厂房隔声、减振</w:t>
                  </w:r>
                </w:p>
              </w:tc>
              <w:tc>
                <w:tcPr>
                  <w:tcW w:w="2130" w:type="dxa"/>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default" w:ascii="Times New Roman" w:hAnsi="Times New Roman" w:cs="Times New Roman"/>
                      <w:color w:val="auto"/>
                      <w:szCs w:val="21"/>
                    </w:rPr>
                    <w:t>《工业企业厂界环境噪声排放标准》（GB12348-2008）</w:t>
                  </w:r>
                  <w:r>
                    <w:rPr>
                      <w:rFonts w:hint="eastAsia" w:cs="Times New Roman"/>
                      <w:color w:val="auto"/>
                      <w:szCs w:val="21"/>
                      <w:lang w:val="en-US" w:eastAsia="zh-CN"/>
                    </w:rPr>
                    <w:t>3类</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401"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固废</w:t>
                  </w:r>
                </w:p>
              </w:tc>
              <w:tc>
                <w:tcPr>
                  <w:tcW w:w="1401" w:type="dxa"/>
                  <w:gridSpan w:val="2"/>
                  <w:vMerge w:val="restart"/>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一般固废</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废海绵</w:t>
                  </w:r>
                </w:p>
              </w:tc>
              <w:tc>
                <w:tcPr>
                  <w:tcW w:w="1432"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厂家回收</w:t>
                  </w:r>
                </w:p>
              </w:tc>
              <w:tc>
                <w:tcPr>
                  <w:tcW w:w="2130"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100%处置</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c>
                <w:tcPr>
                  <w:tcW w:w="1401" w:type="dxa"/>
                  <w:gridSpan w:val="2"/>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除尘灰</w:t>
                  </w:r>
                </w:p>
              </w:tc>
              <w:tc>
                <w:tcPr>
                  <w:tcW w:w="1432" w:type="dxa"/>
                  <w:vMerge w:val="restart"/>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环卫清运</w:t>
                  </w: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c>
                <w:tcPr>
                  <w:tcW w:w="1401" w:type="dxa"/>
                  <w:gridSpan w:val="2"/>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生活垃圾</w:t>
                  </w:r>
                </w:p>
              </w:tc>
              <w:tc>
                <w:tcPr>
                  <w:tcW w:w="1432" w:type="dxa"/>
                  <w:vMerge w:val="continue"/>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c>
                <w:tcPr>
                  <w:tcW w:w="1401" w:type="dxa"/>
                  <w:gridSpan w:val="2"/>
                  <w:vMerge w:val="restart"/>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危险固废</w:t>
                  </w: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废活性炭</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委托有资质单位</w:t>
                  </w: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01"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c>
                <w:tcPr>
                  <w:tcW w:w="1401" w:type="dxa"/>
                  <w:gridSpan w:val="2"/>
                  <w:vMerge w:val="continue"/>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p>
              </w:tc>
              <w:tc>
                <w:tcPr>
                  <w:tcW w:w="1466" w:type="dxa"/>
                  <w:tcBorders>
                    <w:tl2br w:val="nil"/>
                    <w:tr2bl w:val="nil"/>
                  </w:tcBorders>
                  <w:vAlign w:val="center"/>
                </w:tcPr>
                <w:p>
                  <w:pPr>
                    <w:pageBreakBefore w:val="0"/>
                    <w:kinsoku/>
                    <w:wordWrap/>
                    <w:overflowPunct/>
                    <w:topLinePunct w:val="0"/>
                    <w:bidi w:val="0"/>
                    <w:adjustRightInd w:val="0"/>
                    <w:snapToGrid w:val="0"/>
                    <w:jc w:val="center"/>
                    <w:rPr>
                      <w:rFonts w:hint="default" w:cs="Times New Roman"/>
                      <w:color w:val="auto"/>
                      <w:sz w:val="21"/>
                      <w:szCs w:val="21"/>
                      <w:lang w:val="en-US" w:eastAsia="zh-CN"/>
                    </w:rPr>
                  </w:pPr>
                  <w:r>
                    <w:rPr>
                      <w:rFonts w:hint="eastAsia" w:cs="Times New Roman"/>
                      <w:color w:val="auto"/>
                      <w:sz w:val="21"/>
                      <w:szCs w:val="21"/>
                      <w:lang w:val="en-US" w:eastAsia="zh-CN"/>
                    </w:rPr>
                    <w:t>废包装桶</w:t>
                  </w:r>
                </w:p>
              </w:tc>
              <w:tc>
                <w:tcPr>
                  <w:tcW w:w="1432" w:type="dxa"/>
                  <w:tcBorders>
                    <w:tl2br w:val="nil"/>
                    <w:tr2bl w:val="nil"/>
                  </w:tcBorders>
                  <w:vAlign w:val="center"/>
                </w:tcPr>
                <w:p>
                  <w:pPr>
                    <w:pageBreakBefore w:val="0"/>
                    <w:kinsoku/>
                    <w:wordWrap/>
                    <w:overflowPunct/>
                    <w:topLinePunct w:val="0"/>
                    <w:bidi w:val="0"/>
                    <w:adjustRightInd w:val="0"/>
                    <w:snapToGrid w:val="0"/>
                    <w:jc w:val="center"/>
                    <w:rPr>
                      <w:rFonts w:hint="eastAsia" w:cs="Times New Roman"/>
                      <w:color w:val="auto"/>
                      <w:sz w:val="21"/>
                      <w:szCs w:val="21"/>
                      <w:lang w:val="en-US" w:eastAsia="zh-CN"/>
                    </w:rPr>
                  </w:pPr>
                  <w:r>
                    <w:rPr>
                      <w:rFonts w:hint="eastAsia" w:cs="Times New Roman"/>
                      <w:color w:val="auto"/>
                      <w:sz w:val="21"/>
                      <w:szCs w:val="21"/>
                      <w:lang w:val="en-US" w:eastAsia="zh-CN"/>
                    </w:rPr>
                    <w:t>委托有资质单位</w:t>
                  </w:r>
                </w:p>
              </w:tc>
              <w:tc>
                <w:tcPr>
                  <w:tcW w:w="2130" w:type="dxa"/>
                  <w:vMerge w:val="continue"/>
                  <w:tcBorders>
                    <w:tl2br w:val="nil"/>
                    <w:tr2bl w:val="nil"/>
                  </w:tcBorders>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p>
              </w:tc>
            </w:tr>
          </w:tbl>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7、项目对照环评批复落实情况</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表2-1</w:t>
            </w:r>
            <w:r>
              <w:rPr>
                <w:rFonts w:hint="eastAsia" w:cs="Times New Roman"/>
                <w:b/>
                <w:color w:val="auto"/>
                <w:sz w:val="24"/>
                <w:szCs w:val="24"/>
                <w:highlight w:val="none"/>
                <w:lang w:val="en-US" w:eastAsia="zh-CN"/>
              </w:rPr>
              <w:t>2</w:t>
            </w:r>
            <w:r>
              <w:rPr>
                <w:rFonts w:hint="eastAsia" w:ascii="Times New Roman" w:hAnsi="Times New Roman" w:eastAsia="宋体" w:cs="Times New Roman"/>
                <w:b/>
                <w:color w:val="auto"/>
                <w:sz w:val="24"/>
                <w:szCs w:val="24"/>
                <w:highlight w:val="none"/>
                <w:lang w:val="en-US" w:eastAsia="zh-CN"/>
              </w:rPr>
              <w:t xml:space="preserve"> 项目批建运相符性分析</w:t>
            </w:r>
          </w:p>
          <w:tbl>
            <w:tblPr>
              <w:tblStyle w:val="25"/>
              <w:tblW w:w="7879"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61"/>
              <w:gridCol w:w="311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68" w:hRule="atLeast"/>
                <w:jc w:val="center"/>
              </w:trPr>
              <w:tc>
                <w:tcPr>
                  <w:tcW w:w="708"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项目</w:t>
                  </w:r>
                </w:p>
              </w:tc>
              <w:tc>
                <w:tcPr>
                  <w:tcW w:w="4061"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环评审批意见要求</w:t>
                  </w:r>
                </w:p>
              </w:tc>
              <w:tc>
                <w:tcPr>
                  <w:tcW w:w="3110"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b/>
                      <w:bCs/>
                      <w:color w:val="auto"/>
                      <w:sz w:val="21"/>
                      <w:szCs w:val="21"/>
                      <w:lang w:val="en-US" w:eastAsia="zh-CN"/>
                    </w:rPr>
                  </w:pPr>
                  <w:r>
                    <w:rPr>
                      <w:rFonts w:hint="eastAsia" w:ascii="Times New Roman" w:hAnsi="Times New Roman" w:eastAsia="宋体" w:cs="Times New Roman"/>
                      <w:b/>
                      <w:bCs/>
                      <w:color w:val="auto"/>
                      <w:sz w:val="21"/>
                      <w:szCs w:val="21"/>
                      <w:lang w:val="en-US" w:eastAsia="zh-CN"/>
                    </w:rPr>
                    <w:t>实际落实情况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64" w:hRule="atLeast"/>
                <w:jc w:val="center"/>
              </w:trPr>
              <w:tc>
                <w:tcPr>
                  <w:tcW w:w="708"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废水</w:t>
                  </w:r>
                </w:p>
              </w:tc>
              <w:tc>
                <w:tcPr>
                  <w:tcW w:w="4061"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实行雨污分流、清污分流。该项目生活污水经化粪池预处理达到《污水综合排放标准》(GB8978-1996)表4中三级标准和《污水排入城镇下水道水质标准》(GB/T31962-2015)表1中B等级标准后排入污水管网，委托如皋恒发水处理有限公司集中处理；雨水经管网收集后就近排入四清河。</w:t>
                  </w:r>
                </w:p>
              </w:tc>
              <w:tc>
                <w:tcPr>
                  <w:tcW w:w="3110" w:type="dxa"/>
                  <w:noWrap w:val="0"/>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现有项目已实施</w:t>
                  </w:r>
                  <w:r>
                    <w:rPr>
                      <w:rFonts w:hint="eastAsia" w:ascii="Times New Roman" w:hAnsi="Times New Roman" w:eastAsia="宋体" w:cs="Times New Roman"/>
                      <w:color w:val="auto"/>
                      <w:sz w:val="21"/>
                      <w:szCs w:val="21"/>
                      <w:lang w:val="en-US" w:eastAsia="zh-CN"/>
                    </w:rPr>
                    <w:t>雨污分流</w:t>
                  </w:r>
                  <w:r>
                    <w:rPr>
                      <w:rFonts w:hint="eastAsia" w:cs="Times New Roman"/>
                      <w:color w:val="auto"/>
                      <w:sz w:val="21"/>
                      <w:szCs w:val="21"/>
                      <w:lang w:val="en-US" w:eastAsia="zh-CN"/>
                    </w:rPr>
                    <w:t>，生活污水</w:t>
                  </w:r>
                  <w:r>
                    <w:rPr>
                      <w:rFonts w:hint="eastAsia" w:ascii="Times New Roman" w:hAnsi="Times New Roman" w:eastAsia="宋体" w:cs="Times New Roman"/>
                      <w:color w:val="auto"/>
                      <w:sz w:val="21"/>
                      <w:szCs w:val="21"/>
                      <w:lang w:val="en-US" w:eastAsia="zh-CN"/>
                    </w:rPr>
                    <w:t>经化粪池预处理达到《污水综合排放标准》(GB8978-1996)表4中三级标准和《污水排入城镇下水道水质标准》(GB/T31962-2015)表1中B等级标准后排入污水管网</w:t>
                  </w:r>
                  <w:r>
                    <w:rPr>
                      <w:rFonts w:hint="eastAsia" w:cs="Times New Roman"/>
                      <w:color w:val="auto"/>
                      <w:sz w:val="21"/>
                      <w:szCs w:val="21"/>
                      <w:lang w:val="en-US" w:eastAsia="zh-CN"/>
                    </w:rPr>
                    <w:t>接管到</w:t>
                  </w:r>
                  <w:r>
                    <w:rPr>
                      <w:rFonts w:hint="eastAsia" w:ascii="Times New Roman" w:hAnsi="Times New Roman" w:eastAsia="宋体" w:cs="Times New Roman"/>
                      <w:color w:val="auto"/>
                      <w:sz w:val="21"/>
                      <w:szCs w:val="21"/>
                      <w:lang w:val="en-US" w:eastAsia="zh-CN"/>
                    </w:rPr>
                    <w:t>如皋恒发水处理有限公司集中处理</w:t>
                  </w:r>
                  <w:r>
                    <w:rPr>
                      <w:rFonts w:hint="eastAsia"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雨水经管网收集后就近排入</w:t>
                  </w:r>
                  <w:r>
                    <w:rPr>
                      <w:rFonts w:hint="eastAsia" w:cs="Times New Roman"/>
                      <w:color w:val="auto"/>
                      <w:sz w:val="21"/>
                      <w:szCs w:val="21"/>
                      <w:lang w:val="en-US" w:eastAsia="zh-CN"/>
                    </w:rPr>
                    <w:t>附件河流。</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73" w:hRule="atLeast"/>
                <w:jc w:val="center"/>
              </w:trPr>
              <w:tc>
                <w:tcPr>
                  <w:tcW w:w="708"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废气</w:t>
                  </w:r>
                </w:p>
              </w:tc>
              <w:tc>
                <w:tcPr>
                  <w:tcW w:w="4061"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 xml:space="preserve">优化工艺废气治理工作，合理设置排风机风量及排气筒数量。该项目胶合工序产生的废气通过胶合区域上方的集气罩收集后与收集的烘干废气通过活性炭吸附装置处理达到天津市地方标准《工业企业挥发性有机物排放控制标准》(DB12/524-2014)表2中“其他行业”标准限值及表5浓度限 </w:t>
                  </w:r>
                </w:p>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值经15米排气筒高空排放；磨头工序产生的粉尘经过吸气管加布袋除尘器处理达到《大气污染物综合排放标准》(GB16297-1996)表2中二级标准后经15米排气筒高空排放。废气处理装置建议有资质单位设计施工，加强生产过程管理，减少无组织废气的排放。严格按照环评的平面布置图要求布设生产车间，该项目需设置以植绒车间为执行边界的50米大气卫生防护距离，以加工车间为执行边界的100米大气卫生防护距离，卫生防护距离内不得有环境敏感目标，今后该范围内不得规划、新建住宅、学校、医院等环境敏感目标。</w:t>
                  </w:r>
                </w:p>
              </w:tc>
              <w:tc>
                <w:tcPr>
                  <w:tcW w:w="3110" w:type="dxa"/>
                  <w:noWrap w:val="0"/>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胶合工序产生的废气通过胶合区域上方的集气罩收集后与收集的烘干废气通过活性炭吸附装置处理</w:t>
                  </w:r>
                  <w:r>
                    <w:rPr>
                      <w:rFonts w:hint="eastAsia" w:cs="Times New Roman"/>
                      <w:color w:val="auto"/>
                      <w:sz w:val="21"/>
                      <w:szCs w:val="21"/>
                      <w:lang w:val="en-US" w:eastAsia="zh-CN"/>
                    </w:rPr>
                    <w:t>排放，</w:t>
                  </w:r>
                  <w:r>
                    <w:rPr>
                      <w:rFonts w:hint="eastAsia" w:ascii="Times New Roman" w:hAnsi="Times New Roman" w:eastAsia="宋体" w:cs="Times New Roman"/>
                      <w:color w:val="auto"/>
                      <w:sz w:val="21"/>
                      <w:szCs w:val="21"/>
                      <w:lang w:val="en-US" w:eastAsia="zh-CN"/>
                    </w:rPr>
                    <w:t>磨头工序产生的粉尘经过吸气管加布袋除尘器处理</w:t>
                  </w:r>
                  <w:r>
                    <w:rPr>
                      <w:rFonts w:hint="eastAsia" w:cs="Times New Roman"/>
                      <w:color w:val="auto"/>
                      <w:sz w:val="21"/>
                      <w:szCs w:val="21"/>
                      <w:lang w:val="en-US" w:eastAsia="zh-CN"/>
                    </w:rPr>
                    <w:t>排放，由于未进行验收及自行检测，暂无数据，项目</w:t>
                  </w:r>
                  <w:r>
                    <w:rPr>
                      <w:rFonts w:hint="eastAsia" w:ascii="Times New Roman" w:hAnsi="Times New Roman" w:eastAsia="宋体" w:cs="Times New Roman"/>
                      <w:color w:val="auto"/>
                      <w:sz w:val="21"/>
                      <w:szCs w:val="21"/>
                      <w:lang w:val="en-US" w:eastAsia="zh-CN"/>
                    </w:rPr>
                    <w:t>植绒车间</w:t>
                  </w:r>
                  <w:r>
                    <w:rPr>
                      <w:rFonts w:hint="eastAsia" w:cs="Times New Roman"/>
                      <w:color w:val="auto"/>
                      <w:sz w:val="21"/>
                      <w:szCs w:val="21"/>
                      <w:lang w:val="en-US" w:eastAsia="zh-CN"/>
                    </w:rPr>
                    <w:t>50米</w:t>
                  </w:r>
                  <w:r>
                    <w:rPr>
                      <w:rFonts w:hint="eastAsia" w:ascii="Times New Roman" w:hAnsi="Times New Roman" w:eastAsia="宋体" w:cs="Times New Roman"/>
                      <w:color w:val="auto"/>
                      <w:sz w:val="21"/>
                      <w:szCs w:val="21"/>
                      <w:lang w:val="en-US" w:eastAsia="zh-CN"/>
                    </w:rPr>
                    <w:t>范围</w:t>
                  </w:r>
                  <w:r>
                    <w:rPr>
                      <w:rFonts w:hint="eastAsia" w:cs="Times New Roman"/>
                      <w:color w:val="auto"/>
                      <w:sz w:val="21"/>
                      <w:szCs w:val="21"/>
                      <w:lang w:val="en-US" w:eastAsia="zh-CN"/>
                    </w:rPr>
                    <w:t>，</w:t>
                  </w:r>
                  <w:r>
                    <w:rPr>
                      <w:rFonts w:hint="eastAsia" w:ascii="Times New Roman" w:hAnsi="Times New Roman" w:eastAsia="宋体" w:cs="Times New Roman"/>
                      <w:color w:val="auto"/>
                      <w:sz w:val="21"/>
                      <w:szCs w:val="21"/>
                      <w:lang w:val="en-US" w:eastAsia="zh-CN"/>
                    </w:rPr>
                    <w:t>加工车间</w:t>
                  </w:r>
                  <w:r>
                    <w:rPr>
                      <w:rFonts w:hint="eastAsia" w:cs="Times New Roman"/>
                      <w:color w:val="auto"/>
                      <w:sz w:val="21"/>
                      <w:szCs w:val="21"/>
                      <w:lang w:val="en-US" w:eastAsia="zh-CN"/>
                    </w:rPr>
                    <w:t>100米</w:t>
                  </w:r>
                  <w:r>
                    <w:rPr>
                      <w:rFonts w:hint="eastAsia" w:ascii="Times New Roman" w:hAnsi="Times New Roman" w:eastAsia="宋体" w:cs="Times New Roman"/>
                      <w:color w:val="auto"/>
                      <w:sz w:val="21"/>
                      <w:szCs w:val="21"/>
                      <w:lang w:val="en-US" w:eastAsia="zh-CN"/>
                    </w:rPr>
                    <w:t>内</w:t>
                  </w:r>
                  <w:r>
                    <w:rPr>
                      <w:rFonts w:hint="eastAsia" w:cs="Times New Roman"/>
                      <w:color w:val="auto"/>
                      <w:sz w:val="21"/>
                      <w:szCs w:val="21"/>
                      <w:lang w:val="en-US" w:eastAsia="zh-CN"/>
                    </w:rPr>
                    <w:t>未</w:t>
                  </w:r>
                  <w:r>
                    <w:rPr>
                      <w:rFonts w:hint="eastAsia" w:ascii="Times New Roman" w:hAnsi="Times New Roman" w:eastAsia="宋体" w:cs="Times New Roman"/>
                      <w:color w:val="auto"/>
                      <w:sz w:val="21"/>
                      <w:szCs w:val="21"/>
                      <w:lang w:val="en-US" w:eastAsia="zh-CN"/>
                    </w:rPr>
                    <w:t>规划、新建住宅、学校、医院等环境敏感目标</w:t>
                  </w:r>
                  <w:r>
                    <w:rPr>
                      <w:rFonts w:hint="eastAsia" w:cs="Times New Roman"/>
                      <w:color w:val="auto"/>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38" w:hRule="atLeast"/>
                <w:jc w:val="center"/>
              </w:trPr>
              <w:tc>
                <w:tcPr>
                  <w:tcW w:w="708"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噪声</w:t>
                  </w:r>
                </w:p>
              </w:tc>
              <w:tc>
                <w:tcPr>
                  <w:tcW w:w="4061"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严格按照环评中的平面布置图及提出的要求布设生产车间和生产设备，采用先进工艺和设备，并采取隔音降噪等措施，厂界噪声须达到《工业企业厂界环境噪声排放标准》(GB12348-2008)中3类标准，且不得降低环境敏感点声环境质量。</w:t>
                  </w:r>
                </w:p>
              </w:tc>
              <w:tc>
                <w:tcPr>
                  <w:tcW w:w="3110"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生产车间和生产设备，采用先进工艺和设备，并采取隔音降噪等措施</w:t>
                  </w:r>
                  <w:r>
                    <w:rPr>
                      <w:rFonts w:hint="eastAsia" w:cs="Times New Roman"/>
                      <w:color w:val="auto"/>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884" w:hRule="atLeast"/>
                <w:jc w:val="center"/>
              </w:trPr>
              <w:tc>
                <w:tcPr>
                  <w:tcW w:w="708"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固废</w:t>
                  </w:r>
                </w:p>
              </w:tc>
              <w:tc>
                <w:tcPr>
                  <w:tcW w:w="4061" w:type="dxa"/>
                  <w:noWrap w:val="0"/>
                  <w:vAlign w:val="center"/>
                </w:tcPr>
                <w:p>
                  <w:pPr>
                    <w:pageBreakBefore w:val="0"/>
                    <w:kinsoku/>
                    <w:wordWrap/>
                    <w:overflowPunct/>
                    <w:topLinePunct w:val="0"/>
                    <w:bidi w:val="0"/>
                    <w:adjustRightInd w:val="0"/>
                    <w:snapToGrid w:val="0"/>
                    <w:jc w:val="center"/>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按“减量化、资源化、无害化”的处置原则，落实各类固体废物特别是危险废物的收集、处置和综合利用措施，危险废物必须委托有资质单位安全处置，厂内危险废物暂存场所须符合《危险废物贮存污染控制标准》(GB18597-2001)要求，防止造成二次污染。</w:t>
                  </w:r>
                </w:p>
              </w:tc>
              <w:tc>
                <w:tcPr>
                  <w:tcW w:w="3110" w:type="dxa"/>
                  <w:noWrap w:val="0"/>
                  <w:vAlign w:val="center"/>
                </w:tcPr>
                <w:p>
                  <w:pPr>
                    <w:pageBreakBefore w:val="0"/>
                    <w:kinsoku/>
                    <w:wordWrap/>
                    <w:overflowPunct/>
                    <w:topLinePunct w:val="0"/>
                    <w:bidi w:val="0"/>
                    <w:adjustRightInd w:val="0"/>
                    <w:snapToGrid w:val="0"/>
                    <w:jc w:val="center"/>
                    <w:rPr>
                      <w:rFonts w:hint="default" w:ascii="Times New Roman" w:hAnsi="Times New Roman" w:eastAsia="宋体" w:cs="Times New Roman"/>
                      <w:color w:val="auto"/>
                      <w:sz w:val="21"/>
                      <w:szCs w:val="21"/>
                      <w:lang w:val="en-US" w:eastAsia="zh-CN"/>
                    </w:rPr>
                  </w:pPr>
                  <w:r>
                    <w:rPr>
                      <w:rFonts w:hint="eastAsia" w:cs="Times New Roman"/>
                      <w:color w:val="auto"/>
                      <w:sz w:val="21"/>
                      <w:szCs w:val="21"/>
                      <w:lang w:val="en-US" w:eastAsia="zh-CN"/>
                    </w:rPr>
                    <w:t>固废合理处置。</w:t>
                  </w:r>
                </w:p>
              </w:tc>
            </w:tr>
          </w:tbl>
          <w:p>
            <w:pPr>
              <w:autoSpaceDE w:val="0"/>
              <w:autoSpaceDN w:val="0"/>
              <w:adjustRightInd w:val="0"/>
              <w:snapToGrid w:val="0"/>
              <w:spacing w:line="360" w:lineRule="auto"/>
              <w:ind w:firstLine="482" w:firstLineChars="200"/>
              <w:rPr>
                <w:rFonts w:hint="eastAsia" w:cs="Times New Roman"/>
                <w:b/>
                <w:bCs/>
                <w:color w:val="auto"/>
                <w:kern w:val="0"/>
                <w:sz w:val="24"/>
                <w:szCs w:val="24"/>
                <w:highlight w:val="none"/>
                <w:lang w:val="en-US" w:eastAsia="zh-CN"/>
              </w:rPr>
            </w:pP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cs="Times New Roman"/>
                <w:b/>
                <w:bCs/>
                <w:color w:val="auto"/>
                <w:kern w:val="0"/>
                <w:sz w:val="24"/>
                <w:szCs w:val="24"/>
                <w:highlight w:val="none"/>
                <w:lang w:val="en-US" w:eastAsia="zh-CN"/>
              </w:rPr>
              <w:t>8</w:t>
            </w:r>
            <w:r>
              <w:rPr>
                <w:rFonts w:hint="eastAsia" w:ascii="Times New Roman" w:hAnsi="Times New Roman" w:eastAsia="宋体" w:cs="Times New Roman"/>
                <w:b/>
                <w:bCs/>
                <w:color w:val="auto"/>
                <w:kern w:val="0"/>
                <w:sz w:val="24"/>
                <w:szCs w:val="24"/>
                <w:highlight w:val="none"/>
                <w:lang w:val="en-US" w:eastAsia="zh-CN"/>
              </w:rPr>
              <w:t>、现有项目污染排放情况</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现有项目</w:t>
            </w:r>
            <w:r>
              <w:rPr>
                <w:rFonts w:hint="eastAsia" w:cs="Times New Roman"/>
                <w:color w:val="auto"/>
                <w:kern w:val="0"/>
                <w:sz w:val="24"/>
                <w:szCs w:val="24"/>
                <w:highlight w:val="none"/>
                <w:lang w:val="en-US" w:eastAsia="zh-CN"/>
              </w:rPr>
              <w:t>扩建后</w:t>
            </w:r>
            <w:r>
              <w:rPr>
                <w:rFonts w:hint="eastAsia" w:ascii="Times New Roman" w:hAnsi="Times New Roman" w:eastAsia="宋体" w:cs="Times New Roman"/>
                <w:color w:val="auto"/>
                <w:kern w:val="0"/>
                <w:sz w:val="24"/>
                <w:szCs w:val="24"/>
                <w:highlight w:val="none"/>
                <w:lang w:val="en-US" w:eastAsia="zh-CN"/>
              </w:rPr>
              <w:t>尚未验收及监测</w:t>
            </w:r>
            <w:r>
              <w:rPr>
                <w:rFonts w:hint="eastAsia" w:eastAsia="宋体" w:cs="Times New Roman"/>
                <w:color w:val="auto"/>
                <w:kern w:val="0"/>
                <w:sz w:val="24"/>
                <w:szCs w:val="24"/>
                <w:highlight w:val="none"/>
                <w:lang w:val="en-US" w:eastAsia="zh-CN"/>
              </w:rPr>
              <w:t>，扩建前“</w:t>
            </w:r>
            <w:r>
              <w:rPr>
                <w:rFonts w:hint="eastAsia" w:ascii="Times New Roman" w:hAnsi="Times New Roman" w:eastAsia="宋体" w:cs="Times New Roman"/>
                <w:color w:val="auto"/>
                <w:kern w:val="0"/>
                <w:sz w:val="24"/>
                <w:szCs w:val="24"/>
                <w:highlight w:val="none"/>
                <w:lang w:val="en-US" w:eastAsia="zh-CN"/>
              </w:rPr>
              <w:t>新建滚筒刷生产项目</w:t>
            </w:r>
            <w:r>
              <w:rPr>
                <w:rFonts w:hint="eastAsia" w:eastAsia="宋体" w:cs="Times New Roman"/>
                <w:color w:val="auto"/>
                <w:kern w:val="0"/>
                <w:sz w:val="24"/>
                <w:szCs w:val="24"/>
                <w:highlight w:val="none"/>
                <w:lang w:val="en-US" w:eastAsia="zh-CN"/>
              </w:rPr>
              <w:t>”验收检测数据如下：</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 xml:space="preserve">根据新建滚筒刷生产项目验收监测报告—（2017）恒安（验）字第（016）号，现有项目产生的粉尘废气排放监测结果见下表： </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w:t>
            </w:r>
            <w:r>
              <w:rPr>
                <w:rFonts w:hint="eastAsia" w:cs="Times New Roman"/>
                <w:b/>
                <w:color w:val="auto"/>
                <w:sz w:val="24"/>
                <w:szCs w:val="24"/>
                <w:highlight w:val="none"/>
                <w:lang w:val="en-US" w:eastAsia="zh-CN"/>
              </w:rPr>
              <w:t>2-13.1</w:t>
            </w:r>
            <w:r>
              <w:rPr>
                <w:rFonts w:hint="eastAsia" w:ascii="Times New Roman" w:hAnsi="Times New Roman" w:eastAsia="宋体" w:cs="Times New Roman"/>
                <w:b/>
                <w:color w:val="auto"/>
                <w:sz w:val="24"/>
                <w:szCs w:val="24"/>
                <w:highlight w:val="none"/>
                <w:lang w:val="en-US" w:eastAsia="zh-CN"/>
              </w:rPr>
              <w:t xml:space="preserve">  有组织排放监测结果</w:t>
            </w:r>
          </w:p>
          <w:tbl>
            <w:tblPr>
              <w:tblStyle w:val="25"/>
              <w:tblW w:w="786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
            <w:tblGrid>
              <w:gridCol w:w="1169"/>
              <w:gridCol w:w="701"/>
              <w:gridCol w:w="620"/>
              <w:gridCol w:w="1241"/>
              <w:gridCol w:w="1192"/>
              <w:gridCol w:w="1149"/>
              <w:gridCol w:w="1172"/>
              <w:gridCol w:w="62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采样地点</w:t>
                  </w:r>
                </w:p>
              </w:tc>
              <w:tc>
                <w:tcPr>
                  <w:tcW w:w="701" w:type="dxa"/>
                  <w:noWrap w:val="0"/>
                  <w:tcMar>
                    <w:top w:w="0" w:type="dxa"/>
                    <w:left w:w="0" w:type="dxa"/>
                    <w:bottom w:w="0" w:type="dxa"/>
                    <w:right w:w="0" w:type="dxa"/>
                  </w:tcMar>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监测</w:t>
                  </w:r>
                </w:p>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项目</w:t>
                  </w:r>
                </w:p>
              </w:tc>
              <w:tc>
                <w:tcPr>
                  <w:tcW w:w="620"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监测</w:t>
                  </w:r>
                </w:p>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时间</w:t>
                  </w:r>
                </w:p>
              </w:tc>
              <w:tc>
                <w:tcPr>
                  <w:tcW w:w="1241"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监测</w:t>
                  </w:r>
                </w:p>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频次</w:t>
                  </w:r>
                </w:p>
              </w:tc>
              <w:tc>
                <w:tcPr>
                  <w:tcW w:w="1192" w:type="dxa"/>
                  <w:noWrap w:val="0"/>
                  <w:vAlign w:val="center"/>
                </w:tcPr>
                <w:p>
                  <w:pPr>
                    <w:widowControl/>
                    <w:spacing w:line="240" w:lineRule="auto"/>
                    <w:ind w:firstLine="0" w:firstLineChars="0"/>
                    <w:jc w:val="center"/>
                    <w:rPr>
                      <w:rFonts w:ascii="Times New Roman" w:hAnsi="Times New Roman" w:eastAsia="宋体"/>
                      <w:b/>
                      <w:color w:val="auto"/>
                      <w:spacing w:val="-20"/>
                      <w:sz w:val="21"/>
                      <w:szCs w:val="21"/>
                    </w:rPr>
                  </w:pPr>
                  <w:r>
                    <w:rPr>
                      <w:rFonts w:ascii="Times New Roman" w:hAnsi="Times New Roman" w:eastAsia="宋体"/>
                      <w:b/>
                      <w:color w:val="auto"/>
                      <w:spacing w:val="-20"/>
                      <w:sz w:val="21"/>
                      <w:szCs w:val="21"/>
                    </w:rPr>
                    <w:t>平均标干流量（m</w:t>
                  </w:r>
                  <w:r>
                    <w:rPr>
                      <w:rFonts w:ascii="Times New Roman" w:hAnsi="Times New Roman" w:eastAsia="宋体"/>
                      <w:b/>
                      <w:color w:val="auto"/>
                      <w:spacing w:val="-20"/>
                      <w:sz w:val="21"/>
                      <w:szCs w:val="21"/>
                      <w:vertAlign w:val="superscript"/>
                    </w:rPr>
                    <w:t>3</w:t>
                  </w:r>
                  <w:r>
                    <w:rPr>
                      <w:rFonts w:ascii="Times New Roman" w:hAnsi="Times New Roman" w:eastAsia="宋体"/>
                      <w:b/>
                      <w:color w:val="auto"/>
                      <w:spacing w:val="-20"/>
                      <w:sz w:val="21"/>
                      <w:szCs w:val="21"/>
                    </w:rPr>
                    <w:t>/h）</w:t>
                  </w:r>
                </w:p>
              </w:tc>
              <w:tc>
                <w:tcPr>
                  <w:tcW w:w="1149"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排放浓度</w:t>
                  </w:r>
                </w:p>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（mg/m</w:t>
                  </w:r>
                  <w:r>
                    <w:rPr>
                      <w:rFonts w:ascii="Times New Roman" w:hAnsi="Times New Roman" w:eastAsia="宋体"/>
                      <w:b/>
                      <w:color w:val="auto"/>
                      <w:sz w:val="21"/>
                      <w:szCs w:val="21"/>
                      <w:vertAlign w:val="superscript"/>
                    </w:rPr>
                    <w:t>3</w:t>
                  </w:r>
                  <w:r>
                    <w:rPr>
                      <w:rFonts w:ascii="Times New Roman" w:hAnsi="Times New Roman" w:eastAsia="宋体"/>
                      <w:b/>
                      <w:color w:val="auto"/>
                      <w:sz w:val="21"/>
                      <w:szCs w:val="21"/>
                    </w:rPr>
                    <w:t>）</w:t>
                  </w:r>
                </w:p>
              </w:tc>
              <w:tc>
                <w:tcPr>
                  <w:tcW w:w="1172"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排放速率</w:t>
                  </w:r>
                </w:p>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（kg/h）</w:t>
                  </w:r>
                </w:p>
              </w:tc>
              <w:tc>
                <w:tcPr>
                  <w:tcW w:w="624" w:type="dxa"/>
                  <w:noWrap w:val="0"/>
                  <w:vAlign w:val="center"/>
                </w:tcPr>
                <w:p>
                  <w:pPr>
                    <w:widowControl/>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车间废气排气筒Q1</w:t>
                  </w:r>
                </w:p>
              </w:tc>
              <w:tc>
                <w:tcPr>
                  <w:tcW w:w="701"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颗粒物</w:t>
                  </w:r>
                </w:p>
              </w:tc>
              <w:tc>
                <w:tcPr>
                  <w:tcW w:w="620"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2017.02.07</w:t>
                  </w: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第一次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2207</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1.7</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0.0038</w:t>
                  </w:r>
                </w:p>
              </w:tc>
              <w:tc>
                <w:tcPr>
                  <w:tcW w:w="624"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排气筒高15米</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701"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620"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第二次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2138</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2.5</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0.0053</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701"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620"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第三次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2039</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1.9</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0.0039</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701"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620"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2017.02.08</w:t>
                  </w: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第一次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2084</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1.6</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0.0033</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701"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620"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第二次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1977</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2.2</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0.0043</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701"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620"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1241"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第三次</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1932</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2.1</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0.0041</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2562" w:type="dxa"/>
                  <w:gridSpan w:val="3"/>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均值</w:t>
                  </w:r>
                </w:p>
              </w:tc>
              <w:tc>
                <w:tcPr>
                  <w:tcW w:w="119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2063</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w:t>
                  </w:r>
                </w:p>
              </w:tc>
              <w:tc>
                <w:tcPr>
                  <w:tcW w:w="1172"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0.0041</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3754" w:type="dxa"/>
                  <w:gridSpan w:val="4"/>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执行标准</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120</w:t>
                  </w:r>
                </w:p>
              </w:tc>
              <w:tc>
                <w:tcPr>
                  <w:tcW w:w="117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3.5</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57" w:type="dxa"/>
                  <w:left w:w="74" w:type="dxa"/>
                  <w:bottom w:w="57" w:type="dxa"/>
                  <w:right w:w="74" w:type="dxa"/>
                </w:tblCellMar>
              </w:tblPrEx>
              <w:trPr>
                <w:cantSplit/>
                <w:trHeight w:val="227" w:hRule="atLeast"/>
                <w:jc w:val="center"/>
              </w:trPr>
              <w:tc>
                <w:tcPr>
                  <w:tcW w:w="1169"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c>
                <w:tcPr>
                  <w:tcW w:w="3754" w:type="dxa"/>
                  <w:gridSpan w:val="4"/>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达标情况</w:t>
                  </w:r>
                </w:p>
              </w:tc>
              <w:tc>
                <w:tcPr>
                  <w:tcW w:w="1149"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w:t>
                  </w:r>
                </w:p>
              </w:tc>
              <w:tc>
                <w:tcPr>
                  <w:tcW w:w="1172" w:type="dxa"/>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w:t>
                  </w:r>
                </w:p>
              </w:tc>
              <w:tc>
                <w:tcPr>
                  <w:tcW w:w="624" w:type="dxa"/>
                  <w:vMerge w:val="continue"/>
                  <w:noWrap w:val="0"/>
                  <w:vAlign w:val="center"/>
                </w:tcPr>
                <w:p>
                  <w:pPr>
                    <w:widowControl/>
                    <w:spacing w:line="240" w:lineRule="auto"/>
                    <w:ind w:firstLine="0" w:firstLineChars="0"/>
                    <w:jc w:val="center"/>
                    <w:rPr>
                      <w:rFonts w:ascii="Times New Roman" w:hAnsi="Times New Roman" w:eastAsia="宋体"/>
                      <w:color w:val="auto"/>
                      <w:sz w:val="21"/>
                      <w:szCs w:val="21"/>
                    </w:rPr>
                  </w:pPr>
                </w:p>
              </w:tc>
            </w:tr>
          </w:tbl>
          <w:p>
            <w:pPr>
              <w:ind w:firstLine="480"/>
              <w:rPr>
                <w:color w:val="auto"/>
                <w:szCs w:val="24"/>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w:t>
            </w:r>
            <w:r>
              <w:rPr>
                <w:rFonts w:hint="eastAsia" w:cs="Times New Roman"/>
                <w:b/>
                <w:color w:val="auto"/>
                <w:sz w:val="24"/>
                <w:szCs w:val="24"/>
                <w:highlight w:val="none"/>
                <w:lang w:val="en-US" w:eastAsia="zh-CN"/>
              </w:rPr>
              <w:t xml:space="preserve">2-13.2 </w:t>
            </w:r>
            <w:r>
              <w:rPr>
                <w:rFonts w:hint="eastAsia" w:ascii="Times New Roman" w:hAnsi="Times New Roman" w:eastAsia="宋体" w:cs="Times New Roman"/>
                <w:b/>
                <w:color w:val="auto"/>
                <w:sz w:val="24"/>
                <w:szCs w:val="24"/>
                <w:highlight w:val="none"/>
                <w:lang w:val="en-US" w:eastAsia="zh-CN"/>
              </w:rPr>
              <w:t>粉尘无组织废气排放监测结果</w:t>
            </w:r>
            <w:r>
              <w:rPr>
                <w:rFonts w:hint="eastAsia" w:cs="Times New Roman"/>
                <w:b/>
                <w:color w:val="auto"/>
                <w:sz w:val="24"/>
                <w:szCs w:val="24"/>
                <w:highlight w:val="none"/>
                <w:lang w:val="en-US" w:eastAsia="zh-CN"/>
              </w:rPr>
              <w:t xml:space="preserve"> </w:t>
            </w:r>
            <w:r>
              <w:rPr>
                <w:rFonts w:hint="eastAsia" w:ascii="Times New Roman" w:hAnsi="Times New Roman" w:eastAsia="宋体" w:cs="Times New Roman"/>
                <w:b/>
                <w:color w:val="auto"/>
                <w:sz w:val="24"/>
                <w:szCs w:val="24"/>
                <w:highlight w:val="none"/>
                <w:lang w:val="en-US" w:eastAsia="zh-CN"/>
              </w:rPr>
              <w:t>单位：mg/m</w:t>
            </w:r>
            <w:r>
              <w:rPr>
                <w:rFonts w:hint="eastAsia" w:ascii="Times New Roman" w:hAnsi="Times New Roman" w:eastAsia="宋体" w:cs="Times New Roman"/>
                <w:b/>
                <w:color w:val="auto"/>
                <w:sz w:val="24"/>
                <w:szCs w:val="24"/>
                <w:highlight w:val="none"/>
                <w:vertAlign w:val="superscript"/>
                <w:lang w:val="en-US" w:eastAsia="zh-CN"/>
              </w:rPr>
              <w:t>3</w:t>
            </w:r>
          </w:p>
          <w:tbl>
            <w:tblPr>
              <w:tblStyle w:val="25"/>
              <w:tblW w:w="786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1329"/>
              <w:gridCol w:w="1329"/>
              <w:gridCol w:w="1329"/>
              <w:gridCol w:w="1329"/>
              <w:gridCol w:w="11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vMerge w:val="restart"/>
                  <w:noWrap w:val="0"/>
                  <w:vAlign w:val="center"/>
                </w:tcPr>
                <w:p>
                  <w:pPr>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监测点位</w:t>
                  </w:r>
                </w:p>
              </w:tc>
              <w:tc>
                <w:tcPr>
                  <w:tcW w:w="1329" w:type="dxa"/>
                  <w:vMerge w:val="restart"/>
                  <w:noWrap w:val="0"/>
                  <w:vAlign w:val="center"/>
                </w:tcPr>
                <w:p>
                  <w:pPr>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监测日期</w:t>
                  </w:r>
                </w:p>
              </w:tc>
              <w:tc>
                <w:tcPr>
                  <w:tcW w:w="3987" w:type="dxa"/>
                  <w:gridSpan w:val="3"/>
                  <w:noWrap w:val="0"/>
                  <w:vAlign w:val="center"/>
                </w:tcPr>
                <w:p>
                  <w:pPr>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颗粒物（mg/m</w:t>
                  </w:r>
                  <w:r>
                    <w:rPr>
                      <w:rFonts w:ascii="Times New Roman" w:hAnsi="Times New Roman" w:eastAsia="宋体"/>
                      <w:b/>
                      <w:color w:val="auto"/>
                      <w:sz w:val="21"/>
                      <w:szCs w:val="21"/>
                      <w:vertAlign w:val="superscript"/>
                    </w:rPr>
                    <w:t>3</w:t>
                  </w:r>
                  <w:r>
                    <w:rPr>
                      <w:rFonts w:ascii="Times New Roman" w:hAnsi="Times New Roman" w:eastAsia="宋体"/>
                      <w:b/>
                      <w:color w:val="auto"/>
                      <w:sz w:val="21"/>
                      <w:szCs w:val="21"/>
                    </w:rPr>
                    <w:t>）</w:t>
                  </w:r>
                </w:p>
              </w:tc>
              <w:tc>
                <w:tcPr>
                  <w:tcW w:w="1125" w:type="dxa"/>
                  <w:noWrap w:val="0"/>
                  <w:vAlign w:val="center"/>
                </w:tcPr>
                <w:p>
                  <w:pPr>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1</w:t>
                  </w:r>
                </w:p>
              </w:tc>
              <w:tc>
                <w:tcPr>
                  <w:tcW w:w="1329"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w:t>
                  </w:r>
                </w:p>
              </w:tc>
              <w:tc>
                <w:tcPr>
                  <w:tcW w:w="1329"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3</w:t>
                  </w:r>
                </w:p>
              </w:tc>
              <w:tc>
                <w:tcPr>
                  <w:tcW w:w="1125" w:type="dxa"/>
                  <w:vMerge w:val="restart"/>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上风向G1</w:t>
                  </w:r>
                </w:p>
              </w:tc>
              <w:tc>
                <w:tcPr>
                  <w:tcW w:w="1329"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2017.02.07</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0.118</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0.135</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0.101</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下风向G2</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0.152</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0.152</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0.101</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下风向G3</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0.118</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0.152</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0.135</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下风向G4</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0.118</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0.169</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0.118</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上风向G1</w:t>
                  </w:r>
                </w:p>
              </w:tc>
              <w:tc>
                <w:tcPr>
                  <w:tcW w:w="1329" w:type="dxa"/>
                  <w:vMerge w:val="restart"/>
                  <w:noWrap w:val="0"/>
                  <w:vAlign w:val="center"/>
                </w:tcPr>
                <w:p>
                  <w:pPr>
                    <w:widowControl/>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2017.02.08</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0.117</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0.135</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0.117</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下风向G2</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0.151</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0.135</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0.117</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下风向G3</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0.134</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0.151</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0.101</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427"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下风向G4</w:t>
                  </w:r>
                </w:p>
              </w:tc>
              <w:tc>
                <w:tcPr>
                  <w:tcW w:w="1329"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0.134</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0.151</w:t>
                  </w:r>
                </w:p>
              </w:tc>
              <w:tc>
                <w:tcPr>
                  <w:tcW w:w="1329"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0.117</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756" w:type="dxa"/>
                  <w:gridSpan w:val="2"/>
                  <w:noWrap w:val="0"/>
                  <w:vAlign w:val="center"/>
                </w:tcPr>
                <w:p>
                  <w:pPr>
                    <w:tabs>
                      <w:tab w:val="left" w:pos="3163"/>
                    </w:tabs>
                    <w:snapToGrid w:val="0"/>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Cs/>
                      <w:color w:val="auto"/>
                      <w:sz w:val="21"/>
                      <w:szCs w:val="21"/>
                    </w:rPr>
                    <w:t>最大浓度</w:t>
                  </w:r>
                </w:p>
              </w:tc>
              <w:tc>
                <w:tcPr>
                  <w:tcW w:w="3987" w:type="dxa"/>
                  <w:gridSpan w:val="3"/>
                  <w:noWrap w:val="0"/>
                  <w:vAlign w:val="center"/>
                </w:tcPr>
                <w:p>
                  <w:pPr>
                    <w:tabs>
                      <w:tab w:val="left" w:pos="3163"/>
                    </w:tabs>
                    <w:snapToGrid w:val="0"/>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color w:val="auto"/>
                      <w:sz w:val="21"/>
                      <w:szCs w:val="21"/>
                    </w:rPr>
                    <w:t>0.169</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756" w:type="dxa"/>
                  <w:gridSpan w:val="2"/>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标准值</w:t>
                  </w:r>
                </w:p>
              </w:tc>
              <w:tc>
                <w:tcPr>
                  <w:tcW w:w="3987" w:type="dxa"/>
                  <w:gridSpan w:val="3"/>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kern w:val="0"/>
                      <w:sz w:val="21"/>
                      <w:szCs w:val="21"/>
                    </w:rPr>
                    <w:t>1.0</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2756" w:type="dxa"/>
                  <w:gridSpan w:val="2"/>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达标情况</w:t>
                  </w:r>
                </w:p>
              </w:tc>
              <w:tc>
                <w:tcPr>
                  <w:tcW w:w="3987" w:type="dxa"/>
                  <w:gridSpan w:val="3"/>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w:t>
                  </w:r>
                </w:p>
              </w:tc>
              <w:tc>
                <w:tcPr>
                  <w:tcW w:w="1125" w:type="dxa"/>
                  <w:vMerge w:val="continue"/>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p>
              </w:tc>
            </w:tr>
          </w:tbl>
          <w:p>
            <w:pPr>
              <w:rPr>
                <w:color w:val="auto"/>
                <w:szCs w:val="24"/>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w:t>
            </w:r>
            <w:r>
              <w:rPr>
                <w:rFonts w:hint="eastAsia" w:cs="Times New Roman"/>
                <w:b/>
                <w:color w:val="auto"/>
                <w:sz w:val="24"/>
                <w:szCs w:val="24"/>
                <w:highlight w:val="none"/>
                <w:lang w:val="en-US" w:eastAsia="zh-CN"/>
              </w:rPr>
              <w:t xml:space="preserve">2-13.3 </w:t>
            </w:r>
            <w:r>
              <w:rPr>
                <w:rFonts w:hint="eastAsia" w:ascii="Times New Roman" w:hAnsi="Times New Roman" w:eastAsia="宋体" w:cs="Times New Roman"/>
                <w:b/>
                <w:color w:val="auto"/>
                <w:sz w:val="24"/>
                <w:szCs w:val="24"/>
                <w:highlight w:val="none"/>
                <w:lang w:val="en-US" w:eastAsia="zh-CN"/>
              </w:rPr>
              <w:t>废水监测结果   单位：mg/L，（pH值无量纲）</w:t>
            </w:r>
          </w:p>
          <w:tbl>
            <w:tblPr>
              <w:tblStyle w:val="25"/>
              <w:tblW w:w="7868" w:type="dxa"/>
              <w:jc w:val="center"/>
              <w:tblInd w:w="0" w:type="dxa"/>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
            <w:tblGrid>
              <w:gridCol w:w="715"/>
              <w:gridCol w:w="715"/>
              <w:gridCol w:w="715"/>
              <w:gridCol w:w="715"/>
              <w:gridCol w:w="715"/>
              <w:gridCol w:w="715"/>
              <w:gridCol w:w="715"/>
              <w:gridCol w:w="715"/>
              <w:gridCol w:w="716"/>
              <w:gridCol w:w="716"/>
              <w:gridCol w:w="716"/>
            </w:tblGrid>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restart"/>
                  <w:noWrap w:val="0"/>
                  <w:vAlign w:val="center"/>
                </w:tcPr>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采样</w:t>
                  </w:r>
                </w:p>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地点</w:t>
                  </w:r>
                </w:p>
              </w:tc>
              <w:tc>
                <w:tcPr>
                  <w:tcW w:w="715" w:type="dxa"/>
                  <w:vMerge w:val="restart"/>
                  <w:noWrap w:val="0"/>
                  <w:vAlign w:val="center"/>
                </w:tcPr>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监测项目</w:t>
                  </w:r>
                </w:p>
              </w:tc>
              <w:tc>
                <w:tcPr>
                  <w:tcW w:w="715" w:type="dxa"/>
                  <w:vMerge w:val="restart"/>
                  <w:noWrap w:val="0"/>
                  <w:vAlign w:val="center"/>
                </w:tcPr>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单位</w:t>
                  </w:r>
                </w:p>
              </w:tc>
              <w:tc>
                <w:tcPr>
                  <w:tcW w:w="4291" w:type="dxa"/>
                  <w:gridSpan w:val="6"/>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b/>
                      <w:color w:val="auto"/>
                      <w:sz w:val="21"/>
                      <w:szCs w:val="21"/>
                    </w:rPr>
                    <w:t>监测结果</w:t>
                  </w:r>
                </w:p>
              </w:tc>
              <w:tc>
                <w:tcPr>
                  <w:tcW w:w="716" w:type="dxa"/>
                  <w:vMerge w:val="restart"/>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hint="eastAsia" w:ascii="Times New Roman" w:hAnsi="Times New Roman" w:eastAsia="宋体"/>
                      <w:b/>
                      <w:color w:val="auto"/>
                      <w:kern w:val="0"/>
                      <w:sz w:val="21"/>
                      <w:szCs w:val="21"/>
                    </w:rPr>
                    <w:t>执行标准</w:t>
                  </w:r>
                </w:p>
              </w:tc>
              <w:tc>
                <w:tcPr>
                  <w:tcW w:w="716" w:type="dxa"/>
                  <w:vMerge w:val="restart"/>
                  <w:noWrap w:val="0"/>
                  <w:vAlign w:val="center"/>
                </w:tcPr>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结果</w:t>
                  </w:r>
                </w:p>
                <w:p>
                  <w:pPr>
                    <w:tabs>
                      <w:tab w:val="left" w:pos="3163"/>
                    </w:tabs>
                    <w:spacing w:line="240" w:lineRule="auto"/>
                    <w:ind w:firstLine="0" w:firstLineChars="0"/>
                    <w:contextualSpacing/>
                    <w:jc w:val="center"/>
                    <w:rPr>
                      <w:rFonts w:ascii="Times New Roman" w:hAnsi="Times New Roman" w:eastAsia="宋体"/>
                      <w:b/>
                      <w:color w:val="auto"/>
                      <w:sz w:val="21"/>
                      <w:szCs w:val="21"/>
                    </w:rPr>
                  </w:pPr>
                  <w:r>
                    <w:rPr>
                      <w:rFonts w:ascii="Times New Roman" w:hAnsi="Times New Roman" w:eastAsia="宋体"/>
                      <w:b/>
                      <w:color w:val="auto"/>
                      <w:sz w:val="21"/>
                      <w:szCs w:val="21"/>
                    </w:rPr>
                    <w:t>评价</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2145" w:type="dxa"/>
                  <w:gridSpan w:val="3"/>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2017.02.07</w:t>
                  </w:r>
                </w:p>
              </w:tc>
              <w:tc>
                <w:tcPr>
                  <w:tcW w:w="2146" w:type="dxa"/>
                  <w:gridSpan w:val="3"/>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2017.02.08</w:t>
                  </w:r>
                </w:p>
              </w:tc>
              <w:tc>
                <w:tcPr>
                  <w:tcW w:w="716" w:type="dxa"/>
                  <w:vMerge w:val="continue"/>
                  <w:noWrap w:val="0"/>
                  <w:vAlign w:val="center"/>
                </w:tcPr>
                <w:p>
                  <w:pPr>
                    <w:spacing w:line="240" w:lineRule="auto"/>
                    <w:ind w:firstLine="0" w:firstLineChars="0"/>
                    <w:jc w:val="center"/>
                    <w:rPr>
                      <w:rFonts w:ascii="Times New Roman" w:hAnsi="Times New Roman" w:eastAsia="宋体"/>
                      <w:color w:val="auto"/>
                      <w:kern w:val="0"/>
                      <w:sz w:val="21"/>
                      <w:szCs w:val="21"/>
                    </w:rPr>
                  </w:pPr>
                </w:p>
              </w:tc>
              <w:tc>
                <w:tcPr>
                  <w:tcW w:w="716" w:type="dxa"/>
                  <w:vMerge w:val="continue"/>
                  <w:noWrap w:val="0"/>
                  <w:vAlign w:val="center"/>
                </w:tcPr>
                <w:p>
                  <w:pPr>
                    <w:spacing w:line="240" w:lineRule="auto"/>
                    <w:ind w:firstLine="0" w:firstLineChars="0"/>
                    <w:jc w:val="center"/>
                    <w:rPr>
                      <w:rFonts w:ascii="Times New Roman" w:hAnsi="Times New Roman" w:eastAsia="宋体"/>
                      <w:color w:val="auto"/>
                      <w:kern w:val="0"/>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1</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2</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3</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1</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2</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3</w:t>
                  </w:r>
                </w:p>
              </w:tc>
              <w:tc>
                <w:tcPr>
                  <w:tcW w:w="716" w:type="dxa"/>
                  <w:vMerge w:val="continue"/>
                  <w:noWrap w:val="0"/>
                  <w:vAlign w:val="center"/>
                </w:tcPr>
                <w:p>
                  <w:pPr>
                    <w:spacing w:line="240" w:lineRule="auto"/>
                    <w:ind w:firstLine="0" w:firstLineChars="0"/>
                    <w:jc w:val="center"/>
                    <w:rPr>
                      <w:rFonts w:ascii="Times New Roman" w:hAnsi="Times New Roman" w:eastAsia="宋体"/>
                      <w:color w:val="auto"/>
                      <w:kern w:val="0"/>
                      <w:sz w:val="21"/>
                      <w:szCs w:val="21"/>
                    </w:rPr>
                  </w:pPr>
                </w:p>
              </w:tc>
              <w:tc>
                <w:tcPr>
                  <w:tcW w:w="716" w:type="dxa"/>
                  <w:vMerge w:val="continue"/>
                  <w:noWrap w:val="0"/>
                  <w:vAlign w:val="center"/>
                </w:tcPr>
                <w:p>
                  <w:pPr>
                    <w:spacing w:line="240" w:lineRule="auto"/>
                    <w:ind w:firstLine="0" w:firstLineChars="0"/>
                    <w:jc w:val="center"/>
                    <w:rPr>
                      <w:rFonts w:ascii="Times New Roman" w:hAnsi="Times New Roman" w:eastAsia="宋体"/>
                      <w:color w:val="auto"/>
                      <w:kern w:val="0"/>
                      <w:sz w:val="21"/>
                      <w:szCs w:val="21"/>
                    </w:rPr>
                  </w:pP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restart"/>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废水总排口W1</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pH值</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ascii="Times New Roman" w:hAnsi="Times New Roman" w:eastAsia="宋体"/>
                      <w:color w:val="auto"/>
                      <w:sz w:val="21"/>
                      <w:szCs w:val="21"/>
                    </w:rPr>
                    <w:t>无量纲</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7.55</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7.60</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7.63</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7.51</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7.53</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7.58</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6~9</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bookmarkStart w:id="2" w:name="OLE_LINK7"/>
                  <w:r>
                    <w:rPr>
                      <w:rFonts w:hint="eastAsia" w:ascii="Times New Roman" w:hAnsi="Times New Roman" w:eastAsia="宋体"/>
                      <w:color w:val="auto"/>
                      <w:sz w:val="21"/>
                      <w:szCs w:val="21"/>
                    </w:rPr>
                    <w:t>达标</w:t>
                  </w:r>
                  <w:bookmarkEnd w:id="2"/>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化学需氧量</w:t>
                  </w: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mg/L</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112</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121</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119</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119</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111</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115</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500</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悬浮物</w:t>
                  </w: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mg/L</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15</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10</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18</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12</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17</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13</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400</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氨氮</w:t>
                  </w: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mg/L</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14.2</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15.5</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16.0</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14.4</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15.6</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16.6</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45</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达标</w:t>
                  </w:r>
                </w:p>
              </w:tc>
            </w:tr>
            <w:tr>
              <w:tblPrEx>
                <w:tblBorders>
                  <w:top w:val="single" w:color="000000" w:sz="12" w:space="0"/>
                  <w:left w:val="none" w:color="auto" w:sz="0" w:space="0"/>
                  <w:bottom w:val="single" w:color="000000" w:sz="12" w:space="0"/>
                  <w:right w:val="none" w:color="auto" w:sz="0" w:space="0"/>
                  <w:insideH w:val="single" w:color="000000" w:sz="4" w:space="0"/>
                  <w:insideV w:val="single" w:color="000000" w:sz="4" w:space="0"/>
                </w:tblBorders>
                <w:tblLayout w:type="fixed"/>
                <w:tblCellMar>
                  <w:top w:w="0" w:type="dxa"/>
                  <w:left w:w="108" w:type="dxa"/>
                  <w:bottom w:w="0" w:type="dxa"/>
                  <w:right w:w="108" w:type="dxa"/>
                </w:tblCellMar>
              </w:tblPrEx>
              <w:trPr>
                <w:jc w:val="center"/>
              </w:trPr>
              <w:tc>
                <w:tcPr>
                  <w:tcW w:w="715" w:type="dxa"/>
                  <w:vMerge w:val="continue"/>
                  <w:noWrap w:val="0"/>
                  <w:vAlign w:val="center"/>
                </w:tcPr>
                <w:p>
                  <w:pPr>
                    <w:spacing w:line="240" w:lineRule="auto"/>
                    <w:ind w:firstLine="0" w:firstLineChars="0"/>
                    <w:jc w:val="center"/>
                    <w:rPr>
                      <w:rFonts w:ascii="Times New Roman" w:hAnsi="Times New Roman" w:eastAsia="宋体"/>
                      <w:b/>
                      <w:color w:val="auto"/>
                      <w:kern w:val="0"/>
                      <w:sz w:val="21"/>
                      <w:szCs w:val="21"/>
                    </w:rPr>
                  </w:pP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hint="eastAsia" w:ascii="Times New Roman" w:hAnsi="Times New Roman" w:eastAsia="宋体"/>
                      <w:color w:val="auto"/>
                      <w:sz w:val="21"/>
                      <w:szCs w:val="21"/>
                    </w:rPr>
                    <w:t>总磷</w:t>
                  </w:r>
                </w:p>
              </w:tc>
              <w:tc>
                <w:tcPr>
                  <w:tcW w:w="715" w:type="dxa"/>
                  <w:noWrap w:val="0"/>
                  <w:vAlign w:val="center"/>
                </w:tcPr>
                <w:p>
                  <w:pPr>
                    <w:spacing w:line="240" w:lineRule="auto"/>
                    <w:ind w:firstLine="0" w:firstLineChars="0"/>
                    <w:jc w:val="center"/>
                    <w:rPr>
                      <w:rFonts w:ascii="Times New Roman" w:hAnsi="Times New Roman" w:eastAsia="宋体"/>
                      <w:b/>
                      <w:color w:val="auto"/>
                      <w:kern w:val="0"/>
                      <w:sz w:val="21"/>
                      <w:szCs w:val="21"/>
                    </w:rPr>
                  </w:pPr>
                  <w:r>
                    <w:rPr>
                      <w:rFonts w:ascii="Times New Roman" w:hAnsi="Times New Roman" w:eastAsia="宋体"/>
                      <w:color w:val="auto"/>
                      <w:sz w:val="21"/>
                      <w:szCs w:val="21"/>
                    </w:rPr>
                    <w:t>mg/L</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2.68</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2.50</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2.53</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2.76</w:t>
                  </w:r>
                </w:p>
              </w:tc>
              <w:tc>
                <w:tcPr>
                  <w:tcW w:w="715"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2.44</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2.58</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8</w:t>
                  </w:r>
                </w:p>
              </w:tc>
              <w:tc>
                <w:tcPr>
                  <w:tcW w:w="716" w:type="dxa"/>
                  <w:noWrap w:val="0"/>
                  <w:vAlign w:val="center"/>
                </w:tcPr>
                <w:p>
                  <w:pPr>
                    <w:tabs>
                      <w:tab w:val="left" w:pos="3163"/>
                    </w:tabs>
                    <w:spacing w:line="240" w:lineRule="auto"/>
                    <w:ind w:firstLine="0" w:firstLineChars="0"/>
                    <w:contextualSpacing/>
                    <w:jc w:val="center"/>
                    <w:rPr>
                      <w:rFonts w:ascii="Times New Roman" w:hAnsi="Times New Roman" w:eastAsia="宋体"/>
                      <w:color w:val="auto"/>
                      <w:sz w:val="21"/>
                      <w:szCs w:val="21"/>
                    </w:rPr>
                  </w:pPr>
                  <w:r>
                    <w:rPr>
                      <w:rFonts w:hint="eastAsia" w:ascii="Times New Roman" w:hAnsi="Times New Roman" w:eastAsia="宋体"/>
                      <w:color w:val="auto"/>
                      <w:sz w:val="21"/>
                      <w:szCs w:val="21"/>
                    </w:rPr>
                    <w:t>达标</w:t>
                  </w:r>
                </w:p>
              </w:tc>
            </w:tr>
          </w:tbl>
          <w:p>
            <w:pPr>
              <w:pStyle w:val="14"/>
              <w:spacing w:line="240" w:lineRule="auto"/>
              <w:ind w:firstLine="422"/>
              <w:jc w:val="center"/>
              <w:rPr>
                <w:rFonts w:ascii="Times New Roman" w:hAnsi="Times New Roman"/>
                <w:b/>
                <w:color w:val="auto"/>
                <w:lang w:val="en-US" w:eastAsia="zh-CN"/>
              </w:rPr>
            </w:pP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eastAsia" w:ascii="Times New Roman" w:hAnsi="Times New Roman" w:eastAsia="宋体" w:cs="Times New Roman"/>
                <w:b/>
                <w:color w:val="auto"/>
                <w:sz w:val="24"/>
                <w:szCs w:val="24"/>
                <w:highlight w:val="none"/>
                <w:lang w:val="en-US" w:eastAsia="zh-CN"/>
              </w:rPr>
            </w:pPr>
            <w:r>
              <w:rPr>
                <w:rFonts w:hint="eastAsia" w:ascii="Times New Roman" w:hAnsi="Times New Roman" w:eastAsia="宋体" w:cs="Times New Roman"/>
                <w:b/>
                <w:color w:val="auto"/>
                <w:sz w:val="24"/>
                <w:szCs w:val="24"/>
                <w:highlight w:val="none"/>
                <w:lang w:val="en-US" w:eastAsia="zh-CN"/>
              </w:rPr>
              <w:t>表</w:t>
            </w:r>
            <w:r>
              <w:rPr>
                <w:rFonts w:hint="eastAsia" w:cs="Times New Roman"/>
                <w:b/>
                <w:color w:val="auto"/>
                <w:sz w:val="24"/>
                <w:szCs w:val="24"/>
                <w:highlight w:val="none"/>
                <w:lang w:val="en-US" w:eastAsia="zh-CN"/>
              </w:rPr>
              <w:t>2-13.4</w:t>
            </w:r>
            <w:r>
              <w:rPr>
                <w:rFonts w:hint="eastAsia" w:ascii="Times New Roman" w:hAnsi="Times New Roman" w:eastAsia="宋体" w:cs="Times New Roman"/>
                <w:b/>
                <w:color w:val="auto"/>
                <w:sz w:val="24"/>
                <w:szCs w:val="24"/>
                <w:highlight w:val="none"/>
                <w:lang w:val="en-US" w:eastAsia="zh-CN"/>
              </w:rPr>
              <w:t xml:space="preserve">  现有项目厂界噪声监测结果</w:t>
            </w:r>
          </w:p>
          <w:tbl>
            <w:tblPr>
              <w:tblStyle w:val="25"/>
              <w:tblW w:w="786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70"/>
              <w:gridCol w:w="1833"/>
              <w:gridCol w:w="2225"/>
              <w:gridCol w:w="214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670" w:type="dxa"/>
                  <w:vMerge w:val="restart"/>
                  <w:noWrap w:val="0"/>
                  <w:vAlign w:val="center"/>
                </w:tcPr>
                <w:p>
                  <w:pPr>
                    <w:tabs>
                      <w:tab w:val="left" w:pos="3163"/>
                    </w:tabs>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测点编号</w:t>
                  </w:r>
                </w:p>
              </w:tc>
              <w:tc>
                <w:tcPr>
                  <w:tcW w:w="1833" w:type="dxa"/>
                  <w:vMerge w:val="restart"/>
                  <w:noWrap w:val="0"/>
                  <w:vAlign w:val="center"/>
                </w:tcPr>
                <w:p>
                  <w:pPr>
                    <w:tabs>
                      <w:tab w:val="left" w:pos="3163"/>
                    </w:tabs>
                    <w:spacing w:line="240" w:lineRule="auto"/>
                    <w:ind w:firstLine="0" w:firstLineChars="0"/>
                    <w:jc w:val="center"/>
                    <w:rPr>
                      <w:rFonts w:ascii="Times New Roman" w:hAnsi="Times New Roman" w:eastAsia="宋体"/>
                      <w:b/>
                      <w:color w:val="auto"/>
                      <w:sz w:val="21"/>
                      <w:szCs w:val="21"/>
                    </w:rPr>
                  </w:pPr>
                  <w:r>
                    <w:rPr>
                      <w:rFonts w:ascii="Times New Roman" w:hAnsi="Times New Roman" w:eastAsia="宋体"/>
                      <w:b/>
                      <w:color w:val="auto"/>
                      <w:sz w:val="21"/>
                      <w:szCs w:val="21"/>
                    </w:rPr>
                    <w:t>测点位置</w:t>
                  </w:r>
                </w:p>
              </w:tc>
              <w:tc>
                <w:tcPr>
                  <w:tcW w:w="2225"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2017.02.07</w:t>
                  </w:r>
                </w:p>
              </w:tc>
              <w:tc>
                <w:tcPr>
                  <w:tcW w:w="2140" w:type="dxa"/>
                  <w:noWrap w:val="0"/>
                  <w:vAlign w:val="center"/>
                </w:tcPr>
                <w:p>
                  <w:pPr>
                    <w:tabs>
                      <w:tab w:val="left" w:pos="3163"/>
                    </w:tabs>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2017.02.08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74" w:hRule="atLeast"/>
                <w:jc w:val="center"/>
              </w:trPr>
              <w:tc>
                <w:tcPr>
                  <w:tcW w:w="1670" w:type="dxa"/>
                  <w:vMerge w:val="continue"/>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p>
              </w:tc>
              <w:tc>
                <w:tcPr>
                  <w:tcW w:w="1833" w:type="dxa"/>
                  <w:vMerge w:val="continue"/>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p>
              </w:tc>
              <w:tc>
                <w:tcPr>
                  <w:tcW w:w="2225"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昼间</w:t>
                  </w:r>
                </w:p>
              </w:tc>
              <w:tc>
                <w:tcPr>
                  <w:tcW w:w="214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昼间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67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N1</w:t>
                  </w:r>
                </w:p>
              </w:tc>
              <w:tc>
                <w:tcPr>
                  <w:tcW w:w="1833"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西厂界外1m</w:t>
                  </w:r>
                </w:p>
              </w:tc>
              <w:tc>
                <w:tcPr>
                  <w:tcW w:w="2225"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51.3</w:t>
                  </w:r>
                </w:p>
              </w:tc>
              <w:tc>
                <w:tcPr>
                  <w:tcW w:w="2140"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51.9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36" w:hRule="atLeast"/>
                <w:jc w:val="center"/>
              </w:trPr>
              <w:tc>
                <w:tcPr>
                  <w:tcW w:w="167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N2</w:t>
                  </w:r>
                </w:p>
              </w:tc>
              <w:tc>
                <w:tcPr>
                  <w:tcW w:w="1833"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南厂界外1m</w:t>
                  </w:r>
                </w:p>
              </w:tc>
              <w:tc>
                <w:tcPr>
                  <w:tcW w:w="2225"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53.1</w:t>
                  </w:r>
                </w:p>
              </w:tc>
              <w:tc>
                <w:tcPr>
                  <w:tcW w:w="2140"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53.4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36" w:hRule="atLeast"/>
                <w:jc w:val="center"/>
              </w:trPr>
              <w:tc>
                <w:tcPr>
                  <w:tcW w:w="167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N3</w:t>
                  </w:r>
                </w:p>
              </w:tc>
              <w:tc>
                <w:tcPr>
                  <w:tcW w:w="1833"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东厂界外1m</w:t>
                  </w:r>
                </w:p>
              </w:tc>
              <w:tc>
                <w:tcPr>
                  <w:tcW w:w="2225"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52.1</w:t>
                  </w:r>
                </w:p>
              </w:tc>
              <w:tc>
                <w:tcPr>
                  <w:tcW w:w="214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51.3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7" w:hRule="atLeast"/>
                <w:jc w:val="center"/>
              </w:trPr>
              <w:tc>
                <w:tcPr>
                  <w:tcW w:w="167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N4</w:t>
                  </w:r>
                </w:p>
              </w:tc>
              <w:tc>
                <w:tcPr>
                  <w:tcW w:w="1833"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北厂界外1m</w:t>
                  </w:r>
                </w:p>
              </w:tc>
              <w:tc>
                <w:tcPr>
                  <w:tcW w:w="2225"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50.4</w:t>
                  </w:r>
                </w:p>
              </w:tc>
              <w:tc>
                <w:tcPr>
                  <w:tcW w:w="2140" w:type="dxa"/>
                  <w:noWrap w:val="0"/>
                  <w:vAlign w:val="center"/>
                </w:tcPr>
                <w:p>
                  <w:pPr>
                    <w:snapToGrid w:val="0"/>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51.2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77" w:hRule="atLeast"/>
                <w:jc w:val="center"/>
              </w:trPr>
              <w:tc>
                <w:tcPr>
                  <w:tcW w:w="3503" w:type="dxa"/>
                  <w:gridSpan w:val="2"/>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执行标准</w:t>
                  </w:r>
                </w:p>
              </w:tc>
              <w:tc>
                <w:tcPr>
                  <w:tcW w:w="2225"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65</w:t>
                  </w:r>
                </w:p>
              </w:tc>
              <w:tc>
                <w:tcPr>
                  <w:tcW w:w="2140" w:type="dxa"/>
                  <w:noWrap w:val="0"/>
                  <w:vAlign w:val="center"/>
                </w:tcPr>
                <w:p>
                  <w:pPr>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31" w:hRule="atLeast"/>
                <w:jc w:val="center"/>
              </w:trPr>
              <w:tc>
                <w:tcPr>
                  <w:tcW w:w="3503" w:type="dxa"/>
                  <w:gridSpan w:val="2"/>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达标情况</w:t>
                  </w:r>
                </w:p>
              </w:tc>
              <w:tc>
                <w:tcPr>
                  <w:tcW w:w="2225"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w:t>
                  </w:r>
                </w:p>
              </w:tc>
              <w:tc>
                <w:tcPr>
                  <w:tcW w:w="2140" w:type="dxa"/>
                  <w:noWrap w:val="0"/>
                  <w:vAlign w:val="center"/>
                </w:tcPr>
                <w:p>
                  <w:pPr>
                    <w:tabs>
                      <w:tab w:val="left" w:pos="3163"/>
                    </w:tabs>
                    <w:spacing w:line="240" w:lineRule="auto"/>
                    <w:ind w:firstLine="0" w:firstLineChars="0"/>
                    <w:jc w:val="center"/>
                    <w:rPr>
                      <w:rFonts w:ascii="Times New Roman" w:hAnsi="Times New Roman" w:eastAsia="宋体"/>
                      <w:color w:val="auto"/>
                      <w:sz w:val="21"/>
                      <w:szCs w:val="21"/>
                    </w:rPr>
                  </w:pPr>
                  <w:r>
                    <w:rPr>
                      <w:rFonts w:ascii="Times New Roman" w:hAnsi="Times New Roman" w:eastAsia="宋体"/>
                      <w:color w:val="auto"/>
                      <w:sz w:val="21"/>
                      <w:szCs w:val="21"/>
                    </w:rPr>
                    <w:t>达标</w:t>
                  </w:r>
                </w:p>
              </w:tc>
            </w:tr>
          </w:tbl>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根据根据2017年2月7日~8日的竣工环保验收检测数据可知，现有项目“新建滚筒刷生产项目”验收数据达标。</w:t>
            </w: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8、现有项目污染物排放总量</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eastAsia" w:eastAsia="宋体" w:cs="Times New Roman"/>
                <w:color w:val="auto"/>
                <w:kern w:val="0"/>
                <w:sz w:val="24"/>
                <w:szCs w:val="24"/>
                <w:highlight w:val="none"/>
                <w:lang w:val="en-US" w:eastAsia="zh-CN"/>
              </w:rPr>
              <w:t>现有项目扩建后尚未进行验收，无相关监测数据，因此此处仅根据“板刷、滚筒刷生产扩建项目”环评批复（皋开行审环表复[2017]15号）列出批复量，全厂</w:t>
            </w:r>
            <w:r>
              <w:rPr>
                <w:rFonts w:hint="default" w:ascii="Times New Roman" w:hAnsi="Times New Roman" w:eastAsia="宋体" w:cs="Times New Roman"/>
                <w:color w:val="auto"/>
                <w:kern w:val="0"/>
                <w:sz w:val="24"/>
                <w:szCs w:val="24"/>
                <w:highlight w:val="none"/>
                <w:lang w:val="en-US" w:eastAsia="zh-CN"/>
              </w:rPr>
              <w:t>污染物</w:t>
            </w:r>
            <w:r>
              <w:rPr>
                <w:rFonts w:hint="eastAsia" w:cs="Times New Roman"/>
                <w:color w:val="auto"/>
                <w:kern w:val="0"/>
                <w:sz w:val="24"/>
                <w:szCs w:val="24"/>
                <w:highlight w:val="none"/>
                <w:lang w:val="en-US" w:eastAsia="zh-CN"/>
              </w:rPr>
              <w:t>实际排放</w:t>
            </w:r>
            <w:r>
              <w:rPr>
                <w:rFonts w:hint="default" w:ascii="Times New Roman" w:hAnsi="Times New Roman" w:eastAsia="宋体" w:cs="Times New Roman"/>
                <w:color w:val="auto"/>
                <w:kern w:val="0"/>
                <w:sz w:val="24"/>
                <w:szCs w:val="24"/>
                <w:highlight w:val="none"/>
                <w:lang w:val="en-US" w:eastAsia="zh-CN"/>
              </w:rPr>
              <w:t>量</w:t>
            </w:r>
            <w:r>
              <w:rPr>
                <w:rFonts w:hint="eastAsia" w:cs="Times New Roman"/>
                <w:color w:val="auto"/>
                <w:kern w:val="0"/>
                <w:sz w:val="24"/>
                <w:szCs w:val="24"/>
                <w:highlight w:val="none"/>
                <w:lang w:val="en-US" w:eastAsia="zh-CN"/>
              </w:rPr>
              <w:t>按照“新建滚筒刷生产项目”验收数据计算，详</w:t>
            </w:r>
            <w:r>
              <w:rPr>
                <w:rFonts w:hint="default" w:ascii="Times New Roman" w:hAnsi="Times New Roman" w:eastAsia="宋体" w:cs="Times New Roman"/>
                <w:color w:val="auto"/>
                <w:kern w:val="0"/>
                <w:sz w:val="24"/>
                <w:szCs w:val="24"/>
                <w:highlight w:val="none"/>
                <w:lang w:val="en-US" w:eastAsia="zh-CN"/>
              </w:rPr>
              <w:t>见</w:t>
            </w:r>
            <w:r>
              <w:rPr>
                <w:rFonts w:hint="eastAsia" w:eastAsia="宋体" w:cs="Times New Roman"/>
                <w:color w:val="auto"/>
                <w:kern w:val="0"/>
                <w:sz w:val="24"/>
                <w:szCs w:val="24"/>
                <w:highlight w:val="none"/>
                <w:lang w:val="en-US" w:eastAsia="zh-CN"/>
              </w:rPr>
              <w:t>下</w:t>
            </w:r>
            <w:r>
              <w:rPr>
                <w:rFonts w:hint="default" w:ascii="Times New Roman" w:hAnsi="Times New Roman" w:eastAsia="宋体" w:cs="Times New Roman"/>
                <w:color w:val="auto"/>
                <w:kern w:val="0"/>
                <w:sz w:val="24"/>
                <w:szCs w:val="24"/>
                <w:highlight w:val="none"/>
                <w:lang w:val="en-US" w:eastAsia="zh-CN"/>
              </w:rPr>
              <w:t>表</w:t>
            </w:r>
            <w:r>
              <w:rPr>
                <w:rFonts w:hint="eastAsia" w:eastAsia="宋体" w:cs="Times New Roman"/>
                <w:color w:val="auto"/>
                <w:kern w:val="0"/>
                <w:sz w:val="24"/>
                <w:szCs w:val="24"/>
                <w:highlight w:val="none"/>
                <w:lang w:val="en-US" w:eastAsia="zh-CN"/>
              </w:rPr>
              <w:t>：</w:t>
            </w:r>
          </w:p>
          <w:p>
            <w:pPr>
              <w:keepNext w:val="0"/>
              <w:keepLines w:val="0"/>
              <w:pageBreakBefore w:val="0"/>
              <w:widowControl w:val="0"/>
              <w:kinsoku/>
              <w:wordWrap/>
              <w:overflowPunct/>
              <w:topLinePunct w:val="0"/>
              <w:autoSpaceDE/>
              <w:autoSpaceDN/>
              <w:bidi w:val="0"/>
              <w:adjustRightInd/>
              <w:snapToGrid/>
              <w:spacing w:line="240" w:lineRule="auto"/>
              <w:ind w:firstLine="0" w:firstLineChars="0"/>
              <w:jc w:val="center"/>
              <w:textAlignment w:val="auto"/>
              <w:rPr>
                <w:rFonts w:hint="default" w:ascii="Times New Roman" w:hAnsi="Times New Roman" w:eastAsia="宋体" w:cs="Times New Roman"/>
                <w:b/>
                <w:color w:val="auto"/>
                <w:sz w:val="24"/>
                <w:szCs w:val="24"/>
                <w:highlight w:val="none"/>
                <w:lang w:val="en-US" w:eastAsia="zh-CN"/>
              </w:rPr>
            </w:pPr>
            <w:r>
              <w:rPr>
                <w:rFonts w:hint="default" w:ascii="Times New Roman" w:hAnsi="Times New Roman" w:eastAsia="宋体" w:cs="Times New Roman"/>
                <w:b/>
                <w:color w:val="auto"/>
                <w:sz w:val="24"/>
                <w:szCs w:val="24"/>
                <w:highlight w:val="none"/>
                <w:lang w:val="en-US" w:eastAsia="zh-CN"/>
              </w:rPr>
              <w:t>表2-1</w:t>
            </w:r>
            <w:r>
              <w:rPr>
                <w:rFonts w:hint="eastAsia" w:cs="Times New Roman"/>
                <w:b/>
                <w:color w:val="auto"/>
                <w:sz w:val="24"/>
                <w:szCs w:val="24"/>
                <w:highlight w:val="none"/>
                <w:lang w:val="en-US" w:eastAsia="zh-CN"/>
              </w:rPr>
              <w:t>5</w:t>
            </w:r>
            <w:r>
              <w:rPr>
                <w:rFonts w:hint="default" w:ascii="Times New Roman" w:hAnsi="Times New Roman" w:eastAsia="宋体" w:cs="Times New Roman"/>
                <w:b/>
                <w:color w:val="auto"/>
                <w:sz w:val="24"/>
                <w:szCs w:val="24"/>
                <w:highlight w:val="none"/>
                <w:lang w:val="en-US" w:eastAsia="zh-CN"/>
              </w:rPr>
              <w:t>现有项目污染物排放汇总</w:t>
            </w:r>
          </w:p>
          <w:tbl>
            <w:tblPr>
              <w:tblStyle w:val="25"/>
              <w:tblW w:w="7866" w:type="dxa"/>
              <w:jc w:val="center"/>
              <w:tblInd w:w="0" w:type="dxa"/>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
            <w:tblGrid>
              <w:gridCol w:w="1058"/>
              <w:gridCol w:w="1478"/>
              <w:gridCol w:w="2665"/>
              <w:gridCol w:w="2665"/>
            </w:tblGrid>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834" w:hRule="atLeast"/>
                <w:jc w:val="center"/>
              </w:trPr>
              <w:tc>
                <w:tcPr>
                  <w:tcW w:w="1058"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污染物类别</w:t>
                  </w:r>
                </w:p>
              </w:tc>
              <w:tc>
                <w:tcPr>
                  <w:tcW w:w="1478"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b/>
                      <w:bCs/>
                      <w:color w:val="auto"/>
                      <w:szCs w:val="21"/>
                    </w:rPr>
                  </w:pPr>
                  <w:r>
                    <w:rPr>
                      <w:rFonts w:hint="default" w:ascii="Times New Roman" w:hAnsi="Times New Roman" w:eastAsia="宋体" w:cs="Times New Roman"/>
                      <w:b/>
                      <w:bCs/>
                      <w:color w:val="auto"/>
                      <w:szCs w:val="21"/>
                    </w:rPr>
                    <w:t>污染物名称</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eastAsia="宋体" w:cs="Times New Roman"/>
                      <w:b/>
                      <w:bCs/>
                      <w:color w:val="auto"/>
                      <w:kern w:val="2"/>
                      <w:sz w:val="21"/>
                      <w:szCs w:val="21"/>
                      <w:lang w:val="en-US" w:eastAsia="zh-CN" w:bidi="ar-SA"/>
                    </w:rPr>
                  </w:pPr>
                  <w:r>
                    <w:rPr>
                      <w:rFonts w:hint="eastAsia" w:eastAsia="宋体" w:cs="Times New Roman"/>
                      <w:b/>
                      <w:bCs/>
                      <w:color w:val="auto"/>
                      <w:szCs w:val="21"/>
                      <w:lang w:val="en-US" w:eastAsia="zh-CN"/>
                    </w:rPr>
                    <w:t>环评批复外排</w:t>
                  </w:r>
                  <w:r>
                    <w:rPr>
                      <w:rFonts w:hint="default" w:ascii="Times New Roman" w:hAnsi="Times New Roman" w:eastAsia="宋体" w:cs="Times New Roman"/>
                      <w:b/>
                      <w:bCs/>
                      <w:color w:val="auto"/>
                      <w:szCs w:val="21"/>
                    </w:rPr>
                    <w:t>总量（t/a）</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eastAsia="宋体" w:cs="Times New Roman"/>
                      <w:b/>
                      <w:bCs/>
                      <w:color w:val="auto"/>
                      <w:szCs w:val="21"/>
                      <w:lang w:val="en-US" w:eastAsia="zh-CN"/>
                    </w:rPr>
                  </w:pPr>
                  <w:r>
                    <w:rPr>
                      <w:rFonts w:hint="eastAsia" w:cs="Times New Roman"/>
                      <w:b/>
                      <w:bCs/>
                      <w:color w:val="auto"/>
                      <w:szCs w:val="21"/>
                      <w:lang w:val="en-US" w:eastAsia="zh-CN"/>
                    </w:rPr>
                    <w:t>实际排放量（t/a）*</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restart"/>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废气</w:t>
                  </w: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lang w:val="en-US" w:eastAsia="zh-CN"/>
                    </w:rPr>
                    <w:t>颗粒物</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eastAsia"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0.02604</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eastAsia" w:ascii="Times New Roman" w:hAnsi="Times New Roman" w:cs="Times New Roman"/>
                      <w:snapToGrid w:val="0"/>
                      <w:color w:val="auto"/>
                      <w:kern w:val="0"/>
                      <w:sz w:val="21"/>
                      <w:szCs w:val="21"/>
                      <w:lang w:val="en-US" w:eastAsia="zh-CN"/>
                    </w:rPr>
                  </w:pPr>
                  <w:r>
                    <w:rPr>
                      <w:rFonts w:hint="eastAsia" w:eastAsia="宋体" w:cs="Times New Roman"/>
                      <w:b w:val="0"/>
                      <w:bCs w:val="0"/>
                      <w:color w:val="auto"/>
                      <w:szCs w:val="21"/>
                      <w:lang w:val="en-US" w:eastAsia="zh-CN"/>
                    </w:rPr>
                    <w:t>0.00984</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eastAsia" w:cs="Times New Roman"/>
                      <w:b w:val="0"/>
                      <w:bCs w:val="0"/>
                      <w:color w:val="auto"/>
                      <w:szCs w:val="21"/>
                      <w:lang w:val="en-US" w:eastAsia="zh-CN"/>
                    </w:rPr>
                    <w:t>VOCs</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eastAsia"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0.00424</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restart"/>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废水</w:t>
                  </w: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eastAsia" w:ascii="Times New Roman" w:hAnsi="Times New Roman" w:eastAsia="宋体" w:cs="Times New Roman"/>
                      <w:b w:val="0"/>
                      <w:bCs w:val="0"/>
                      <w:color w:val="auto"/>
                      <w:szCs w:val="21"/>
                      <w:lang w:val="en-US" w:eastAsia="zh-CN"/>
                    </w:rPr>
                  </w:pPr>
                  <w:r>
                    <w:rPr>
                      <w:rFonts w:hint="eastAsia" w:cs="Times New Roman"/>
                      <w:b w:val="0"/>
                      <w:bCs w:val="0"/>
                      <w:color w:val="auto"/>
                      <w:szCs w:val="21"/>
                      <w:lang w:val="en-US" w:eastAsia="zh-CN"/>
                    </w:rPr>
                    <w:t>废水量</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1374</w:t>
                  </w:r>
                </w:p>
              </w:tc>
              <w:tc>
                <w:tcPr>
                  <w:tcW w:w="2665" w:type="dxa"/>
                  <w:noWrap w:val="0"/>
                  <w:vAlign w:val="center"/>
                </w:tcPr>
                <w:p>
                  <w:pPr>
                    <w:spacing w:line="240" w:lineRule="auto"/>
                    <w:ind w:firstLine="0" w:firstLineChars="0"/>
                    <w:jc w:val="center"/>
                    <w:rPr>
                      <w:rFonts w:hint="default" w:ascii="Times New Roman" w:hAnsi="Times New Roman" w:cs="Times New Roman"/>
                      <w:snapToGrid w:val="0"/>
                      <w:color w:val="auto"/>
                      <w:kern w:val="0"/>
                      <w:sz w:val="21"/>
                      <w:szCs w:val="21"/>
                      <w:lang w:val="en-US" w:eastAsia="zh-CN"/>
                    </w:rPr>
                  </w:pPr>
                  <w:r>
                    <w:rPr>
                      <w:rFonts w:hint="eastAsia" w:eastAsia="仿宋_GB2312"/>
                      <w:color w:val="auto"/>
                      <w:sz w:val="21"/>
                      <w:szCs w:val="21"/>
                    </w:rPr>
                    <w:t>1050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rPr>
                    <w:t>化学需氧量</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0.24512</w:t>
                  </w:r>
                </w:p>
              </w:tc>
              <w:tc>
                <w:tcPr>
                  <w:tcW w:w="2665" w:type="dxa"/>
                  <w:noWrap w:val="0"/>
                  <w:vAlign w:val="center"/>
                </w:tcPr>
                <w:p>
                  <w:pPr>
                    <w:spacing w:line="240" w:lineRule="auto"/>
                    <w:ind w:firstLine="0" w:firstLineChars="0"/>
                    <w:jc w:val="center"/>
                    <w:rPr>
                      <w:rFonts w:hint="eastAsia" w:ascii="Times New Roman" w:hAnsi="Times New Roman" w:cs="Times New Roman"/>
                      <w:snapToGrid w:val="0"/>
                      <w:color w:val="auto"/>
                      <w:kern w:val="0"/>
                      <w:sz w:val="21"/>
                      <w:szCs w:val="21"/>
                      <w:lang w:val="en-US" w:eastAsia="zh-CN"/>
                    </w:rPr>
                  </w:pPr>
                  <w:r>
                    <w:rPr>
                      <w:rFonts w:hint="eastAsia" w:eastAsia="仿宋_GB2312"/>
                      <w:color w:val="auto"/>
                      <w:sz w:val="21"/>
                      <w:szCs w:val="21"/>
                    </w:rPr>
                    <w:t>0.122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氨氮</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0.02785</w:t>
                  </w:r>
                </w:p>
              </w:tc>
              <w:tc>
                <w:tcPr>
                  <w:tcW w:w="2665" w:type="dxa"/>
                  <w:noWrap w:val="0"/>
                  <w:vAlign w:val="center"/>
                </w:tcPr>
                <w:p>
                  <w:pPr>
                    <w:spacing w:line="240" w:lineRule="auto"/>
                    <w:ind w:firstLine="0" w:firstLineChars="0"/>
                    <w:jc w:val="center"/>
                    <w:rPr>
                      <w:rFonts w:hint="eastAsia" w:ascii="Times New Roman" w:hAnsi="Times New Roman" w:cs="Times New Roman"/>
                      <w:snapToGrid w:val="0"/>
                      <w:color w:val="auto"/>
                      <w:kern w:val="0"/>
                      <w:sz w:val="21"/>
                      <w:szCs w:val="21"/>
                      <w:lang w:val="en-US" w:eastAsia="zh-CN"/>
                    </w:rPr>
                  </w:pPr>
                  <w:r>
                    <w:rPr>
                      <w:rFonts w:hint="eastAsia" w:eastAsia="仿宋_GB2312"/>
                      <w:color w:val="auto"/>
                      <w:sz w:val="21"/>
                      <w:szCs w:val="21"/>
                    </w:rPr>
                    <w:t>0.0162</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eastAsia" w:cs="Times New Roman"/>
                      <w:b w:val="0"/>
                      <w:bCs w:val="0"/>
                      <w:color w:val="auto"/>
                      <w:szCs w:val="21"/>
                      <w:lang w:val="en-US" w:eastAsia="zh-CN"/>
                    </w:rPr>
                    <w:t>总磷</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0.00433</w:t>
                  </w:r>
                </w:p>
              </w:tc>
              <w:tc>
                <w:tcPr>
                  <w:tcW w:w="2665" w:type="dxa"/>
                  <w:noWrap w:val="0"/>
                  <w:vAlign w:val="center"/>
                </w:tcPr>
                <w:p>
                  <w:pPr>
                    <w:spacing w:line="240" w:lineRule="auto"/>
                    <w:ind w:firstLine="0" w:firstLineChars="0"/>
                    <w:jc w:val="center"/>
                    <w:rPr>
                      <w:rFonts w:hint="eastAsia" w:ascii="Times New Roman" w:hAnsi="Times New Roman" w:cs="Times New Roman"/>
                      <w:snapToGrid w:val="0"/>
                      <w:color w:val="auto"/>
                      <w:kern w:val="0"/>
                      <w:sz w:val="21"/>
                      <w:szCs w:val="21"/>
                      <w:lang w:val="en-US" w:eastAsia="zh-CN"/>
                    </w:rPr>
                  </w:pPr>
                  <w:r>
                    <w:rPr>
                      <w:rFonts w:hint="eastAsia" w:eastAsia="仿宋_GB2312"/>
                      <w:color w:val="auto"/>
                      <w:sz w:val="21"/>
                      <w:szCs w:val="21"/>
                    </w:rPr>
                    <w:t>0.00271</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总</w:t>
                  </w:r>
                  <w:r>
                    <w:rPr>
                      <w:rFonts w:hint="eastAsia" w:cs="Times New Roman"/>
                      <w:b w:val="0"/>
                      <w:bCs w:val="0"/>
                      <w:color w:val="auto"/>
                      <w:szCs w:val="21"/>
                      <w:lang w:val="en-US" w:eastAsia="zh-CN"/>
                    </w:rPr>
                    <w:t>氮</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eastAsia="宋体" w:cs="Times New Roman"/>
                      <w:snapToGrid w:val="0"/>
                      <w:color w:val="auto"/>
                      <w:kern w:val="0"/>
                      <w:sz w:val="21"/>
                      <w:szCs w:val="21"/>
                      <w:lang w:val="en-US" w:eastAsia="zh-CN"/>
                    </w:rPr>
                    <w:t>/</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eastAsia="宋体"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lang w:val="en-US" w:eastAsia="zh-CN"/>
                    </w:rPr>
                  </w:pPr>
                  <w:r>
                    <w:rPr>
                      <w:rFonts w:hint="default" w:ascii="Times New Roman" w:hAnsi="Times New Roman" w:eastAsia="宋体" w:cs="Times New Roman"/>
                      <w:b w:val="0"/>
                      <w:bCs w:val="0"/>
                      <w:color w:val="auto"/>
                      <w:szCs w:val="21"/>
                      <w:lang w:val="en-US" w:eastAsia="zh-CN"/>
                    </w:rPr>
                    <w:t>悬浮物</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0.0795</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eastAsia" w:ascii="Times New Roman" w:hAnsi="Times New Roman" w:cs="Times New Roman"/>
                      <w:snapToGrid w:val="0"/>
                      <w:color w:val="auto"/>
                      <w:kern w:val="0"/>
                      <w:sz w:val="21"/>
                      <w:szCs w:val="21"/>
                      <w:lang w:val="en-US" w:eastAsia="zh-CN"/>
                    </w:rPr>
                  </w:pPr>
                  <w:r>
                    <w:rPr>
                      <w:rFonts w:hint="eastAsia" w:eastAsia="仿宋_GB2312"/>
                      <w:color w:val="auto"/>
                      <w:sz w:val="21"/>
                      <w:szCs w:val="21"/>
                    </w:rPr>
                    <w:t>0.0147</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restart"/>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固废</w:t>
                  </w: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一般固废</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ascii="Times New Roman" w:hAnsi="Times New Roman" w:cs="Times New Roman"/>
                      <w:snapToGrid w:val="0"/>
                      <w:color w:val="auto"/>
                      <w:kern w:val="0"/>
                      <w:sz w:val="21"/>
                      <w:szCs w:val="21"/>
                      <w:lang w:val="en-US" w:eastAsia="zh-CN"/>
                    </w:rPr>
                    <w:t>0</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eastAsia" w:ascii="Times New Roman" w:hAnsi="Times New Roman" w:eastAsia="宋体" w:cs="Times New Roman"/>
                      <w:b w:val="0"/>
                      <w:bCs w:val="0"/>
                      <w:color w:val="auto"/>
                      <w:szCs w:val="21"/>
                      <w:lang w:val="en-US" w:eastAsia="zh-CN"/>
                    </w:rPr>
                  </w:pPr>
                  <w:r>
                    <w:rPr>
                      <w:rFonts w:hint="eastAsia" w:cs="Times New Roman"/>
                      <w:b w:val="0"/>
                      <w:bCs w:val="0"/>
                      <w:color w:val="auto"/>
                      <w:szCs w:val="21"/>
                      <w:lang w:val="en-US" w:eastAsia="zh-CN"/>
                    </w:rPr>
                    <w:t>危险废物</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eastAsia"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0</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0</w:t>
                  </w:r>
                </w:p>
              </w:tc>
            </w:tr>
            <w:tr>
              <w:tblPrEx>
                <w:tblBorders>
                  <w:top w:val="single" w:color="auto" w:sz="12" w:space="0"/>
                  <w:left w:val="none" w:color="auto" w:sz="0" w:space="0"/>
                  <w:bottom w:val="single" w:color="auto" w:sz="12" w:space="0"/>
                  <w:right w:val="none" w:color="auto" w:sz="0" w:space="0"/>
                  <w:insideH w:val="single" w:color="auto" w:sz="6" w:space="0"/>
                  <w:insideV w:val="single" w:color="auto" w:sz="6" w:space="0"/>
                </w:tblBorders>
                <w:tblLayout w:type="fixed"/>
                <w:tblCellMar>
                  <w:top w:w="0" w:type="dxa"/>
                  <w:left w:w="108" w:type="dxa"/>
                  <w:bottom w:w="0" w:type="dxa"/>
                  <w:right w:w="108" w:type="dxa"/>
                </w:tblCellMar>
              </w:tblPrEx>
              <w:trPr>
                <w:trHeight w:val="249" w:hRule="atLeast"/>
                <w:jc w:val="center"/>
              </w:trPr>
              <w:tc>
                <w:tcPr>
                  <w:tcW w:w="1058" w:type="dxa"/>
                  <w:vMerge w:val="continue"/>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p>
              </w:tc>
              <w:tc>
                <w:tcPr>
                  <w:tcW w:w="1478" w:type="dxa"/>
                  <w:noWrap w:val="0"/>
                  <w:vAlign w:val="center"/>
                </w:tcPr>
                <w:p>
                  <w:pPr>
                    <w:pageBreakBefore w:val="0"/>
                    <w:kinsoku/>
                    <w:wordWrap/>
                    <w:overflowPunct/>
                    <w:topLinePunct w:val="0"/>
                    <w:bidi w:val="0"/>
                    <w:adjustRightInd w:val="0"/>
                    <w:snapToGrid w:val="0"/>
                    <w:spacing w:line="320" w:lineRule="exact"/>
                    <w:jc w:val="center"/>
                    <w:rPr>
                      <w:rFonts w:hint="default" w:ascii="Times New Roman" w:hAnsi="Times New Roman" w:eastAsia="宋体" w:cs="Times New Roman"/>
                      <w:b w:val="0"/>
                      <w:bCs w:val="0"/>
                      <w:color w:val="auto"/>
                      <w:szCs w:val="21"/>
                    </w:rPr>
                  </w:pPr>
                  <w:r>
                    <w:rPr>
                      <w:rFonts w:hint="default" w:ascii="Times New Roman" w:hAnsi="Times New Roman" w:eastAsia="宋体" w:cs="Times New Roman"/>
                      <w:b w:val="0"/>
                      <w:bCs w:val="0"/>
                      <w:color w:val="auto"/>
                      <w:szCs w:val="21"/>
                    </w:rPr>
                    <w:t>生活垃圾</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0</w:t>
                  </w:r>
                </w:p>
              </w:tc>
              <w:tc>
                <w:tcPr>
                  <w:tcW w:w="2665" w:type="dxa"/>
                  <w:noWrap w:val="0"/>
                  <w:vAlign w:val="center"/>
                </w:tcPr>
                <w:p>
                  <w:pPr>
                    <w:pageBreakBefore w:val="0"/>
                    <w:kinsoku/>
                    <w:wordWrap/>
                    <w:overflowPunct/>
                    <w:topLinePunct w:val="0"/>
                    <w:bidi w:val="0"/>
                    <w:adjustRightInd w:val="0"/>
                    <w:snapToGrid w:val="0"/>
                    <w:spacing w:line="240" w:lineRule="auto"/>
                    <w:jc w:val="center"/>
                    <w:rPr>
                      <w:rFonts w:hint="default" w:cs="Times New Roman"/>
                      <w:snapToGrid w:val="0"/>
                      <w:color w:val="auto"/>
                      <w:kern w:val="0"/>
                      <w:sz w:val="21"/>
                      <w:szCs w:val="21"/>
                      <w:lang w:val="en-US" w:eastAsia="zh-CN"/>
                    </w:rPr>
                  </w:pPr>
                  <w:r>
                    <w:rPr>
                      <w:rFonts w:hint="eastAsia" w:cs="Times New Roman"/>
                      <w:snapToGrid w:val="0"/>
                      <w:color w:val="auto"/>
                      <w:kern w:val="0"/>
                      <w:sz w:val="21"/>
                      <w:szCs w:val="21"/>
                      <w:lang w:val="en-US" w:eastAsia="zh-CN"/>
                    </w:rPr>
                    <w:t>0</w:t>
                  </w:r>
                </w:p>
              </w:tc>
            </w:tr>
          </w:tbl>
          <w:p>
            <w:pPr>
              <w:autoSpaceDE w:val="0"/>
              <w:autoSpaceDN w:val="0"/>
              <w:adjustRightInd w:val="0"/>
              <w:snapToGrid w:val="0"/>
              <w:spacing w:line="360" w:lineRule="auto"/>
              <w:ind w:firstLine="420" w:firstLineChars="200"/>
              <w:rPr>
                <w:rFonts w:hint="default"/>
                <w:color w:val="auto"/>
                <w:lang w:val="en-US" w:eastAsia="zh-CN"/>
              </w:rPr>
            </w:pP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9、</w:t>
            </w:r>
            <w:r>
              <w:rPr>
                <w:rFonts w:hint="default" w:ascii="Times New Roman" w:hAnsi="Times New Roman" w:eastAsia="宋体" w:cs="Times New Roman"/>
                <w:b/>
                <w:bCs/>
                <w:color w:val="auto"/>
                <w:kern w:val="0"/>
                <w:sz w:val="24"/>
                <w:szCs w:val="24"/>
                <w:highlight w:val="none"/>
                <w:lang w:val="en-US" w:eastAsia="zh-CN"/>
              </w:rPr>
              <w:t>现有项目存在的问题</w:t>
            </w:r>
            <w:r>
              <w:rPr>
                <w:rFonts w:hint="eastAsia" w:cs="Times New Roman"/>
                <w:b/>
                <w:bCs/>
                <w:color w:val="auto"/>
                <w:kern w:val="0"/>
                <w:sz w:val="24"/>
                <w:szCs w:val="24"/>
                <w:highlight w:val="none"/>
                <w:lang w:val="en-US" w:eastAsia="zh-CN"/>
              </w:rPr>
              <w:t>及“以新带老”整改措施</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（1）存在问题</w:t>
            </w:r>
          </w:p>
          <w:p>
            <w:pPr>
              <w:autoSpaceDE w:val="0"/>
              <w:autoSpaceDN w:val="0"/>
              <w:adjustRightInd w:val="0"/>
              <w:snapToGrid w:val="0"/>
              <w:spacing w:line="360" w:lineRule="auto"/>
              <w:ind w:firstLine="480" w:firstLineChars="200"/>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①企业现有项目未验收；</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②企业未按照要求安排自行检测；</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③排污许可证待延续；</w:t>
            </w:r>
          </w:p>
          <w:p>
            <w:pPr>
              <w:autoSpaceDE w:val="0"/>
              <w:autoSpaceDN w:val="0"/>
              <w:adjustRightInd w:val="0"/>
              <w:snapToGrid w:val="0"/>
              <w:spacing w:line="360" w:lineRule="auto"/>
              <w:ind w:firstLine="480" w:firstLineChars="200"/>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④企业未编制应急预案；</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⑤根据通02环罚[2024]17号，现有项目存在注塑项目未批先建情况，且该部分废气未配备治理设施。</w:t>
            </w:r>
          </w:p>
          <w:p>
            <w:pPr>
              <w:autoSpaceDE w:val="0"/>
              <w:autoSpaceDN w:val="0"/>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（2）本项目措施</w:t>
            </w:r>
          </w:p>
          <w:p>
            <w:pPr>
              <w:autoSpaceDE w:val="0"/>
              <w:autoSpaceDN w:val="0"/>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现有项目目前主要为滚筒刷和板刷生产线低负荷运行，生产能力暂不满足验收要求，违法行为已停止，注塑设备已停止使用，其他设备尚未安装进厂，本次技改扩建项目将完善全厂环保手续，建设相应环保设施，项目建成后按照要求完善项目验收。</w:t>
            </w:r>
          </w:p>
          <w:p>
            <w:pPr>
              <w:autoSpaceDE w:val="0"/>
              <w:autoSpaceDN w:val="0"/>
              <w:adjustRightInd w:val="0"/>
              <w:snapToGrid w:val="0"/>
              <w:spacing w:line="360" w:lineRule="auto"/>
              <w:ind w:firstLine="480" w:firstLineChars="200"/>
              <w:rPr>
                <w:color w:val="auto"/>
              </w:rPr>
            </w:pPr>
            <w:r>
              <w:rPr>
                <w:rFonts w:hint="eastAsia" w:ascii="Times New Roman" w:hAnsi="Times New Roman" w:eastAsia="宋体" w:cs="Times New Roman"/>
                <w:color w:val="auto"/>
                <w:kern w:val="0"/>
                <w:sz w:val="24"/>
                <w:szCs w:val="24"/>
                <w:highlight w:val="none"/>
                <w:lang w:val="en-US" w:eastAsia="zh-CN"/>
              </w:rPr>
              <w:t>本项目</w:t>
            </w:r>
            <w:r>
              <w:rPr>
                <w:rFonts w:hint="eastAsia" w:cs="Times New Roman"/>
                <w:color w:val="auto"/>
                <w:kern w:val="0"/>
                <w:sz w:val="24"/>
                <w:szCs w:val="24"/>
                <w:highlight w:val="none"/>
                <w:lang w:val="en-US" w:eastAsia="zh-CN"/>
              </w:rPr>
              <w:t>技改</w:t>
            </w:r>
            <w:r>
              <w:rPr>
                <w:rFonts w:hint="eastAsia" w:ascii="Times New Roman" w:hAnsi="Times New Roman" w:eastAsia="宋体" w:cs="Times New Roman"/>
                <w:color w:val="auto"/>
                <w:kern w:val="0"/>
                <w:sz w:val="24"/>
                <w:szCs w:val="24"/>
                <w:highlight w:val="none"/>
                <w:lang w:val="en-US" w:eastAsia="zh-CN"/>
              </w:rPr>
              <w:t>扩建后，</w:t>
            </w:r>
            <w:r>
              <w:rPr>
                <w:rFonts w:hint="eastAsia" w:cs="Times New Roman"/>
                <w:color w:val="auto"/>
                <w:kern w:val="0"/>
                <w:sz w:val="24"/>
                <w:szCs w:val="24"/>
                <w:highlight w:val="none"/>
                <w:lang w:val="en-US" w:eastAsia="zh-CN"/>
              </w:rPr>
              <w:t>部分</w:t>
            </w:r>
            <w:r>
              <w:rPr>
                <w:rFonts w:hint="eastAsia" w:ascii="Times New Roman" w:hAnsi="Times New Roman" w:eastAsia="宋体" w:cs="Times New Roman"/>
                <w:color w:val="auto"/>
                <w:kern w:val="0"/>
                <w:sz w:val="24"/>
                <w:szCs w:val="24"/>
                <w:highlight w:val="none"/>
                <w:lang w:val="en-US" w:eastAsia="zh-CN"/>
              </w:rPr>
              <w:t>原料更换，废气重新收集处理并核算。</w:t>
            </w:r>
            <w:r>
              <w:rPr>
                <w:rFonts w:hint="eastAsia" w:cs="Times New Roman"/>
                <w:color w:val="auto"/>
                <w:kern w:val="0"/>
                <w:sz w:val="24"/>
                <w:szCs w:val="24"/>
                <w:highlight w:val="none"/>
                <w:lang w:val="en-US" w:eastAsia="zh-CN"/>
              </w:rPr>
              <w:t>本项目建成后重新申领排污许可。</w:t>
            </w:r>
          </w:p>
          <w:p>
            <w:pPr>
              <w:autoSpaceDE w:val="0"/>
              <w:autoSpaceDN w:val="0"/>
              <w:adjustRightInd w:val="0"/>
              <w:snapToGrid w:val="0"/>
              <w:spacing w:line="360" w:lineRule="auto"/>
              <w:ind w:firstLine="480" w:firstLineChars="200"/>
              <w:rPr>
                <w:rFonts w:hint="default" w:ascii="Times New Roman" w:hAnsi="Times New Roman" w:eastAsia="宋体" w:cs="Times New Roman"/>
                <w:b w:val="0"/>
                <w:bCs w:val="0"/>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highlight w:val="none"/>
                <w:lang w:val="en-US" w:eastAsia="zh-CN"/>
              </w:rPr>
              <w:t>（3）以新带老措施</w:t>
            </w:r>
          </w:p>
          <w:p>
            <w:pPr>
              <w:autoSpaceDE w:val="0"/>
              <w:autoSpaceDN w:val="0"/>
              <w:adjustRightInd w:val="0"/>
              <w:snapToGrid w:val="0"/>
              <w:spacing w:line="360" w:lineRule="auto"/>
              <w:ind w:firstLine="480" w:firstLineChars="200"/>
              <w:rPr>
                <w:rFonts w:hint="default" w:ascii="Times New Roman" w:hAnsi="Times New Roman" w:eastAsia="宋体" w:cs="Times New Roman"/>
                <w:b w:val="0"/>
                <w:bCs w:val="0"/>
                <w:color w:val="auto"/>
                <w:kern w:val="0"/>
                <w:sz w:val="24"/>
                <w:szCs w:val="24"/>
                <w:highlight w:val="none"/>
                <w:lang w:val="en-US" w:eastAsia="zh-CN"/>
              </w:rPr>
            </w:pPr>
            <w:r>
              <w:rPr>
                <w:rFonts w:hint="eastAsia" w:ascii="Times New Roman" w:hAnsi="Times New Roman" w:eastAsia="宋体" w:cs="Times New Roman"/>
                <w:b w:val="0"/>
                <w:bCs w:val="0"/>
                <w:color w:val="auto"/>
                <w:kern w:val="0"/>
                <w:sz w:val="24"/>
                <w:szCs w:val="24"/>
                <w:highlight w:val="none"/>
                <w:lang w:val="en-US" w:eastAsia="zh-CN"/>
              </w:rPr>
              <w:t>本项目为技改扩建项目，对现有项目工艺进行技改并扩建，</w:t>
            </w:r>
            <w:r>
              <w:rPr>
                <w:rFonts w:hint="eastAsia" w:ascii="Times New Roman" w:hAnsi="Times New Roman" w:eastAsia="宋体" w:cs="Times New Roman"/>
                <w:color w:val="auto"/>
                <w:kern w:val="0"/>
                <w:sz w:val="24"/>
                <w:szCs w:val="24"/>
                <w:highlight w:val="none"/>
                <w:lang w:val="en-US" w:eastAsia="zh-CN"/>
              </w:rPr>
              <w:t>建成后全厂产品产能为</w:t>
            </w:r>
            <w:r>
              <w:rPr>
                <w:rFonts w:hint="eastAsia" w:ascii="Times New Roman" w:hAnsi="Times New Roman" w:cs="Times New Roman"/>
                <w:color w:val="auto"/>
                <w:kern w:val="0"/>
                <w:sz w:val="24"/>
                <w:szCs w:val="24"/>
                <w:highlight w:val="none"/>
                <w:lang w:val="en-US" w:eastAsia="zh-CN"/>
              </w:rPr>
              <w:t>年产5000万个滚筒刷、5000万个板刷、5000万个漆刷，现有项目废气以新带老削减后，全厂总量重新核算。</w:t>
            </w:r>
          </w:p>
          <w:p>
            <w:pPr>
              <w:autoSpaceDE w:val="0"/>
              <w:autoSpaceDN w:val="0"/>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10</w:t>
            </w:r>
            <w:r>
              <w:rPr>
                <w:rFonts w:hint="eastAsia" w:cs="Times New Roman"/>
                <w:b/>
                <w:bCs/>
                <w:color w:val="auto"/>
                <w:kern w:val="0"/>
                <w:sz w:val="24"/>
                <w:szCs w:val="24"/>
                <w:highlight w:val="none"/>
                <w:lang w:val="en-US" w:eastAsia="zh-CN"/>
              </w:rPr>
              <w:t>、</w:t>
            </w:r>
            <w:r>
              <w:rPr>
                <w:rFonts w:hint="eastAsia" w:ascii="Times New Roman" w:hAnsi="Times New Roman" w:eastAsia="宋体" w:cs="Times New Roman"/>
                <w:b/>
                <w:bCs/>
                <w:color w:val="auto"/>
                <w:kern w:val="0"/>
                <w:sz w:val="24"/>
                <w:szCs w:val="24"/>
                <w:highlight w:val="none"/>
                <w:lang w:val="en-US" w:eastAsia="zh-CN"/>
              </w:rPr>
              <w:t>设备淘汰</w:t>
            </w:r>
            <w:r>
              <w:rPr>
                <w:rFonts w:hint="eastAsia" w:cs="Times New Roman"/>
                <w:b/>
                <w:bCs/>
                <w:color w:val="auto"/>
                <w:kern w:val="0"/>
                <w:sz w:val="24"/>
                <w:szCs w:val="24"/>
                <w:highlight w:val="none"/>
                <w:lang w:val="en-US" w:eastAsia="zh-CN"/>
              </w:rPr>
              <w:t>处理方式</w:t>
            </w:r>
          </w:p>
          <w:p>
            <w:pPr>
              <w:autoSpaceDE w:val="0"/>
              <w:autoSpaceDN w:val="0"/>
              <w:adjustRightInd w:val="0"/>
              <w:snapToGrid w:val="0"/>
              <w:spacing w:line="360" w:lineRule="auto"/>
              <w:ind w:firstLine="480" w:firstLineChars="200"/>
              <w:rPr>
                <w:rFonts w:hint="eastAsia" w:cs="Times New Roman"/>
                <w:bCs/>
                <w:color w:val="auto"/>
                <w:sz w:val="24"/>
                <w:lang w:val="en-US" w:eastAsia="zh-CN"/>
              </w:rPr>
            </w:pPr>
            <w:r>
              <w:rPr>
                <w:rFonts w:hint="eastAsia" w:ascii="Times New Roman" w:hAnsi="Times New Roman" w:eastAsia="宋体" w:cs="Times New Roman"/>
                <w:color w:val="auto"/>
                <w:kern w:val="0"/>
                <w:sz w:val="24"/>
                <w:szCs w:val="24"/>
                <w:highlight w:val="none"/>
                <w:lang w:val="en-US" w:eastAsia="zh-CN"/>
              </w:rPr>
              <w:t>现有项目</w:t>
            </w:r>
            <w:r>
              <w:rPr>
                <w:rFonts w:hint="eastAsia" w:cs="Times New Roman"/>
                <w:color w:val="auto"/>
                <w:kern w:val="0"/>
                <w:sz w:val="24"/>
                <w:szCs w:val="24"/>
                <w:highlight w:val="none"/>
                <w:lang w:val="en-US" w:eastAsia="zh-CN"/>
              </w:rPr>
              <w:t>仅</w:t>
            </w:r>
            <w:r>
              <w:rPr>
                <w:rFonts w:hint="eastAsia" w:ascii="Times New Roman" w:hAnsi="Times New Roman" w:eastAsia="宋体" w:cs="Times New Roman"/>
                <w:color w:val="auto"/>
                <w:kern w:val="0"/>
                <w:sz w:val="24"/>
                <w:szCs w:val="24"/>
                <w:highlight w:val="none"/>
                <w:lang w:val="en-US" w:eastAsia="zh-CN"/>
              </w:rPr>
              <w:t>淘汰</w:t>
            </w:r>
            <w:r>
              <w:rPr>
                <w:rFonts w:hint="eastAsia" w:cs="Times New Roman"/>
                <w:color w:val="auto"/>
                <w:kern w:val="0"/>
                <w:sz w:val="24"/>
                <w:szCs w:val="24"/>
                <w:highlight w:val="none"/>
                <w:lang w:val="en-US" w:eastAsia="zh-CN"/>
              </w:rPr>
              <w:t>平切机、切割机、敲盖机、钻孔机等生产设备</w:t>
            </w:r>
            <w:r>
              <w:rPr>
                <w:rFonts w:hint="eastAsia" w:cs="Times New Roman"/>
                <w:bCs/>
                <w:color w:val="auto"/>
                <w:sz w:val="24"/>
                <w:lang w:val="en-US" w:eastAsia="zh-CN"/>
              </w:rPr>
              <w:t>，淘汰设备不涉及拆除过程，可整体转移，无污染情况产生，淘汰后外售处置</w:t>
            </w:r>
            <w:r>
              <w:rPr>
                <w:rFonts w:hint="eastAsia" w:cs="Times New Roman"/>
                <w:color w:val="auto"/>
                <w:kern w:val="0"/>
                <w:sz w:val="24"/>
                <w:szCs w:val="24"/>
                <w:highlight w:val="none"/>
                <w:lang w:val="en-US" w:eastAsia="zh-CN"/>
              </w:rPr>
              <w:t>，</w:t>
            </w:r>
            <w:r>
              <w:rPr>
                <w:rFonts w:hint="default" w:ascii="Times New Roman" w:hAnsi="Times New Roman" w:eastAsia="宋体" w:cs="Times New Roman"/>
                <w:bCs/>
                <w:color w:val="auto"/>
                <w:sz w:val="24"/>
                <w:lang w:val="en-US" w:eastAsia="zh-CN"/>
              </w:rPr>
              <w:t>不涉及物料、污染物</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bCs/>
                <w:color w:val="auto"/>
                <w:sz w:val="24"/>
                <w:lang w:val="en-US" w:eastAsia="zh-CN"/>
              </w:rPr>
              <w:t>各类固废、废水等</w:t>
            </w:r>
            <w:r>
              <w:rPr>
                <w:rFonts w:hint="eastAsia" w:ascii="Times New Roman" w:hAnsi="Times New Roman" w:eastAsia="宋体" w:cs="Times New Roman"/>
                <w:bCs/>
                <w:color w:val="auto"/>
                <w:sz w:val="24"/>
                <w:lang w:val="en-US" w:eastAsia="zh-CN"/>
              </w:rPr>
              <w:t>）</w:t>
            </w:r>
            <w:r>
              <w:rPr>
                <w:rFonts w:hint="default" w:ascii="Times New Roman" w:hAnsi="Times New Roman" w:eastAsia="宋体" w:cs="Times New Roman"/>
                <w:bCs/>
                <w:color w:val="auto"/>
                <w:sz w:val="24"/>
                <w:lang w:val="en-US" w:eastAsia="zh-CN"/>
              </w:rPr>
              <w:t>以及污染防治措施</w:t>
            </w:r>
            <w:r>
              <w:rPr>
                <w:rFonts w:hint="eastAsia" w:cs="Times New Roman"/>
                <w:bCs/>
                <w:color w:val="auto"/>
                <w:sz w:val="24"/>
                <w:lang w:val="en-US" w:eastAsia="zh-CN"/>
              </w:rPr>
              <w:t>拆除，项目不涉及建筑物拆除，无需按照《企业拆除活动污染防治技术规定（试行）》（环保部2017年78号令）进行污染防治。</w:t>
            </w:r>
          </w:p>
          <w:p>
            <w:pPr>
              <w:autoSpaceDE w:val="0"/>
              <w:autoSpaceDN w:val="0"/>
              <w:adjustRightInd w:val="0"/>
              <w:snapToGrid w:val="0"/>
              <w:spacing w:line="360" w:lineRule="auto"/>
              <w:ind w:firstLine="480" w:firstLineChars="200"/>
              <w:rPr>
                <w:rFonts w:hint="default" w:ascii="Times New Roman" w:hAnsi="Times New Roman" w:eastAsia="宋体" w:cs="Times New Roman"/>
                <w:bCs/>
                <w:color w:val="auto"/>
                <w:sz w:val="24"/>
                <w:lang w:val="en-US" w:eastAsia="zh-CN"/>
              </w:rPr>
            </w:pPr>
          </w:p>
        </w:tc>
      </w:tr>
    </w:tbl>
    <w:p>
      <w:pPr>
        <w:pStyle w:val="22"/>
        <w:jc w:val="center"/>
        <w:outlineLvl w:val="0"/>
        <w:rPr>
          <w:rFonts w:hint="default" w:ascii="Times New Roman" w:hAnsi="Times New Roman" w:eastAsia="黑体" w:cs="Times New Roman"/>
          <w:snapToGrid w:val="0"/>
          <w:color w:val="auto"/>
          <w:sz w:val="30"/>
          <w:szCs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2"/>
        <w:jc w:val="center"/>
        <w:outlineLvl w:val="0"/>
        <w:rPr>
          <w:rFonts w:hint="default" w:ascii="Times New Roman" w:hAnsi="Times New Roman" w:eastAsia="黑体" w:cs="Times New Roman"/>
          <w:snapToGrid w:val="0"/>
          <w:color w:val="auto"/>
          <w:sz w:val="30"/>
          <w:szCs w:val="30"/>
          <w:highlight w:val="none"/>
        </w:rPr>
      </w:pPr>
      <w:r>
        <w:rPr>
          <w:rFonts w:hint="default" w:ascii="Times New Roman" w:hAnsi="Times New Roman" w:eastAsia="黑体" w:cs="Times New Roman"/>
          <w:snapToGrid w:val="0"/>
          <w:color w:val="auto"/>
          <w:sz w:val="30"/>
          <w:szCs w:val="30"/>
          <w:highlight w:val="none"/>
        </w:rPr>
        <w:t>三、区域环境质量现状、环境保护目标及评价标准</w:t>
      </w:r>
    </w:p>
    <w:tbl>
      <w:tblPr>
        <w:tblStyle w:val="25"/>
        <w:tblW w:w="8520"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431"/>
        <w:gridCol w:w="808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31" w:type="dxa"/>
            <w:vAlign w:val="center"/>
          </w:tcPr>
          <w:p>
            <w:pPr>
              <w:adjustRightInd w:val="0"/>
              <w:snapToGrid w:val="0"/>
              <w:jc w:val="center"/>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区域</w:t>
            </w:r>
          </w:p>
          <w:p>
            <w:pPr>
              <w:adjustRightInd w:val="0"/>
              <w:snapToGrid w:val="0"/>
              <w:jc w:val="center"/>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环境</w:t>
            </w:r>
          </w:p>
          <w:p>
            <w:pPr>
              <w:adjustRightInd w:val="0"/>
              <w:snapToGrid w:val="0"/>
              <w:jc w:val="center"/>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质量</w:t>
            </w:r>
          </w:p>
          <w:p>
            <w:pPr>
              <w:adjustRightInd w:val="0"/>
              <w:snapToGrid w:val="0"/>
              <w:jc w:val="center"/>
              <w:rPr>
                <w:rFonts w:hint="default" w:ascii="Times New Roman" w:hAnsi="Times New Roman" w:cs="Times New Roman"/>
                <w:color w:val="auto"/>
                <w:sz w:val="24"/>
                <w:szCs w:val="32"/>
                <w:highlight w:val="none"/>
              </w:rPr>
            </w:pPr>
            <w:r>
              <w:rPr>
                <w:rFonts w:hint="default" w:ascii="Times New Roman" w:hAnsi="Times New Roman" w:cs="Times New Roman"/>
                <w:color w:val="auto"/>
                <w:sz w:val="24"/>
                <w:szCs w:val="32"/>
                <w:highlight w:val="none"/>
              </w:rPr>
              <w:t>现状</w:t>
            </w:r>
          </w:p>
        </w:tc>
        <w:tc>
          <w:tcPr>
            <w:tcW w:w="8089" w:type="dxa"/>
            <w:vAlign w:val="center"/>
          </w:tcPr>
          <w:p>
            <w:pPr>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lang w:val="en-US" w:eastAsia="zh-CN"/>
              </w:rPr>
              <w:t>1、</w:t>
            </w:r>
            <w:r>
              <w:rPr>
                <w:rFonts w:hint="default" w:ascii="Times New Roman" w:hAnsi="Times New Roman" w:cs="Times New Roman"/>
                <w:b/>
                <w:color w:val="auto"/>
                <w:sz w:val="24"/>
                <w:szCs w:val="32"/>
                <w:highlight w:val="none"/>
              </w:rPr>
              <w:t>大气环境</w:t>
            </w:r>
          </w:p>
          <w:p>
            <w:pPr>
              <w:adjustRightInd w:val="0"/>
              <w:snapToGrid w:val="0"/>
              <w:spacing w:line="360" w:lineRule="auto"/>
              <w:ind w:firstLine="480" w:firstLineChars="200"/>
              <w:jc w:val="left"/>
              <w:rPr>
                <w:rFonts w:hint="default" w:cs="Times New Roman"/>
                <w:color w:val="auto"/>
                <w:sz w:val="24"/>
                <w:szCs w:val="32"/>
                <w:highlight w:val="none"/>
                <w:lang w:val="en-US" w:eastAsia="zh-CN"/>
              </w:rPr>
            </w:pPr>
            <w:r>
              <w:rPr>
                <w:rFonts w:hint="eastAsia" w:cs="Times New Roman"/>
                <w:color w:val="auto"/>
                <w:sz w:val="24"/>
                <w:szCs w:val="32"/>
                <w:highlight w:val="none"/>
                <w:lang w:val="en-US" w:eastAsia="zh-CN"/>
              </w:rPr>
              <w:t>（1）项目所在区域基本污染物达标情况</w:t>
            </w:r>
          </w:p>
          <w:p>
            <w:pPr>
              <w:adjustRightInd w:val="0"/>
              <w:snapToGrid w:val="0"/>
              <w:spacing w:line="360" w:lineRule="auto"/>
              <w:ind w:firstLine="480"/>
              <w:rPr>
                <w:rFonts w:hint="default" w:ascii="Times New Roman" w:hAnsi="Times New Roman" w:eastAsia="宋体" w:cs="Times New Roman"/>
                <w:color w:val="auto"/>
                <w:sz w:val="24"/>
                <w:szCs w:val="32"/>
                <w:lang w:val="en-US" w:eastAsia="zh-CN"/>
              </w:rPr>
            </w:pPr>
            <w:r>
              <w:rPr>
                <w:rFonts w:hint="eastAsia" w:ascii="Times New Roman" w:hAnsi="Times New Roman" w:eastAsia="宋体" w:cs="Times New Roman"/>
                <w:color w:val="auto"/>
                <w:sz w:val="24"/>
                <w:szCs w:val="32"/>
                <w:lang w:val="en-US" w:eastAsia="zh-CN"/>
              </w:rPr>
              <w:t>本次评价选取2024年作为评价基准年，</w:t>
            </w:r>
            <w:r>
              <w:rPr>
                <w:rFonts w:hint="default" w:ascii="Times New Roman" w:hAnsi="Times New Roman" w:eastAsia="宋体" w:cs="Times New Roman"/>
                <w:color w:val="auto"/>
                <w:sz w:val="24"/>
                <w:szCs w:val="32"/>
                <w:lang w:val="en-US" w:eastAsia="zh-CN"/>
              </w:rPr>
              <w:t>项目所在区域位于南通市</w:t>
            </w:r>
            <w:r>
              <w:rPr>
                <w:rFonts w:hint="eastAsia" w:ascii="Times New Roman" w:hAnsi="Times New Roman" w:eastAsia="宋体" w:cs="Times New Roman"/>
                <w:color w:val="auto"/>
                <w:sz w:val="24"/>
                <w:szCs w:val="32"/>
                <w:lang w:val="en-US" w:eastAsia="zh-CN"/>
              </w:rPr>
              <w:t>如皋市</w:t>
            </w:r>
            <w:r>
              <w:rPr>
                <w:rFonts w:hint="default" w:ascii="Times New Roman" w:hAnsi="Times New Roman" w:eastAsia="宋体" w:cs="Times New Roman"/>
                <w:color w:val="auto"/>
                <w:sz w:val="24"/>
                <w:szCs w:val="32"/>
                <w:lang w:val="en-US" w:eastAsia="zh-CN"/>
              </w:rPr>
              <w:t>，环境空气评价区属于环境空气质量二类功能区，评价范围内PM</w:t>
            </w:r>
            <w:r>
              <w:rPr>
                <w:rFonts w:hint="default" w:ascii="Times New Roman" w:hAnsi="Times New Roman" w:eastAsia="宋体" w:cs="Times New Roman"/>
                <w:color w:val="auto"/>
                <w:sz w:val="24"/>
                <w:szCs w:val="32"/>
                <w:vertAlign w:val="subscript"/>
                <w:lang w:val="en-US" w:eastAsia="zh-CN"/>
              </w:rPr>
              <w:t>2.5</w:t>
            </w:r>
            <w:r>
              <w:rPr>
                <w:rFonts w:hint="default" w:ascii="Times New Roman" w:hAnsi="Times New Roman" w:eastAsia="宋体" w:cs="Times New Roman"/>
                <w:color w:val="auto"/>
                <w:sz w:val="24"/>
                <w:szCs w:val="32"/>
                <w:lang w:val="en-US" w:eastAsia="zh-CN"/>
              </w:rPr>
              <w:t>、PM</w:t>
            </w:r>
            <w:r>
              <w:rPr>
                <w:rFonts w:hint="default" w:ascii="Times New Roman" w:hAnsi="Times New Roman" w:eastAsia="宋体" w:cs="Times New Roman"/>
                <w:color w:val="auto"/>
                <w:sz w:val="24"/>
                <w:szCs w:val="32"/>
                <w:vertAlign w:val="subscript"/>
                <w:lang w:val="en-US" w:eastAsia="zh-CN"/>
              </w:rPr>
              <w:t>10</w:t>
            </w:r>
            <w:r>
              <w:rPr>
                <w:rFonts w:hint="default" w:ascii="Times New Roman" w:hAnsi="Times New Roman" w:eastAsia="宋体" w:cs="Times New Roman"/>
                <w:color w:val="auto"/>
                <w:sz w:val="24"/>
                <w:szCs w:val="32"/>
                <w:lang w:val="en-US" w:eastAsia="zh-CN"/>
              </w:rPr>
              <w:t>、SO2、NO</w:t>
            </w:r>
            <w:r>
              <w:rPr>
                <w:rFonts w:hint="default" w:ascii="Times New Roman" w:hAnsi="Times New Roman" w:eastAsia="宋体" w:cs="Times New Roman"/>
                <w:color w:val="auto"/>
                <w:sz w:val="24"/>
                <w:szCs w:val="32"/>
                <w:vertAlign w:val="subscript"/>
                <w:lang w:val="en-US" w:eastAsia="zh-CN"/>
              </w:rPr>
              <w:t>2</w:t>
            </w:r>
            <w:r>
              <w:rPr>
                <w:rFonts w:hint="default" w:ascii="Times New Roman" w:hAnsi="Times New Roman" w:eastAsia="宋体" w:cs="Times New Roman"/>
                <w:color w:val="auto"/>
                <w:sz w:val="24"/>
                <w:szCs w:val="32"/>
                <w:lang w:val="en-US" w:eastAsia="zh-CN"/>
              </w:rPr>
              <w:t>、O</w:t>
            </w:r>
            <w:r>
              <w:rPr>
                <w:rFonts w:hint="default" w:ascii="Times New Roman" w:hAnsi="Times New Roman" w:eastAsia="宋体" w:cs="Times New Roman"/>
                <w:color w:val="auto"/>
                <w:sz w:val="24"/>
                <w:szCs w:val="32"/>
                <w:vertAlign w:val="subscript"/>
                <w:lang w:val="en-US" w:eastAsia="zh-CN"/>
              </w:rPr>
              <w:t>3</w:t>
            </w:r>
            <w:r>
              <w:rPr>
                <w:rFonts w:hint="default" w:ascii="Times New Roman" w:hAnsi="Times New Roman" w:eastAsia="宋体" w:cs="Times New Roman"/>
                <w:color w:val="auto"/>
                <w:sz w:val="24"/>
                <w:szCs w:val="32"/>
                <w:lang w:val="en-US" w:eastAsia="zh-CN"/>
              </w:rPr>
              <w:t>、CO执行《环境空气质量标准》（GB3095-20</w:t>
            </w:r>
            <w:r>
              <w:rPr>
                <w:rFonts w:hint="eastAsia" w:cs="Times New Roman"/>
                <w:color w:val="auto"/>
                <w:sz w:val="24"/>
                <w:szCs w:val="32"/>
                <w:lang w:val="en-US" w:eastAsia="zh-CN"/>
              </w:rPr>
              <w:t>26</w:t>
            </w:r>
            <w:r>
              <w:rPr>
                <w:rFonts w:hint="default" w:ascii="Times New Roman" w:hAnsi="Times New Roman" w:eastAsia="宋体" w:cs="Times New Roman"/>
                <w:color w:val="auto"/>
                <w:sz w:val="24"/>
                <w:szCs w:val="32"/>
                <w:lang w:val="en-US" w:eastAsia="zh-CN"/>
              </w:rPr>
              <w:t>）表1</w:t>
            </w:r>
            <w:r>
              <w:rPr>
                <w:rFonts w:hint="eastAsia"/>
                <w:color w:val="auto"/>
                <w:sz w:val="24"/>
                <w:szCs w:val="32"/>
                <w:lang w:val="en-US" w:eastAsia="zh-CN"/>
              </w:rPr>
              <w:t>过渡阶段</w:t>
            </w:r>
            <w:r>
              <w:rPr>
                <w:color w:val="auto"/>
                <w:sz w:val="24"/>
                <w:szCs w:val="32"/>
              </w:rPr>
              <w:t>二级</w:t>
            </w:r>
            <w:r>
              <w:rPr>
                <w:rFonts w:hint="eastAsia"/>
                <w:color w:val="auto"/>
                <w:sz w:val="24"/>
                <w:szCs w:val="32"/>
                <w:lang w:val="en-US" w:eastAsia="zh-CN"/>
              </w:rPr>
              <w:t>浓度限值</w:t>
            </w:r>
            <w:r>
              <w:rPr>
                <w:rFonts w:hint="default" w:ascii="Times New Roman" w:hAnsi="Times New Roman" w:eastAsia="宋体" w:cs="Times New Roman"/>
                <w:color w:val="auto"/>
                <w:sz w:val="24"/>
                <w:szCs w:val="32"/>
                <w:lang w:val="en-US" w:eastAsia="zh-CN"/>
              </w:rPr>
              <w:t>。根据南通市生态环境状况公报（202</w:t>
            </w:r>
            <w:r>
              <w:rPr>
                <w:rFonts w:hint="eastAsia" w:ascii="Times New Roman" w:hAnsi="Times New Roman" w:eastAsia="宋体" w:cs="Times New Roman"/>
                <w:color w:val="auto"/>
                <w:sz w:val="24"/>
                <w:szCs w:val="32"/>
                <w:lang w:val="en-US" w:eastAsia="zh-CN"/>
              </w:rPr>
              <w:t>4</w:t>
            </w:r>
            <w:r>
              <w:rPr>
                <w:rFonts w:hint="default" w:ascii="Times New Roman" w:hAnsi="Times New Roman" w:eastAsia="宋体" w:cs="Times New Roman"/>
                <w:color w:val="auto"/>
                <w:sz w:val="24"/>
                <w:szCs w:val="32"/>
                <w:lang w:val="en-US" w:eastAsia="zh-CN"/>
              </w:rPr>
              <w:t>年）公报数据，项目所在区域环境空气质量状况见表3</w:t>
            </w:r>
            <w:r>
              <w:rPr>
                <w:rFonts w:hint="eastAsia" w:ascii="Times New Roman" w:hAnsi="Times New Roman" w:eastAsia="宋体" w:cs="Times New Roman"/>
                <w:color w:val="auto"/>
                <w:sz w:val="24"/>
                <w:szCs w:val="32"/>
                <w:lang w:val="en-US" w:eastAsia="zh-CN"/>
              </w:rPr>
              <w:t>.1</w:t>
            </w:r>
            <w:r>
              <w:rPr>
                <w:rFonts w:hint="default" w:ascii="Times New Roman" w:hAnsi="Times New Roman" w:eastAsia="宋体" w:cs="Times New Roman"/>
                <w:color w:val="auto"/>
                <w:sz w:val="24"/>
                <w:szCs w:val="32"/>
                <w:lang w:val="en-US" w:eastAsia="zh-CN"/>
              </w:rPr>
              <w:t>-1。</w:t>
            </w:r>
          </w:p>
          <w:p>
            <w:pPr>
              <w:adjustRightInd w:val="0"/>
              <w:snapToGrid w:val="0"/>
              <w:spacing w:line="276" w:lineRule="auto"/>
              <w:jc w:val="center"/>
              <w:rPr>
                <w:rFonts w:ascii="Times New Roman" w:hAnsi="Times New Roman" w:eastAsia="宋体" w:cs="Times New Roman"/>
                <w:b/>
                <w:color w:val="auto"/>
                <w:sz w:val="24"/>
                <w:szCs w:val="32"/>
              </w:rPr>
            </w:pPr>
            <w:r>
              <w:rPr>
                <w:rFonts w:ascii="Times New Roman" w:hAnsi="Times New Roman" w:eastAsia="宋体" w:cs="Times New Roman"/>
                <w:b/>
                <w:color w:val="auto"/>
                <w:sz w:val="24"/>
                <w:szCs w:val="32"/>
              </w:rPr>
              <w:t>表3</w:t>
            </w:r>
            <w:r>
              <w:rPr>
                <w:rFonts w:hint="eastAsia" w:cs="Times New Roman"/>
                <w:b/>
                <w:color w:val="auto"/>
                <w:sz w:val="24"/>
                <w:szCs w:val="32"/>
                <w:lang w:val="en-US" w:eastAsia="zh-CN"/>
              </w:rPr>
              <w:t>-</w:t>
            </w:r>
            <w:r>
              <w:rPr>
                <w:rFonts w:hint="eastAsia" w:ascii="Times New Roman" w:hAnsi="Times New Roman" w:eastAsia="宋体" w:cs="Times New Roman"/>
                <w:b/>
                <w:color w:val="auto"/>
                <w:sz w:val="24"/>
                <w:szCs w:val="32"/>
              </w:rPr>
              <w:t>1</w:t>
            </w:r>
            <w:r>
              <w:rPr>
                <w:rFonts w:hint="eastAsia" w:cs="Times New Roman"/>
                <w:b/>
                <w:color w:val="auto"/>
                <w:sz w:val="24"/>
                <w:szCs w:val="32"/>
                <w:lang w:val="en-US" w:eastAsia="zh-CN"/>
              </w:rPr>
              <w:t>.</w:t>
            </w:r>
            <w:r>
              <w:rPr>
                <w:rFonts w:ascii="Times New Roman" w:hAnsi="Times New Roman" w:eastAsia="宋体" w:cs="Times New Roman"/>
                <w:b/>
                <w:color w:val="auto"/>
                <w:sz w:val="24"/>
                <w:szCs w:val="32"/>
              </w:rPr>
              <w:t xml:space="preserve">1  </w:t>
            </w:r>
            <w:r>
              <w:rPr>
                <w:rFonts w:hint="eastAsia" w:ascii="Times New Roman" w:hAnsi="Times New Roman" w:eastAsia="宋体" w:cs="Times New Roman"/>
                <w:b/>
                <w:color w:val="auto"/>
                <w:sz w:val="24"/>
                <w:szCs w:val="32"/>
              </w:rPr>
              <w:t xml:space="preserve"> </w:t>
            </w:r>
            <w:r>
              <w:rPr>
                <w:rFonts w:ascii="Times New Roman" w:hAnsi="Times New Roman" w:eastAsia="宋体" w:cs="Times New Roman"/>
                <w:b/>
                <w:color w:val="auto"/>
                <w:sz w:val="24"/>
                <w:szCs w:val="32"/>
              </w:rPr>
              <w:t>202</w:t>
            </w:r>
            <w:r>
              <w:rPr>
                <w:rFonts w:hint="eastAsia" w:ascii="Times New Roman" w:hAnsi="Times New Roman" w:eastAsia="宋体" w:cs="Times New Roman"/>
                <w:b/>
                <w:color w:val="auto"/>
                <w:sz w:val="24"/>
                <w:szCs w:val="32"/>
              </w:rPr>
              <w:t>4</w:t>
            </w:r>
            <w:r>
              <w:rPr>
                <w:rFonts w:ascii="Times New Roman" w:hAnsi="Times New Roman" w:eastAsia="宋体" w:cs="Times New Roman"/>
                <w:b/>
                <w:color w:val="auto"/>
                <w:sz w:val="24"/>
                <w:szCs w:val="32"/>
              </w:rPr>
              <w:t>年如皋市主要空气污染物指标监测结果</w:t>
            </w:r>
            <w:r>
              <w:rPr>
                <w:rFonts w:hint="eastAsia" w:ascii="Times New Roman" w:hAnsi="Times New Roman" w:eastAsia="宋体" w:cs="Times New Roman"/>
                <w:b/>
                <w:color w:val="auto"/>
                <w:sz w:val="24"/>
                <w:szCs w:val="32"/>
              </w:rPr>
              <w:t>（</w:t>
            </w:r>
            <w:r>
              <w:rPr>
                <w:rFonts w:ascii="Times New Roman" w:hAnsi="Times New Roman" w:eastAsia="宋体" w:cs="Times New Roman"/>
                <w:b/>
                <w:color w:val="auto"/>
                <w:sz w:val="24"/>
                <w:szCs w:val="32"/>
              </w:rPr>
              <w:t>μ</w:t>
            </w:r>
            <w:r>
              <w:rPr>
                <w:rFonts w:hint="eastAsia" w:ascii="Times New Roman" w:hAnsi="Times New Roman" w:eastAsia="宋体" w:cs="Times New Roman"/>
                <w:b/>
                <w:color w:val="auto"/>
                <w:sz w:val="24"/>
                <w:szCs w:val="32"/>
              </w:rPr>
              <w:t>g/m</w:t>
            </w:r>
            <w:r>
              <w:rPr>
                <w:rFonts w:hint="eastAsia" w:ascii="Times New Roman" w:hAnsi="Times New Roman" w:eastAsia="宋体" w:cs="Times New Roman"/>
                <w:b/>
                <w:color w:val="auto"/>
                <w:sz w:val="24"/>
                <w:szCs w:val="32"/>
                <w:vertAlign w:val="superscript"/>
              </w:rPr>
              <w:t>3</w:t>
            </w:r>
            <w:r>
              <w:rPr>
                <w:rFonts w:hint="eastAsia" w:ascii="Times New Roman" w:hAnsi="Times New Roman" w:eastAsia="宋体" w:cs="Times New Roman"/>
                <w:b/>
                <w:color w:val="auto"/>
                <w:sz w:val="24"/>
                <w:szCs w:val="32"/>
              </w:rPr>
              <w:t>）</w:t>
            </w:r>
          </w:p>
          <w:tbl>
            <w:tblPr>
              <w:tblStyle w:val="25"/>
              <w:tblW w:w="7873"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808"/>
              <w:gridCol w:w="1088"/>
              <w:gridCol w:w="871"/>
              <w:gridCol w:w="1147"/>
              <w:gridCol w:w="108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5"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b/>
                      <w:bCs/>
                      <w:color w:val="auto"/>
                      <w:sz w:val="21"/>
                    </w:rPr>
                    <w:t>污染物</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b/>
                      <w:bCs/>
                      <w:color w:val="auto"/>
                      <w:sz w:val="21"/>
                    </w:rPr>
                    <w:t>年评价指标</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b/>
                      <w:bCs/>
                      <w:color w:val="auto"/>
                      <w:sz w:val="21"/>
                    </w:rPr>
                    <w:t>现状浓度</w:t>
                  </w:r>
                </w:p>
              </w:tc>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b/>
                      <w:bCs/>
                      <w:color w:val="auto"/>
                      <w:sz w:val="21"/>
                    </w:rPr>
                    <w:t>标准值</w:t>
                  </w:r>
                </w:p>
              </w:tc>
              <w:tc>
                <w:tcPr>
                  <w:tcW w:w="1147"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rFonts w:hint="eastAsia"/>
                      <w:b/>
                      <w:bCs/>
                      <w:color w:val="auto"/>
                      <w:sz w:val="21"/>
                    </w:rPr>
                    <w:t>占标率%</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b/>
                      <w:bCs/>
                      <w:color w:val="auto"/>
                      <w:sz w:val="21"/>
                    </w:rPr>
                  </w:pPr>
                  <w:r>
                    <w:rPr>
                      <w:b/>
                      <w:bCs/>
                      <w:color w:val="auto"/>
                      <w:sz w:val="21"/>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5"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SO</w:t>
                  </w:r>
                  <w:r>
                    <w:rPr>
                      <w:color w:val="auto"/>
                      <w:sz w:val="21"/>
                      <w:vertAlign w:val="subscript"/>
                    </w:rPr>
                    <w:t>2</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年平均质量浓度</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9</w:t>
                  </w:r>
                </w:p>
              </w:tc>
              <w:tc>
                <w:tcPr>
                  <w:tcW w:w="871" w:type="dxa"/>
                  <w:tcBorders>
                    <w:tl2br w:val="nil"/>
                    <w:tr2bl w:val="nil"/>
                  </w:tcBorders>
                  <w:noWrap w:val="0"/>
                  <w:vAlign w:val="center"/>
                </w:tcPr>
                <w:p>
                  <w:pPr>
                    <w:adjustRightInd w:val="0"/>
                    <w:snapToGrid w:val="0"/>
                    <w:jc w:val="center"/>
                    <w:rPr>
                      <w:color w:val="auto"/>
                      <w:sz w:val="21"/>
                    </w:rPr>
                  </w:pPr>
                  <w:r>
                    <w:rPr>
                      <w:color w:val="auto"/>
                    </w:rPr>
                    <w:t>60</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rPr>
                    <w:t>15</w:t>
                  </w:r>
                </w:p>
              </w:tc>
              <w:tc>
                <w:tcPr>
                  <w:tcW w:w="1088" w:type="dxa"/>
                  <w:tcBorders>
                    <w:tl2br w:val="nil"/>
                    <w:tr2bl w:val="nil"/>
                  </w:tcBorders>
                  <w:noWrap w:val="0"/>
                  <w:vAlign w:val="center"/>
                </w:tcPr>
                <w:p>
                  <w:pPr>
                    <w:adjustRightInd w:val="0"/>
                    <w:snapToGrid w:val="0"/>
                    <w:jc w:val="center"/>
                    <w:rPr>
                      <w:color w:val="auto"/>
                      <w:sz w:val="21"/>
                    </w:rPr>
                  </w:pPr>
                  <w:r>
                    <w:rPr>
                      <w:color w:val="auto"/>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NO</w:t>
                  </w:r>
                  <w:r>
                    <w:rPr>
                      <w:color w:val="auto"/>
                      <w:sz w:val="21"/>
                      <w:vertAlign w:val="subscript"/>
                    </w:rPr>
                    <w:t>2</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年平均质量浓度</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18</w:t>
                  </w:r>
                </w:p>
              </w:tc>
              <w:tc>
                <w:tcPr>
                  <w:tcW w:w="871" w:type="dxa"/>
                  <w:tcBorders>
                    <w:tl2br w:val="nil"/>
                    <w:tr2bl w:val="nil"/>
                  </w:tcBorders>
                  <w:noWrap w:val="0"/>
                  <w:vAlign w:val="center"/>
                </w:tcPr>
                <w:p>
                  <w:pPr>
                    <w:adjustRightInd w:val="0"/>
                    <w:snapToGrid w:val="0"/>
                    <w:jc w:val="center"/>
                    <w:rPr>
                      <w:color w:val="auto"/>
                      <w:sz w:val="21"/>
                    </w:rPr>
                  </w:pPr>
                  <w:r>
                    <w:rPr>
                      <w:color w:val="auto"/>
                    </w:rPr>
                    <w:t>40</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rPr>
                    <w:t>45</w:t>
                  </w:r>
                </w:p>
              </w:tc>
              <w:tc>
                <w:tcPr>
                  <w:tcW w:w="1088" w:type="dxa"/>
                  <w:tcBorders>
                    <w:tl2br w:val="nil"/>
                    <w:tr2bl w:val="nil"/>
                  </w:tcBorders>
                  <w:noWrap w:val="0"/>
                  <w:vAlign w:val="center"/>
                </w:tcPr>
                <w:p>
                  <w:pPr>
                    <w:adjustRightInd w:val="0"/>
                    <w:snapToGrid w:val="0"/>
                    <w:jc w:val="center"/>
                    <w:rPr>
                      <w:color w:val="auto"/>
                      <w:sz w:val="21"/>
                    </w:rPr>
                  </w:pPr>
                  <w:r>
                    <w:rPr>
                      <w:color w:val="auto"/>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PM</w:t>
                  </w:r>
                  <w:r>
                    <w:rPr>
                      <w:color w:val="auto"/>
                      <w:sz w:val="21"/>
                      <w:vertAlign w:val="subscript"/>
                    </w:rPr>
                    <w:t>10</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年平均质量浓度</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49</w:t>
                  </w:r>
                </w:p>
              </w:tc>
              <w:tc>
                <w:tcPr>
                  <w:tcW w:w="871" w:type="dxa"/>
                  <w:tcBorders>
                    <w:tl2br w:val="nil"/>
                    <w:tr2bl w:val="nil"/>
                  </w:tcBorders>
                  <w:noWrap w:val="0"/>
                  <w:vAlign w:val="center"/>
                </w:tcPr>
                <w:p>
                  <w:pPr>
                    <w:adjustRightInd w:val="0"/>
                    <w:snapToGrid w:val="0"/>
                    <w:jc w:val="center"/>
                    <w:rPr>
                      <w:color w:val="auto"/>
                      <w:sz w:val="21"/>
                    </w:rPr>
                  </w:pPr>
                  <w:r>
                    <w:rPr>
                      <w:rFonts w:hint="eastAsia"/>
                      <w:color w:val="auto"/>
                      <w:lang w:val="en-US" w:eastAsia="zh-CN"/>
                    </w:rPr>
                    <w:t>6</w:t>
                  </w:r>
                  <w:r>
                    <w:rPr>
                      <w:color w:val="auto"/>
                    </w:rPr>
                    <w:t>0</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lang w:val="en-US" w:eastAsia="zh-CN"/>
                    </w:rPr>
                    <w:t>81.7</w:t>
                  </w:r>
                </w:p>
              </w:tc>
              <w:tc>
                <w:tcPr>
                  <w:tcW w:w="1088" w:type="dxa"/>
                  <w:tcBorders>
                    <w:tl2br w:val="nil"/>
                    <w:tr2bl w:val="nil"/>
                  </w:tcBorders>
                  <w:noWrap w:val="0"/>
                  <w:vAlign w:val="center"/>
                </w:tcPr>
                <w:p>
                  <w:pPr>
                    <w:adjustRightInd w:val="0"/>
                    <w:snapToGrid w:val="0"/>
                    <w:jc w:val="center"/>
                    <w:rPr>
                      <w:color w:val="auto"/>
                      <w:sz w:val="21"/>
                    </w:rPr>
                  </w:pPr>
                  <w:r>
                    <w:rPr>
                      <w:color w:val="auto"/>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PM</w:t>
                  </w:r>
                  <w:r>
                    <w:rPr>
                      <w:color w:val="auto"/>
                      <w:sz w:val="21"/>
                      <w:vertAlign w:val="subscript"/>
                    </w:rPr>
                    <w:t>2.5</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年平均质量浓度</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31</w:t>
                  </w:r>
                </w:p>
              </w:tc>
              <w:tc>
                <w:tcPr>
                  <w:tcW w:w="871" w:type="dxa"/>
                  <w:tcBorders>
                    <w:tl2br w:val="nil"/>
                    <w:tr2bl w:val="nil"/>
                  </w:tcBorders>
                  <w:noWrap w:val="0"/>
                  <w:vAlign w:val="center"/>
                </w:tcPr>
                <w:p>
                  <w:pPr>
                    <w:adjustRightInd w:val="0"/>
                    <w:snapToGrid w:val="0"/>
                    <w:jc w:val="center"/>
                    <w:rPr>
                      <w:color w:val="auto"/>
                      <w:sz w:val="21"/>
                    </w:rPr>
                  </w:pPr>
                  <w:r>
                    <w:rPr>
                      <w:rFonts w:hint="eastAsia"/>
                      <w:color w:val="auto"/>
                      <w:lang w:val="en-US" w:eastAsia="zh-CN"/>
                    </w:rPr>
                    <w:t>30</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lang w:val="en-US" w:eastAsia="zh-CN"/>
                    </w:rPr>
                    <w:t>103.3</w:t>
                  </w:r>
                </w:p>
              </w:tc>
              <w:tc>
                <w:tcPr>
                  <w:tcW w:w="1088" w:type="dxa"/>
                  <w:tcBorders>
                    <w:tl2br w:val="nil"/>
                    <w:tr2bl w:val="nil"/>
                  </w:tcBorders>
                  <w:noWrap w:val="0"/>
                  <w:vAlign w:val="center"/>
                </w:tcPr>
                <w:p>
                  <w:pPr>
                    <w:adjustRightInd w:val="0"/>
                    <w:snapToGrid w:val="0"/>
                    <w:jc w:val="center"/>
                    <w:rPr>
                      <w:color w:val="auto"/>
                      <w:sz w:val="21"/>
                    </w:rPr>
                  </w:pPr>
                  <w:r>
                    <w:rPr>
                      <w:rFonts w:hint="eastAsia"/>
                      <w:color w:val="auto"/>
                      <w:lang w:val="en-US" w:eastAsia="zh-CN"/>
                    </w:rPr>
                    <w:t>不</w:t>
                  </w:r>
                  <w:r>
                    <w:rPr>
                      <w:color w:val="auto"/>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CO</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24小时平均第95百分位数</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1.2</w:t>
                  </w:r>
                </w:p>
              </w:tc>
              <w:tc>
                <w:tcPr>
                  <w:tcW w:w="871" w:type="dxa"/>
                  <w:tcBorders>
                    <w:tl2br w:val="nil"/>
                    <w:tr2bl w:val="nil"/>
                  </w:tcBorders>
                  <w:noWrap w:val="0"/>
                  <w:vAlign w:val="center"/>
                </w:tcPr>
                <w:p>
                  <w:pPr>
                    <w:adjustRightInd w:val="0"/>
                    <w:snapToGrid w:val="0"/>
                    <w:jc w:val="center"/>
                    <w:rPr>
                      <w:rFonts w:hint="eastAsia" w:eastAsia="宋体"/>
                      <w:color w:val="auto"/>
                      <w:sz w:val="21"/>
                      <w:lang w:eastAsia="zh-CN"/>
                    </w:rPr>
                  </w:pPr>
                  <w:r>
                    <w:rPr>
                      <w:rFonts w:hint="eastAsia"/>
                      <w:color w:val="auto"/>
                      <w:lang w:val="en-US" w:eastAsia="zh-CN"/>
                    </w:rPr>
                    <w:t>4</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rPr>
                    <w:t>30</w:t>
                  </w:r>
                </w:p>
              </w:tc>
              <w:tc>
                <w:tcPr>
                  <w:tcW w:w="1088" w:type="dxa"/>
                  <w:tcBorders>
                    <w:tl2br w:val="nil"/>
                    <w:tr2bl w:val="nil"/>
                  </w:tcBorders>
                  <w:noWrap w:val="0"/>
                  <w:vAlign w:val="center"/>
                </w:tcPr>
                <w:p>
                  <w:pPr>
                    <w:adjustRightInd w:val="0"/>
                    <w:snapToGrid w:val="0"/>
                    <w:jc w:val="center"/>
                    <w:rPr>
                      <w:color w:val="auto"/>
                      <w:sz w:val="21"/>
                    </w:rPr>
                  </w:pPr>
                  <w:r>
                    <w:rPr>
                      <w:color w:val="auto"/>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871"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O</w:t>
                  </w:r>
                  <w:r>
                    <w:rPr>
                      <w:color w:val="auto"/>
                      <w:sz w:val="21"/>
                      <w:vertAlign w:val="subscript"/>
                    </w:rPr>
                    <w:t>3</w:t>
                  </w:r>
                </w:p>
              </w:tc>
              <w:tc>
                <w:tcPr>
                  <w:tcW w:w="280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color w:val="auto"/>
                      <w:sz w:val="21"/>
                    </w:rPr>
                    <w:t>日最大8小时滑动平均值第90百分位数</w:t>
                  </w:r>
                </w:p>
              </w:tc>
              <w:tc>
                <w:tcPr>
                  <w:tcW w:w="1088" w:type="dxa"/>
                  <w:tcBorders>
                    <w:tl2br w:val="nil"/>
                    <w:tr2bl w:val="nil"/>
                  </w:tcBorders>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color w:val="auto"/>
                      <w:sz w:val="21"/>
                    </w:rPr>
                  </w:pPr>
                  <w:r>
                    <w:rPr>
                      <w:rFonts w:hint="eastAsia"/>
                      <w:color w:val="auto"/>
                      <w:sz w:val="21"/>
                    </w:rPr>
                    <w:t>152</w:t>
                  </w:r>
                </w:p>
              </w:tc>
              <w:tc>
                <w:tcPr>
                  <w:tcW w:w="871" w:type="dxa"/>
                  <w:tcBorders>
                    <w:tl2br w:val="nil"/>
                    <w:tr2bl w:val="nil"/>
                  </w:tcBorders>
                  <w:noWrap w:val="0"/>
                  <w:vAlign w:val="center"/>
                </w:tcPr>
                <w:p>
                  <w:pPr>
                    <w:adjustRightInd w:val="0"/>
                    <w:snapToGrid w:val="0"/>
                    <w:jc w:val="center"/>
                    <w:rPr>
                      <w:color w:val="auto"/>
                      <w:sz w:val="21"/>
                    </w:rPr>
                  </w:pPr>
                  <w:r>
                    <w:rPr>
                      <w:color w:val="auto"/>
                    </w:rPr>
                    <w:t>160</w:t>
                  </w:r>
                </w:p>
              </w:tc>
              <w:tc>
                <w:tcPr>
                  <w:tcW w:w="1147" w:type="dxa"/>
                  <w:tcBorders>
                    <w:tl2br w:val="nil"/>
                    <w:tr2bl w:val="nil"/>
                  </w:tcBorders>
                  <w:noWrap w:val="0"/>
                  <w:vAlign w:val="center"/>
                </w:tcPr>
                <w:p>
                  <w:pPr>
                    <w:adjustRightInd w:val="0"/>
                    <w:snapToGrid w:val="0"/>
                    <w:jc w:val="center"/>
                    <w:rPr>
                      <w:color w:val="auto"/>
                      <w:sz w:val="21"/>
                    </w:rPr>
                  </w:pPr>
                  <w:r>
                    <w:rPr>
                      <w:rFonts w:hint="eastAsia"/>
                      <w:color w:val="auto"/>
                    </w:rPr>
                    <w:t>95</w:t>
                  </w:r>
                </w:p>
              </w:tc>
              <w:tc>
                <w:tcPr>
                  <w:tcW w:w="1088" w:type="dxa"/>
                  <w:tcBorders>
                    <w:tl2br w:val="nil"/>
                    <w:tr2bl w:val="nil"/>
                  </w:tcBorders>
                  <w:noWrap w:val="0"/>
                  <w:vAlign w:val="center"/>
                </w:tcPr>
                <w:p>
                  <w:pPr>
                    <w:adjustRightInd w:val="0"/>
                    <w:snapToGrid w:val="0"/>
                    <w:jc w:val="center"/>
                    <w:rPr>
                      <w:color w:val="auto"/>
                      <w:sz w:val="21"/>
                    </w:rPr>
                  </w:pPr>
                  <w:r>
                    <w:rPr>
                      <w:color w:val="auto"/>
                    </w:rPr>
                    <w:t>达标</w:t>
                  </w:r>
                </w:p>
              </w:tc>
            </w:tr>
          </w:tbl>
          <w:p>
            <w:pPr>
              <w:adjustRightInd w:val="0"/>
              <w:snapToGrid w:val="0"/>
              <w:spacing w:line="360" w:lineRule="auto"/>
              <w:ind w:firstLine="480"/>
              <w:rPr>
                <w:color w:val="auto"/>
                <w:sz w:val="24"/>
                <w:szCs w:val="32"/>
              </w:rPr>
            </w:pPr>
            <w:r>
              <w:rPr>
                <w:rFonts w:hint="eastAsia"/>
                <w:color w:val="auto"/>
                <w:sz w:val="24"/>
                <w:szCs w:val="32"/>
                <w:lang w:val="en-US" w:eastAsia="zh-CN"/>
              </w:rPr>
              <w:t>根据质量公报，项目所在地2024年除PM</w:t>
            </w:r>
            <w:r>
              <w:rPr>
                <w:rFonts w:hint="eastAsia"/>
                <w:color w:val="auto"/>
                <w:sz w:val="24"/>
                <w:szCs w:val="32"/>
                <w:vertAlign w:val="subscript"/>
                <w:lang w:val="en-US" w:eastAsia="zh-CN"/>
              </w:rPr>
              <w:t>2.5</w:t>
            </w:r>
            <w:r>
              <w:rPr>
                <w:rFonts w:hint="eastAsia"/>
                <w:color w:val="auto"/>
                <w:sz w:val="24"/>
                <w:szCs w:val="32"/>
                <w:lang w:val="en-US" w:eastAsia="zh-CN"/>
              </w:rPr>
              <w:t>外。基本污染物均能满足</w:t>
            </w:r>
            <w:r>
              <w:rPr>
                <w:color w:val="auto"/>
                <w:sz w:val="24"/>
                <w:szCs w:val="32"/>
              </w:rPr>
              <w:t>《环境空气质量标准》（GB3095-20</w:t>
            </w:r>
            <w:r>
              <w:rPr>
                <w:rFonts w:hint="eastAsia"/>
                <w:color w:val="auto"/>
                <w:sz w:val="24"/>
                <w:szCs w:val="32"/>
                <w:lang w:val="en-US" w:eastAsia="zh-CN"/>
              </w:rPr>
              <w:t>26</w:t>
            </w:r>
            <w:r>
              <w:rPr>
                <w:color w:val="auto"/>
                <w:sz w:val="24"/>
                <w:szCs w:val="32"/>
              </w:rPr>
              <w:t>）表1</w:t>
            </w:r>
            <w:r>
              <w:rPr>
                <w:rFonts w:hint="eastAsia"/>
                <w:color w:val="auto"/>
                <w:sz w:val="24"/>
                <w:szCs w:val="32"/>
                <w:lang w:val="en-US" w:eastAsia="zh-CN"/>
              </w:rPr>
              <w:t>过渡阶段</w:t>
            </w:r>
            <w:r>
              <w:rPr>
                <w:color w:val="auto"/>
                <w:sz w:val="24"/>
                <w:szCs w:val="32"/>
              </w:rPr>
              <w:t>二级</w:t>
            </w:r>
            <w:r>
              <w:rPr>
                <w:rFonts w:hint="eastAsia"/>
                <w:color w:val="auto"/>
                <w:sz w:val="24"/>
                <w:szCs w:val="32"/>
                <w:lang w:val="en-US" w:eastAsia="zh-CN"/>
              </w:rPr>
              <w:t>浓度限值，PM</w:t>
            </w:r>
            <w:r>
              <w:rPr>
                <w:rFonts w:hint="eastAsia"/>
                <w:color w:val="auto"/>
                <w:sz w:val="24"/>
                <w:szCs w:val="32"/>
                <w:vertAlign w:val="subscript"/>
                <w:lang w:val="en-US" w:eastAsia="zh-CN"/>
              </w:rPr>
              <w:t>2.5</w:t>
            </w:r>
            <w:r>
              <w:rPr>
                <w:rFonts w:hint="eastAsia"/>
                <w:color w:val="auto"/>
                <w:sz w:val="24"/>
                <w:szCs w:val="32"/>
                <w:lang w:val="en-US" w:eastAsia="zh-CN"/>
              </w:rPr>
              <w:t>年平均质量浓度劣于过渡阶段</w:t>
            </w:r>
            <w:r>
              <w:rPr>
                <w:color w:val="auto"/>
                <w:sz w:val="24"/>
                <w:szCs w:val="32"/>
              </w:rPr>
              <w:t>二级</w:t>
            </w:r>
            <w:r>
              <w:rPr>
                <w:rFonts w:hint="eastAsia"/>
                <w:color w:val="auto"/>
                <w:sz w:val="24"/>
                <w:szCs w:val="32"/>
                <w:lang w:val="en-US" w:eastAsia="zh-CN"/>
              </w:rPr>
              <w:t>浓度限值，判定为不达标区</w:t>
            </w:r>
            <w:r>
              <w:rPr>
                <w:color w:val="auto"/>
                <w:sz w:val="24"/>
                <w:szCs w:val="32"/>
              </w:rPr>
              <w:t>。</w:t>
            </w:r>
          </w:p>
          <w:p>
            <w:pPr>
              <w:adjustRightInd w:val="0"/>
              <w:snapToGrid w:val="0"/>
              <w:spacing w:line="360" w:lineRule="auto"/>
              <w:ind w:firstLine="480"/>
              <w:rPr>
                <w:rFonts w:hint="default" w:ascii="Times New Roman" w:hAnsi="Times New Roman" w:eastAsia="宋体" w:cs="Times New Roman"/>
                <w:color w:val="auto"/>
                <w:sz w:val="24"/>
                <w:szCs w:val="32"/>
                <w:lang w:val="en-US" w:eastAsia="zh-CN"/>
              </w:rPr>
            </w:pPr>
            <w:r>
              <w:rPr>
                <w:rFonts w:hint="eastAsia"/>
                <w:color w:val="auto"/>
                <w:sz w:val="24"/>
                <w:szCs w:val="32"/>
                <w:lang w:val="en-US" w:eastAsia="zh-CN"/>
              </w:rPr>
              <w:t>南通市人民政府已印发《南通市空气质量持续改善行动计划实施方案》（通政发〔2024〕24号，以下简称《方案》），制定了“以降低细颗粒物（PM</w:t>
            </w:r>
            <w:r>
              <w:rPr>
                <w:rFonts w:hint="eastAsia"/>
                <w:color w:val="auto"/>
                <w:sz w:val="24"/>
                <w:szCs w:val="32"/>
                <w:vertAlign w:val="subscript"/>
                <w:lang w:val="en-US" w:eastAsia="zh-CN"/>
              </w:rPr>
              <w:t>2.5</w:t>
            </w:r>
            <w:r>
              <w:rPr>
                <w:rFonts w:hint="eastAsia"/>
                <w:color w:val="auto"/>
                <w:sz w:val="24"/>
                <w:szCs w:val="32"/>
                <w:lang w:val="en-US" w:eastAsia="zh-CN"/>
              </w:rPr>
              <w:t>）浓度为主线，大力推动氮氧化物和挥发性有机物（VOCs）减排”的目标。《方案》提出了“坚决遏制‘两高一低’项目盲目上马”等二十四项重点工作计划，制定了详细的工作任务，责任分工和完成时限，预计全市2026年大气环境质量状况可以得到进一步改善</w:t>
            </w:r>
            <w:r>
              <w:rPr>
                <w:rFonts w:hint="default" w:ascii="Times New Roman" w:hAnsi="Times New Roman" w:eastAsia="宋体" w:cs="Times New Roman"/>
                <w:color w:val="auto"/>
                <w:sz w:val="24"/>
                <w:szCs w:val="32"/>
                <w:lang w:val="en-US" w:eastAsia="zh-CN"/>
              </w:rPr>
              <w:t>。</w:t>
            </w:r>
          </w:p>
          <w:p>
            <w:pPr>
              <w:adjustRightInd w:val="0"/>
              <w:snapToGrid w:val="0"/>
              <w:spacing w:line="360" w:lineRule="auto"/>
              <w:ind w:firstLine="480" w:firstLineChars="200"/>
              <w:jc w:val="left"/>
              <w:rPr>
                <w:rFonts w:hint="default" w:cs="Times New Roman"/>
                <w:color w:val="auto"/>
                <w:sz w:val="24"/>
                <w:szCs w:val="32"/>
                <w:highlight w:val="none"/>
                <w:lang w:val="en-US" w:eastAsia="zh-CN"/>
              </w:rPr>
            </w:pPr>
            <w:r>
              <w:rPr>
                <w:rFonts w:hint="eastAsia" w:cs="Times New Roman"/>
                <w:color w:val="auto"/>
                <w:sz w:val="24"/>
                <w:szCs w:val="32"/>
                <w:highlight w:val="none"/>
                <w:lang w:val="en-US" w:eastAsia="zh-CN"/>
              </w:rPr>
              <w:t>（2）特征污染物环境质量现状</w:t>
            </w:r>
          </w:p>
          <w:p>
            <w:pPr>
              <w:adjustRightInd w:val="0"/>
              <w:snapToGrid w:val="0"/>
              <w:spacing w:line="360" w:lineRule="auto"/>
              <w:ind w:firstLine="480" w:firstLineChars="200"/>
              <w:jc w:val="left"/>
              <w:rPr>
                <w:rFonts w:hint="default" w:ascii="Times New Roman" w:hAnsi="Times New Roman" w:eastAsia="宋体" w:cs="Times New Roman"/>
                <w:bCs w:val="0"/>
                <w:color w:val="auto"/>
                <w:sz w:val="24"/>
              </w:rPr>
            </w:pPr>
            <w:r>
              <w:rPr>
                <w:rFonts w:hint="default" w:ascii="Times New Roman" w:hAnsi="Times New Roman" w:eastAsia="宋体" w:cs="Times New Roman"/>
                <w:bCs w:val="0"/>
                <w:color w:val="auto"/>
                <w:sz w:val="24"/>
              </w:rPr>
              <w:t>项目主要特征污染物包括</w:t>
            </w:r>
            <w:r>
              <w:rPr>
                <w:rFonts w:hint="eastAsia" w:ascii="Times New Roman" w:hAnsi="Times New Roman" w:eastAsia="宋体" w:cs="Times New Roman"/>
                <w:bCs w:val="0"/>
                <w:color w:val="auto"/>
                <w:sz w:val="24"/>
                <w:lang w:val="en-US" w:eastAsia="zh-CN"/>
              </w:rPr>
              <w:t>颗粒物</w:t>
            </w:r>
            <w:r>
              <w:rPr>
                <w:rFonts w:hint="eastAsia" w:ascii="Times New Roman" w:hAnsi="Times New Roman" w:eastAsia="宋体" w:cs="Times New Roman"/>
                <w:color w:val="auto"/>
                <w:sz w:val="24"/>
                <w:szCs w:val="24"/>
                <w:lang w:val="en-US" w:eastAsia="zh-CN"/>
              </w:rPr>
              <w:t>、非甲烷总烃</w:t>
            </w:r>
            <w:r>
              <w:rPr>
                <w:rFonts w:hint="default" w:ascii="Times New Roman" w:hAnsi="Times New Roman" w:eastAsia="宋体" w:cs="Times New Roman"/>
                <w:bCs w:val="0"/>
                <w:color w:val="auto"/>
                <w:sz w:val="24"/>
              </w:rPr>
              <w:t>，</w:t>
            </w:r>
            <w:r>
              <w:rPr>
                <w:rFonts w:hint="eastAsia" w:ascii="Times New Roman" w:hAnsi="Times New Roman" w:eastAsia="宋体" w:cs="Times New Roman"/>
                <w:bCs w:val="0"/>
                <w:color w:val="auto"/>
                <w:sz w:val="24"/>
                <w:lang w:val="en-US" w:eastAsia="zh-CN"/>
              </w:rPr>
              <w:t>其中</w:t>
            </w:r>
            <w:r>
              <w:rPr>
                <w:rFonts w:hint="eastAsia" w:ascii="Times New Roman" w:hAnsi="Times New Roman" w:eastAsia="宋体" w:cs="Times New Roman"/>
                <w:color w:val="auto"/>
                <w:sz w:val="24"/>
                <w:szCs w:val="24"/>
                <w:lang w:val="en-US" w:eastAsia="zh-CN"/>
              </w:rPr>
              <w:t>非甲烷总烃</w:t>
            </w:r>
            <w:r>
              <w:rPr>
                <w:rFonts w:hint="default" w:ascii="Times New Roman" w:hAnsi="Times New Roman" w:eastAsia="宋体" w:cs="Times New Roman"/>
                <w:bCs w:val="0"/>
                <w:color w:val="auto"/>
                <w:sz w:val="24"/>
              </w:rPr>
              <w:t>未列入《环境空气质量标准》（GB3095-2012）中，且当地未发布相关环境质量标准，根据《建设项目环境影响报告表编制技术指南（污染影响类）（试行）》，无需进行环境质量监测。项目总悬浮颗粒物环境质量现状数据引用</w:t>
            </w:r>
            <w:r>
              <w:rPr>
                <w:rFonts w:hint="eastAsia" w:ascii="Times New Roman" w:hAnsi="Times New Roman" w:eastAsia="宋体" w:cs="Times New Roman"/>
                <w:bCs w:val="0"/>
                <w:color w:val="auto"/>
                <w:sz w:val="24"/>
                <w:lang w:eastAsia="zh-CN"/>
              </w:rPr>
              <w:t>《</w:t>
            </w:r>
            <w:r>
              <w:rPr>
                <w:rFonts w:hint="default" w:ascii="Times New Roman" w:hAnsi="Times New Roman" w:eastAsia="宋体" w:cs="Times New Roman"/>
                <w:bCs w:val="0"/>
                <w:color w:val="auto"/>
                <w:sz w:val="24"/>
              </w:rPr>
              <w:t>如皋市弘如机械制造有限公司机械配件加工技改项目环境影响报告</w:t>
            </w:r>
            <w:r>
              <w:rPr>
                <w:rFonts w:hint="eastAsia" w:ascii="Times New Roman" w:hAnsi="Times New Roman" w:eastAsia="宋体" w:cs="Times New Roman"/>
                <w:bCs w:val="0"/>
                <w:color w:val="auto"/>
                <w:sz w:val="24"/>
                <w:lang w:val="en-US" w:eastAsia="zh-CN"/>
              </w:rPr>
              <w:t>表</w:t>
            </w:r>
            <w:r>
              <w:rPr>
                <w:rFonts w:hint="eastAsia" w:ascii="Times New Roman" w:hAnsi="Times New Roman" w:eastAsia="宋体" w:cs="Times New Roman"/>
                <w:bCs w:val="0"/>
                <w:color w:val="auto"/>
                <w:sz w:val="24"/>
                <w:lang w:eastAsia="zh-CN"/>
              </w:rPr>
              <w:t>》中环境空气监测数据</w:t>
            </w:r>
            <w:r>
              <w:rPr>
                <w:rFonts w:hint="default" w:ascii="Times New Roman" w:hAnsi="Times New Roman" w:eastAsia="宋体" w:cs="Times New Roman"/>
                <w:bCs w:val="0"/>
                <w:color w:val="auto"/>
                <w:sz w:val="24"/>
              </w:rPr>
              <w:t>，监测点位位于</w:t>
            </w:r>
            <w:r>
              <w:rPr>
                <w:rFonts w:hint="eastAsia" w:ascii="Times New Roman" w:hAnsi="Times New Roman" w:eastAsia="宋体" w:cs="Times New Roman"/>
                <w:color w:val="auto"/>
                <w:kern w:val="2"/>
                <w:sz w:val="24"/>
                <w:szCs w:val="24"/>
                <w:lang w:val="en-US" w:eastAsia="zh-CN" w:bidi="ar-SA"/>
              </w:rPr>
              <w:t>阚庄村</w:t>
            </w:r>
            <w:r>
              <w:rPr>
                <w:rFonts w:hint="eastAsia" w:cs="Times New Roman"/>
                <w:color w:val="auto"/>
                <w:kern w:val="2"/>
                <w:sz w:val="24"/>
                <w:szCs w:val="24"/>
                <w:lang w:val="en-US" w:eastAsia="zh-CN" w:bidi="ar-SA"/>
              </w:rPr>
              <w:t>13组</w:t>
            </w:r>
            <w:r>
              <w:rPr>
                <w:rFonts w:hint="default" w:ascii="Times New Roman" w:hAnsi="Times New Roman" w:eastAsia="宋体" w:cs="Times New Roman"/>
                <w:bCs w:val="0"/>
                <w:color w:val="auto"/>
                <w:sz w:val="24"/>
              </w:rPr>
              <w:t>，距离本项目约</w:t>
            </w:r>
            <w:r>
              <w:rPr>
                <w:rFonts w:hint="eastAsia" w:ascii="Times New Roman" w:hAnsi="Times New Roman" w:eastAsia="宋体" w:cs="Times New Roman"/>
                <w:bCs w:val="0"/>
                <w:color w:val="auto"/>
                <w:sz w:val="24"/>
                <w:lang w:val="en-US" w:eastAsia="zh-CN"/>
              </w:rPr>
              <w:t>2.</w:t>
            </w:r>
            <w:r>
              <w:rPr>
                <w:rFonts w:hint="eastAsia" w:ascii="Times New Roman" w:hAnsi="Times New Roman" w:cs="Times New Roman"/>
                <w:bCs w:val="0"/>
                <w:color w:val="auto"/>
                <w:sz w:val="24"/>
                <w:lang w:val="en-US" w:eastAsia="zh-CN"/>
              </w:rPr>
              <w:t>4</w:t>
            </w:r>
            <w:r>
              <w:rPr>
                <w:rFonts w:hint="default" w:ascii="Times New Roman" w:hAnsi="Times New Roman" w:eastAsia="宋体" w:cs="Times New Roman"/>
                <w:bCs w:val="0"/>
                <w:color w:val="auto"/>
                <w:sz w:val="24"/>
              </w:rPr>
              <w:t>km，监测时间为202</w:t>
            </w:r>
            <w:r>
              <w:rPr>
                <w:rFonts w:hint="eastAsia" w:ascii="Times New Roman" w:hAnsi="Times New Roman" w:eastAsia="宋体" w:cs="Times New Roman"/>
                <w:bCs w:val="0"/>
                <w:color w:val="auto"/>
                <w:sz w:val="24"/>
                <w:lang w:val="en-US" w:eastAsia="zh-CN"/>
              </w:rPr>
              <w:t>5</w:t>
            </w:r>
            <w:r>
              <w:rPr>
                <w:rFonts w:hint="default" w:ascii="Times New Roman" w:hAnsi="Times New Roman" w:eastAsia="宋体" w:cs="Times New Roman"/>
                <w:bCs w:val="0"/>
                <w:color w:val="auto"/>
                <w:sz w:val="24"/>
              </w:rPr>
              <w:t>年1月</w:t>
            </w:r>
            <w:r>
              <w:rPr>
                <w:rFonts w:hint="eastAsia" w:ascii="Times New Roman" w:hAnsi="Times New Roman" w:eastAsia="宋体" w:cs="Times New Roman"/>
                <w:bCs w:val="0"/>
                <w:color w:val="auto"/>
                <w:sz w:val="24"/>
                <w:lang w:val="en-US" w:eastAsia="zh-CN"/>
              </w:rPr>
              <w:t>5</w:t>
            </w:r>
            <w:r>
              <w:rPr>
                <w:rFonts w:hint="default" w:ascii="Times New Roman" w:hAnsi="Times New Roman" w:eastAsia="宋体" w:cs="Times New Roman"/>
                <w:bCs w:val="0"/>
                <w:color w:val="auto"/>
                <w:sz w:val="24"/>
              </w:rPr>
              <w:t>日~202</w:t>
            </w:r>
            <w:r>
              <w:rPr>
                <w:rFonts w:hint="eastAsia" w:ascii="Times New Roman" w:hAnsi="Times New Roman" w:eastAsia="宋体" w:cs="Times New Roman"/>
                <w:bCs w:val="0"/>
                <w:color w:val="auto"/>
                <w:sz w:val="24"/>
                <w:lang w:val="en-US" w:eastAsia="zh-CN"/>
              </w:rPr>
              <w:t>5</w:t>
            </w:r>
            <w:r>
              <w:rPr>
                <w:rFonts w:hint="default" w:ascii="Times New Roman" w:hAnsi="Times New Roman" w:eastAsia="宋体" w:cs="Times New Roman"/>
                <w:bCs w:val="0"/>
                <w:color w:val="auto"/>
                <w:sz w:val="24"/>
              </w:rPr>
              <w:t>年1月1</w:t>
            </w:r>
            <w:r>
              <w:rPr>
                <w:rFonts w:hint="eastAsia" w:ascii="Times New Roman" w:hAnsi="Times New Roman" w:eastAsia="宋体" w:cs="Times New Roman"/>
                <w:bCs w:val="0"/>
                <w:color w:val="auto"/>
                <w:sz w:val="24"/>
                <w:lang w:val="en-US" w:eastAsia="zh-CN"/>
              </w:rPr>
              <w:t>2</w:t>
            </w:r>
            <w:r>
              <w:rPr>
                <w:rFonts w:hint="default" w:ascii="Times New Roman" w:hAnsi="Times New Roman" w:eastAsia="宋体" w:cs="Times New Roman"/>
                <w:bCs w:val="0"/>
                <w:color w:val="auto"/>
                <w:sz w:val="24"/>
              </w:rPr>
              <w:t>日，可满足引用要求。</w:t>
            </w:r>
          </w:p>
          <w:p>
            <w:pPr>
              <w:adjustRightInd w:val="0"/>
              <w:snapToGrid w:val="0"/>
              <w:spacing w:line="240" w:lineRule="auto"/>
              <w:ind w:firstLine="0" w:firstLineChars="0"/>
              <w:jc w:val="center"/>
              <w:rPr>
                <w:rFonts w:ascii="Times New Roman" w:hAnsi="Times New Roman" w:eastAsia="宋体" w:cs="Times New Roman"/>
                <w:b/>
                <w:bCs/>
                <w:color w:val="auto"/>
                <w:sz w:val="24"/>
              </w:rPr>
            </w:pPr>
            <w:r>
              <w:rPr>
                <w:rFonts w:ascii="Times New Roman" w:hAnsi="Times New Roman" w:eastAsia="宋体" w:cs="Times New Roman"/>
                <w:b/>
                <w:bCs/>
                <w:color w:val="auto"/>
                <w:sz w:val="24"/>
              </w:rPr>
              <w:t>表3</w:t>
            </w:r>
            <w:r>
              <w:rPr>
                <w:rFonts w:hint="eastAsia" w:ascii="Times New Roman" w:hAnsi="Times New Roman" w:cs="Times New Roman"/>
                <w:b/>
                <w:bCs/>
                <w:color w:val="auto"/>
                <w:sz w:val="24"/>
                <w:lang w:val="en-US" w:eastAsia="zh-CN"/>
              </w:rPr>
              <w:t>-1.</w:t>
            </w:r>
            <w:r>
              <w:rPr>
                <w:rFonts w:hint="default" w:ascii="Times New Roman" w:hAnsi="Times New Roman" w:eastAsia="宋体" w:cs="Times New Roman"/>
                <w:b/>
                <w:bCs/>
                <w:color w:val="auto"/>
                <w:sz w:val="24"/>
                <w:lang w:val="en-US" w:eastAsia="zh-CN"/>
              </w:rPr>
              <w:t>2</w:t>
            </w:r>
            <w:r>
              <w:rPr>
                <w:rFonts w:ascii="Times New Roman" w:hAnsi="Times New Roman" w:eastAsia="宋体" w:cs="Times New Roman"/>
                <w:b/>
                <w:bCs/>
                <w:color w:val="auto"/>
                <w:sz w:val="24"/>
              </w:rPr>
              <w:t xml:space="preserve"> </w:t>
            </w:r>
            <w:r>
              <w:rPr>
                <w:rFonts w:hint="default" w:ascii="Times New Roman" w:hAnsi="Times New Roman" w:eastAsia="宋体" w:cs="Times New Roman"/>
                <w:b/>
                <w:bCs/>
                <w:color w:val="auto"/>
                <w:sz w:val="24"/>
              </w:rPr>
              <w:t>特征污染物补充监测点位基本信息</w:t>
            </w:r>
          </w:p>
          <w:tbl>
            <w:tblPr>
              <w:tblStyle w:val="25"/>
              <w:tblW w:w="7873"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8"/>
              <w:gridCol w:w="1027"/>
              <w:gridCol w:w="925"/>
              <w:gridCol w:w="1182"/>
              <w:gridCol w:w="1679"/>
              <w:gridCol w:w="839"/>
              <w:gridCol w:w="103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88" w:type="dxa"/>
                  <w:vMerge w:val="restart"/>
                  <w:tcBorders>
                    <w:top w:val="single" w:color="auto" w:sz="12" w:space="0"/>
                    <w:left w:val="nil"/>
                    <w:right w:val="single" w:color="auto" w:sz="4" w:space="0"/>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监测点位名称</w:t>
                  </w:r>
                </w:p>
              </w:tc>
              <w:tc>
                <w:tcPr>
                  <w:tcW w:w="1952" w:type="dxa"/>
                  <w:gridSpan w:val="2"/>
                  <w:tcBorders>
                    <w:top w:val="single" w:color="auto" w:sz="12"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监测点坐标/°</w:t>
                  </w:r>
                </w:p>
              </w:tc>
              <w:tc>
                <w:tcPr>
                  <w:tcW w:w="1182" w:type="dxa"/>
                  <w:vMerge w:val="restart"/>
                  <w:tcBorders>
                    <w:top w:val="single" w:color="auto" w:sz="12" w:space="0"/>
                    <w:left w:val="single" w:color="auto" w:sz="4" w:space="0"/>
                    <w:right w:val="single" w:color="auto" w:sz="4" w:space="0"/>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监测因子</w:t>
                  </w:r>
                </w:p>
              </w:tc>
              <w:tc>
                <w:tcPr>
                  <w:tcW w:w="1679" w:type="dxa"/>
                  <w:vMerge w:val="restart"/>
                  <w:tcBorders>
                    <w:top w:val="single" w:color="auto" w:sz="12" w:space="0"/>
                    <w:left w:val="single" w:color="auto" w:sz="4" w:space="0"/>
                    <w:right w:val="single" w:color="auto" w:sz="4" w:space="0"/>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监测时段</w:t>
                  </w:r>
                </w:p>
              </w:tc>
              <w:tc>
                <w:tcPr>
                  <w:tcW w:w="839" w:type="dxa"/>
                  <w:vMerge w:val="restart"/>
                  <w:tcBorders>
                    <w:top w:val="single" w:color="auto" w:sz="12" w:space="0"/>
                    <w:left w:val="single" w:color="auto" w:sz="4" w:space="0"/>
                    <w:right w:val="single" w:color="auto" w:sz="4" w:space="0"/>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相对厂址方位</w:t>
                  </w:r>
                </w:p>
              </w:tc>
              <w:tc>
                <w:tcPr>
                  <w:tcW w:w="1033" w:type="dxa"/>
                  <w:vMerge w:val="restart"/>
                  <w:tcBorders>
                    <w:top w:val="single" w:color="auto" w:sz="12" w:space="0"/>
                    <w:left w:val="single" w:color="auto" w:sz="4" w:space="0"/>
                    <w:right w:val="nil"/>
                  </w:tcBorders>
                  <w:noWrap w:val="0"/>
                  <w:vAlign w:val="center"/>
                </w:tcPr>
                <w:p>
                  <w:pPr>
                    <w:adjustRightInd w:val="0"/>
                    <w:snapToGrid w:val="0"/>
                    <w:jc w:val="center"/>
                    <w:rPr>
                      <w:rFonts w:ascii="Times New Roman" w:hAnsi="Times New Roman" w:eastAsia="宋体" w:cs="宋体"/>
                      <w:b/>
                      <w:bCs/>
                      <w:color w:val="auto"/>
                    </w:rPr>
                  </w:pPr>
                  <w:r>
                    <w:rPr>
                      <w:rFonts w:hint="eastAsia" w:ascii="Times New Roman" w:hAnsi="Times New Roman" w:eastAsia="宋体" w:cs="宋体"/>
                      <w:b/>
                      <w:bCs/>
                      <w:color w:val="auto"/>
                    </w:rPr>
                    <w:t>相对厂界距离/m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88" w:type="dxa"/>
                  <w:vMerge w:val="continue"/>
                  <w:tcBorders>
                    <w:left w:val="nil"/>
                    <w:bottom w:val="single" w:color="auto" w:sz="4" w:space="0"/>
                    <w:right w:val="single" w:color="auto" w:sz="4" w:space="0"/>
                  </w:tcBorders>
                  <w:noWrap w:val="0"/>
                  <w:vAlign w:val="center"/>
                </w:tcPr>
                <w:p>
                  <w:pPr>
                    <w:adjustRightInd w:val="0"/>
                    <w:snapToGrid w:val="0"/>
                    <w:jc w:val="center"/>
                    <w:rPr>
                      <w:b/>
                      <w:bCs/>
                      <w:color w:val="auto"/>
                    </w:rPr>
                  </w:pPr>
                </w:p>
              </w:tc>
              <w:tc>
                <w:tcPr>
                  <w:tcW w:w="10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宋体"/>
                      <w:b/>
                      <w:bCs/>
                      <w:color w:val="auto"/>
                    </w:rPr>
                  </w:pPr>
                  <w:r>
                    <w:rPr>
                      <w:rFonts w:hint="eastAsia" w:ascii="Times New Roman" w:hAnsi="Times New Roman" w:eastAsia="宋体" w:cs="宋体"/>
                      <w:b/>
                      <w:bCs/>
                      <w:color w:val="auto"/>
                    </w:rPr>
                    <w:t>X</w:t>
                  </w:r>
                </w:p>
              </w:tc>
              <w:tc>
                <w:tcPr>
                  <w:tcW w:w="92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宋体"/>
                      <w:b/>
                      <w:bCs/>
                      <w:color w:val="auto"/>
                    </w:rPr>
                  </w:pPr>
                  <w:r>
                    <w:rPr>
                      <w:rFonts w:hint="eastAsia" w:ascii="Times New Roman" w:hAnsi="Times New Roman" w:eastAsia="宋体" w:cs="宋体"/>
                      <w:b/>
                      <w:bCs/>
                      <w:color w:val="auto"/>
                    </w:rPr>
                    <w:t>Y</w:t>
                  </w:r>
                </w:p>
              </w:tc>
              <w:tc>
                <w:tcPr>
                  <w:tcW w:w="1182"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b/>
                      <w:bCs/>
                      <w:color w:val="auto"/>
                    </w:rPr>
                  </w:pPr>
                </w:p>
              </w:tc>
              <w:tc>
                <w:tcPr>
                  <w:tcW w:w="1679"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b/>
                      <w:bCs/>
                      <w:color w:val="auto"/>
                    </w:rPr>
                  </w:pPr>
                </w:p>
              </w:tc>
              <w:tc>
                <w:tcPr>
                  <w:tcW w:w="839" w:type="dxa"/>
                  <w:vMerge w:val="continue"/>
                  <w:tcBorders>
                    <w:left w:val="single" w:color="auto" w:sz="4" w:space="0"/>
                    <w:bottom w:val="single" w:color="auto" w:sz="4" w:space="0"/>
                    <w:right w:val="single" w:color="auto" w:sz="4" w:space="0"/>
                  </w:tcBorders>
                  <w:noWrap w:val="0"/>
                  <w:vAlign w:val="center"/>
                </w:tcPr>
                <w:p>
                  <w:pPr>
                    <w:adjustRightInd w:val="0"/>
                    <w:snapToGrid w:val="0"/>
                    <w:jc w:val="center"/>
                    <w:rPr>
                      <w:b/>
                      <w:bCs/>
                      <w:color w:val="auto"/>
                    </w:rPr>
                  </w:pPr>
                </w:p>
              </w:tc>
              <w:tc>
                <w:tcPr>
                  <w:tcW w:w="1033" w:type="dxa"/>
                  <w:vMerge w:val="continue"/>
                  <w:tcBorders>
                    <w:left w:val="single" w:color="auto" w:sz="4" w:space="0"/>
                    <w:bottom w:val="single" w:color="auto" w:sz="4" w:space="0"/>
                    <w:right w:val="nil"/>
                  </w:tcBorders>
                  <w:noWrap w:val="0"/>
                  <w:vAlign w:val="center"/>
                </w:tcPr>
                <w:p>
                  <w:pPr>
                    <w:adjustRightInd w:val="0"/>
                    <w:snapToGrid w:val="0"/>
                    <w:jc w:val="center"/>
                    <w:rPr>
                      <w:b/>
                      <w:bCs/>
                      <w:color w:val="auto"/>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1188" w:type="dxa"/>
                  <w:tcBorders>
                    <w:top w:val="single" w:color="auto" w:sz="4" w:space="0"/>
                    <w:left w:val="nil"/>
                    <w:bottom w:val="single" w:color="auto" w:sz="4" w:space="0"/>
                    <w:right w:val="single" w:color="auto" w:sz="4" w:space="0"/>
                  </w:tcBorders>
                  <w:noWrap w:val="0"/>
                  <w:vAlign w:val="center"/>
                </w:tcPr>
                <w:p>
                  <w:pPr>
                    <w:adjustRightInd w:val="0"/>
                    <w:snapToGrid w:val="0"/>
                    <w:jc w:val="center"/>
                    <w:rPr>
                      <w:rFonts w:ascii="Times New Roman" w:hAnsi="Times New Roman" w:eastAsia="宋体" w:cs="宋体"/>
                      <w:color w:val="auto"/>
                    </w:rPr>
                  </w:pPr>
                  <w:r>
                    <w:rPr>
                      <w:rFonts w:hint="eastAsia" w:ascii="Times New Roman" w:hAnsi="Times New Roman" w:eastAsia="宋体" w:cs="Times New Roman"/>
                      <w:color w:val="auto"/>
                      <w:szCs w:val="24"/>
                      <w:lang w:val="en-US" w:eastAsia="zh-CN"/>
                    </w:rPr>
                    <w:t>阚庄村</w:t>
                  </w:r>
                  <w:r>
                    <w:rPr>
                      <w:rFonts w:hint="eastAsia" w:cs="Times New Roman"/>
                      <w:color w:val="auto"/>
                      <w:szCs w:val="24"/>
                      <w:lang w:val="en-US" w:eastAsia="zh-CN"/>
                    </w:rPr>
                    <w:t>13组</w:t>
                  </w:r>
                  <w:r>
                    <w:rPr>
                      <w:rFonts w:hint="eastAsia" w:ascii="Times New Roman" w:hAnsi="Times New Roman" w:eastAsia="宋体" w:cs="宋体"/>
                      <w:color w:val="auto"/>
                    </w:rPr>
                    <w:t xml:space="preserve"> G1</w:t>
                  </w:r>
                </w:p>
              </w:tc>
              <w:tc>
                <w:tcPr>
                  <w:tcW w:w="1027"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宋体" w:cs="宋体"/>
                      <w:color w:val="auto"/>
                    </w:rPr>
                  </w:pPr>
                  <w:r>
                    <w:rPr>
                      <w:rFonts w:hint="eastAsia" w:ascii="Times New Roman" w:hAnsi="Times New Roman" w:eastAsia="宋体" w:cs="宋体"/>
                      <w:color w:val="auto"/>
                    </w:rPr>
                    <w:t>120.497394</w:t>
                  </w:r>
                </w:p>
              </w:tc>
              <w:tc>
                <w:tcPr>
                  <w:tcW w:w="925"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宋体" w:cs="宋体"/>
                      <w:color w:val="auto"/>
                    </w:rPr>
                  </w:pPr>
                  <w:r>
                    <w:rPr>
                      <w:rFonts w:hint="eastAsia" w:ascii="Times New Roman" w:hAnsi="Times New Roman" w:eastAsia="宋体" w:cs="宋体"/>
                      <w:color w:val="auto"/>
                    </w:rPr>
                    <w:t>32.414283</w:t>
                  </w:r>
                </w:p>
              </w:tc>
              <w:tc>
                <w:tcPr>
                  <w:tcW w:w="118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eastAsia" w:ascii="Times New Roman" w:hAnsi="Times New Roman" w:eastAsia="宋体" w:cs="宋体"/>
                      <w:color w:val="auto"/>
                      <w:lang w:eastAsia="zh-CN"/>
                    </w:rPr>
                  </w:pPr>
                  <w:r>
                    <w:rPr>
                      <w:rFonts w:hint="eastAsia" w:ascii="Times New Roman" w:hAnsi="Times New Roman" w:eastAsia="宋体" w:cs="宋体"/>
                      <w:color w:val="auto"/>
                    </w:rPr>
                    <w:t xml:space="preserve">总悬浮颗粒物 </w:t>
                  </w:r>
                </w:p>
              </w:tc>
              <w:tc>
                <w:tcPr>
                  <w:tcW w:w="167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ascii="Times New Roman" w:hAnsi="Times New Roman" w:eastAsia="宋体" w:cs="宋体"/>
                      <w:color w:val="auto"/>
                    </w:rPr>
                  </w:pPr>
                  <w:r>
                    <w:rPr>
                      <w:rFonts w:hint="eastAsia" w:ascii="Times New Roman" w:hAnsi="Times New Roman" w:eastAsia="宋体" w:cs="宋体"/>
                      <w:color w:val="auto"/>
                    </w:rPr>
                    <w:t>202</w:t>
                  </w:r>
                  <w:r>
                    <w:rPr>
                      <w:rFonts w:hint="eastAsia" w:ascii="Times New Roman" w:hAnsi="Times New Roman" w:cs="宋体"/>
                      <w:color w:val="auto"/>
                      <w:lang w:val="en-US" w:eastAsia="zh-CN"/>
                    </w:rPr>
                    <w:t>50105-20250112</w:t>
                  </w:r>
                  <w:r>
                    <w:rPr>
                      <w:rFonts w:hint="eastAsia" w:ascii="Times New Roman" w:hAnsi="Times New Roman" w:eastAsia="宋体" w:cs="宋体"/>
                      <w:color w:val="auto"/>
                    </w:rPr>
                    <w:t xml:space="preserve"> </w:t>
                  </w:r>
                </w:p>
              </w:tc>
              <w:tc>
                <w:tcPr>
                  <w:tcW w:w="83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jc w:val="center"/>
                    <w:rPr>
                      <w:rFonts w:hint="default" w:ascii="Times New Roman" w:hAnsi="Times New Roman" w:eastAsia="宋体" w:cs="宋体"/>
                      <w:color w:val="auto"/>
                      <w:lang w:val="en-US" w:eastAsia="zh-CN"/>
                    </w:rPr>
                  </w:pPr>
                  <w:r>
                    <w:rPr>
                      <w:rFonts w:hint="eastAsia" w:ascii="Times New Roman" w:hAnsi="Times New Roman" w:cs="宋体"/>
                      <w:color w:val="auto"/>
                      <w:lang w:val="en-US" w:eastAsia="zh-CN"/>
                    </w:rPr>
                    <w:t>西</w:t>
                  </w:r>
                  <w:r>
                    <w:rPr>
                      <w:rFonts w:hint="eastAsia" w:cs="宋体"/>
                      <w:color w:val="auto"/>
                      <w:lang w:val="en-US" w:eastAsia="zh-CN"/>
                    </w:rPr>
                    <w:t>北</w:t>
                  </w:r>
                </w:p>
              </w:tc>
              <w:tc>
                <w:tcPr>
                  <w:tcW w:w="1033" w:type="dxa"/>
                  <w:tcBorders>
                    <w:top w:val="single" w:color="auto" w:sz="4" w:space="0"/>
                    <w:left w:val="single" w:color="auto" w:sz="4" w:space="0"/>
                    <w:bottom w:val="single" w:color="auto" w:sz="4" w:space="0"/>
                    <w:right w:val="nil"/>
                  </w:tcBorders>
                  <w:noWrap w:val="0"/>
                  <w:vAlign w:val="center"/>
                </w:tcPr>
                <w:p>
                  <w:pPr>
                    <w:adjustRightInd w:val="0"/>
                    <w:snapToGrid w:val="0"/>
                    <w:jc w:val="center"/>
                    <w:rPr>
                      <w:rFonts w:hint="default" w:ascii="Times New Roman" w:hAnsi="Times New Roman" w:eastAsia="宋体" w:cs="宋体"/>
                      <w:color w:val="auto"/>
                      <w:lang w:val="en-US" w:eastAsia="zh-CN"/>
                    </w:rPr>
                  </w:pPr>
                  <w:r>
                    <w:rPr>
                      <w:rFonts w:hint="eastAsia" w:cs="宋体"/>
                      <w:color w:val="auto"/>
                      <w:lang w:val="en-US" w:eastAsia="zh-CN"/>
                    </w:rPr>
                    <w:t>2</w:t>
                  </w:r>
                  <w:r>
                    <w:rPr>
                      <w:rFonts w:hint="eastAsia" w:ascii="Times New Roman" w:hAnsi="Times New Roman" w:cs="宋体"/>
                      <w:color w:val="auto"/>
                      <w:lang w:val="en-US" w:eastAsia="zh-CN"/>
                    </w:rPr>
                    <w:t>4</w:t>
                  </w:r>
                  <w:r>
                    <w:rPr>
                      <w:rFonts w:hint="eastAsia" w:ascii="Times New Roman" w:hAnsi="Times New Roman" w:eastAsia="宋体" w:cs="宋体"/>
                      <w:color w:val="auto"/>
                      <w:lang w:val="en-US" w:eastAsia="zh-CN"/>
                    </w:rPr>
                    <w:t>00</w:t>
                  </w:r>
                </w:p>
              </w:tc>
            </w:tr>
          </w:tbl>
          <w:p>
            <w:pPr>
              <w:adjustRightInd w:val="0"/>
              <w:snapToGrid w:val="0"/>
              <w:spacing w:line="360" w:lineRule="auto"/>
              <w:ind w:firstLine="420" w:firstLineChars="200"/>
              <w:jc w:val="center"/>
              <w:rPr>
                <w:color w:val="auto"/>
              </w:rPr>
            </w:pPr>
          </w:p>
          <w:p>
            <w:pPr>
              <w:adjustRightInd w:val="0"/>
              <w:snapToGrid w:val="0"/>
              <w:spacing w:line="360" w:lineRule="auto"/>
              <w:ind w:firstLine="420" w:firstLineChars="200"/>
              <w:jc w:val="center"/>
              <w:rPr>
                <w:color w:val="auto"/>
              </w:rPr>
            </w:pPr>
            <w:r>
              <w:rPr>
                <w:color w:val="auto"/>
              </w:rPr>
              <w:drawing>
                <wp:inline distT="0" distB="0" distL="114300" distR="114300">
                  <wp:extent cx="4210685" cy="2931795"/>
                  <wp:effectExtent l="0" t="0" r="18415" b="1905"/>
                  <wp:docPr id="6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图片 31"/>
                          <pic:cNvPicPr>
                            <a:picLocks noChangeAspect="1"/>
                          </pic:cNvPicPr>
                        </pic:nvPicPr>
                        <pic:blipFill>
                          <a:blip r:embed="rId22"/>
                          <a:stretch>
                            <a:fillRect/>
                          </a:stretch>
                        </pic:blipFill>
                        <pic:spPr>
                          <a:xfrm>
                            <a:off x="0" y="0"/>
                            <a:ext cx="4210685" cy="2931795"/>
                          </a:xfrm>
                          <a:prstGeom prst="rect">
                            <a:avLst/>
                          </a:prstGeom>
                          <a:noFill/>
                          <a:ln>
                            <a:noFill/>
                          </a:ln>
                        </pic:spPr>
                      </pic:pic>
                    </a:graphicData>
                  </a:graphic>
                </wp:inline>
              </w:drawing>
            </w:r>
          </w:p>
          <w:p>
            <w:pPr>
              <w:autoSpaceDE w:val="0"/>
              <w:autoSpaceDN w:val="0"/>
              <w:adjustRightInd w:val="0"/>
              <w:snapToGrid w:val="0"/>
              <w:spacing w:line="360" w:lineRule="auto"/>
              <w:ind w:firstLine="482" w:firstLineChars="200"/>
              <w:jc w:val="center"/>
              <w:rPr>
                <w:rFonts w:hint="default" w:ascii="Times New Roman" w:hAnsi="Times New Roman" w:eastAsia="宋体" w:cs="Times New Roman"/>
                <w:b/>
                <w:bCs/>
                <w:color w:val="auto"/>
                <w:kern w:val="0"/>
                <w:sz w:val="24"/>
                <w:szCs w:val="24"/>
                <w:highlight w:val="none"/>
                <w:lang w:val="en-US" w:eastAsia="zh-CN"/>
              </w:rPr>
            </w:pPr>
            <w:r>
              <w:rPr>
                <w:rFonts w:hint="eastAsia" w:ascii="Times New Roman" w:hAnsi="Times New Roman" w:eastAsia="宋体" w:cs="Times New Roman"/>
                <w:b/>
                <w:bCs/>
                <w:color w:val="auto"/>
                <w:kern w:val="0"/>
                <w:sz w:val="24"/>
                <w:szCs w:val="24"/>
                <w:highlight w:val="none"/>
                <w:lang w:val="en-US" w:eastAsia="zh-CN"/>
              </w:rPr>
              <w:t>图3-1 检测点位示意图</w:t>
            </w:r>
          </w:p>
          <w:p>
            <w:pPr>
              <w:adjustRightInd w:val="0"/>
              <w:snapToGrid w:val="0"/>
              <w:spacing w:line="360" w:lineRule="auto"/>
              <w:ind w:firstLine="480" w:firstLineChars="200"/>
              <w:jc w:val="left"/>
              <w:rPr>
                <w:rFonts w:hint="default" w:ascii="Times New Roman" w:hAnsi="Times New Roman" w:eastAsia="宋体" w:cs="Times New Roman"/>
                <w:bCs w:val="0"/>
                <w:color w:val="auto"/>
                <w:sz w:val="24"/>
              </w:rPr>
            </w:pPr>
            <w:r>
              <w:rPr>
                <w:rFonts w:hint="default" w:ascii="Times New Roman" w:hAnsi="Times New Roman" w:eastAsia="宋体" w:cs="Times New Roman"/>
                <w:bCs w:val="0"/>
                <w:color w:val="auto"/>
                <w:sz w:val="24"/>
              </w:rPr>
              <w:t>特征污染物环境质量现状（监测结果）表见下表。</w:t>
            </w:r>
          </w:p>
          <w:p>
            <w:pPr>
              <w:adjustRightInd w:val="0"/>
              <w:snapToGrid w:val="0"/>
              <w:spacing w:line="240" w:lineRule="auto"/>
              <w:ind w:firstLine="0" w:firstLineChars="0"/>
              <w:jc w:val="center"/>
              <w:rPr>
                <w:rFonts w:hint="default" w:ascii="Times New Roman" w:hAnsi="Times New Roman" w:eastAsia="宋体" w:cs="Times New Roman"/>
                <w:b/>
                <w:bCs/>
                <w:color w:val="auto"/>
                <w:sz w:val="24"/>
                <w:lang w:val="en-US" w:eastAsia="zh-CN"/>
              </w:rPr>
            </w:pPr>
            <w:r>
              <w:rPr>
                <w:rFonts w:ascii="Times New Roman" w:hAnsi="Times New Roman" w:eastAsia="宋体" w:cs="Times New Roman"/>
                <w:b/>
                <w:bCs/>
                <w:color w:val="auto"/>
                <w:sz w:val="24"/>
              </w:rPr>
              <w:t>表3-</w:t>
            </w:r>
            <w:r>
              <w:rPr>
                <w:rFonts w:hint="eastAsia" w:ascii="Times New Roman" w:hAnsi="Times New Roman" w:eastAsia="宋体" w:cs="Times New Roman"/>
                <w:b/>
                <w:bCs/>
                <w:color w:val="auto"/>
                <w:sz w:val="24"/>
                <w:lang w:val="en-US" w:eastAsia="zh-CN"/>
              </w:rPr>
              <w:t>1.3</w:t>
            </w:r>
            <w:r>
              <w:rPr>
                <w:rFonts w:ascii="Times New Roman" w:hAnsi="Times New Roman" w:eastAsia="宋体" w:cs="Times New Roman"/>
                <w:b/>
                <w:bCs/>
                <w:color w:val="auto"/>
                <w:sz w:val="24"/>
              </w:rPr>
              <w:t xml:space="preserve"> </w:t>
            </w:r>
            <w:r>
              <w:rPr>
                <w:rFonts w:hint="default" w:ascii="Times New Roman" w:hAnsi="Times New Roman" w:eastAsia="宋体" w:cs="Times New Roman"/>
                <w:b/>
                <w:bCs/>
                <w:color w:val="auto"/>
                <w:sz w:val="24"/>
              </w:rPr>
              <w:t>特征污染物</w:t>
            </w:r>
            <w:r>
              <w:rPr>
                <w:rFonts w:hint="default" w:ascii="Times New Roman" w:hAnsi="Times New Roman" w:eastAsia="宋体" w:cs="Times New Roman"/>
                <w:b/>
                <w:bCs/>
                <w:color w:val="auto"/>
                <w:sz w:val="24"/>
                <w:lang w:val="en-US" w:eastAsia="zh-CN"/>
              </w:rPr>
              <w:t>环境质量现状（监测结果）表</w:t>
            </w:r>
          </w:p>
          <w:tbl>
            <w:tblPr>
              <w:tblStyle w:val="25"/>
              <w:tblW w:w="787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8" w:space="0"/>
              </w:tblBorders>
              <w:tblLayout w:type="fixed"/>
              <w:tblCellMar>
                <w:top w:w="0" w:type="dxa"/>
                <w:left w:w="108" w:type="dxa"/>
                <w:bottom w:w="0" w:type="dxa"/>
                <w:right w:w="108" w:type="dxa"/>
              </w:tblCellMar>
            </w:tblPr>
            <w:tblGrid>
              <w:gridCol w:w="763"/>
              <w:gridCol w:w="922"/>
              <w:gridCol w:w="1029"/>
              <w:gridCol w:w="542"/>
              <w:gridCol w:w="519"/>
              <w:gridCol w:w="1115"/>
              <w:gridCol w:w="1195"/>
              <w:gridCol w:w="749"/>
              <w:gridCol w:w="599"/>
              <w:gridCol w:w="441"/>
            </w:tblGrid>
            <w:tr>
              <w:tblPrEx>
                <w:tblBorders>
                  <w:top w:val="single" w:color="auto" w:sz="12" w:space="0"/>
                  <w:left w:val="none" w:color="auto" w:sz="0" w:space="0"/>
                  <w:bottom w:val="single" w:color="auto" w:sz="12" w:space="0"/>
                  <w:right w:val="none" w:color="auto" w:sz="0" w:space="0"/>
                  <w:insideH w:val="single" w:color="auto" w:sz="4" w:space="0"/>
                  <w:insideV w:val="single" w:color="auto" w:sz="8" w:space="0"/>
                </w:tblBorders>
                <w:tblLayout w:type="fixed"/>
                <w:tblCellMar>
                  <w:top w:w="0" w:type="dxa"/>
                  <w:left w:w="108" w:type="dxa"/>
                  <w:bottom w:w="0" w:type="dxa"/>
                  <w:right w:w="108" w:type="dxa"/>
                </w:tblCellMar>
              </w:tblPrEx>
              <w:trPr>
                <w:trHeight w:val="583" w:hRule="atLeast"/>
                <w:jc w:val="center"/>
              </w:trPr>
              <w:tc>
                <w:tcPr>
                  <w:tcW w:w="763" w:type="dxa"/>
                  <w:vMerge w:val="restart"/>
                  <w:tcBorders>
                    <w:tl2br w:val="nil"/>
                    <w:tr2bl w:val="nil"/>
                  </w:tcBorders>
                  <w:noWrap w:val="0"/>
                  <w:vAlign w:val="center"/>
                </w:tcPr>
                <w:p>
                  <w:pPr>
                    <w:adjustRightInd w:val="0"/>
                    <w:snapToGrid w:val="0"/>
                    <w:jc w:val="center"/>
                    <w:rPr>
                      <w:b/>
                      <w:bCs/>
                      <w:color w:val="auto"/>
                    </w:rPr>
                  </w:pPr>
                  <w:r>
                    <w:rPr>
                      <w:rFonts w:hint="eastAsia" w:ascii="Times New Roman" w:hAnsi="Times New Roman" w:eastAsia="宋体" w:cs="宋体"/>
                      <w:b/>
                      <w:bCs/>
                      <w:color w:val="auto"/>
                    </w:rPr>
                    <w:t>监测点位</w:t>
                  </w:r>
                </w:p>
              </w:tc>
              <w:tc>
                <w:tcPr>
                  <w:tcW w:w="1951" w:type="dxa"/>
                  <w:gridSpan w:val="2"/>
                  <w:tcBorders>
                    <w:tl2br w:val="nil"/>
                    <w:tr2bl w:val="nil"/>
                  </w:tcBorders>
                  <w:noWrap w:val="0"/>
                  <w:vAlign w:val="center"/>
                </w:tcPr>
                <w:p>
                  <w:pPr>
                    <w:adjustRightInd w:val="0"/>
                    <w:snapToGrid w:val="0"/>
                    <w:jc w:val="center"/>
                    <w:rPr>
                      <w:b/>
                      <w:bCs/>
                      <w:color w:val="auto"/>
                    </w:rPr>
                  </w:pPr>
                  <w:r>
                    <w:rPr>
                      <w:rFonts w:hint="eastAsia" w:ascii="Times New Roman" w:hAnsi="Times New Roman" w:eastAsia="宋体" w:cs="宋体"/>
                      <w:b/>
                      <w:bCs/>
                      <w:color w:val="auto"/>
                    </w:rPr>
                    <w:t>监测点坐标/°</w:t>
                  </w:r>
                </w:p>
              </w:tc>
              <w:tc>
                <w:tcPr>
                  <w:tcW w:w="542" w:type="dxa"/>
                  <w:vMerge w:val="restart"/>
                  <w:tcBorders>
                    <w:tl2br w:val="nil"/>
                    <w:tr2bl w:val="nil"/>
                  </w:tcBorders>
                  <w:noWrap w:val="0"/>
                  <w:vAlign w:val="center"/>
                </w:tcPr>
                <w:p>
                  <w:pPr>
                    <w:adjustRightInd w:val="0"/>
                    <w:snapToGrid w:val="0"/>
                    <w:jc w:val="center"/>
                    <w:rPr>
                      <w:rFonts w:hint="eastAsia" w:eastAsia="宋体"/>
                      <w:b/>
                      <w:bCs/>
                      <w:color w:val="auto"/>
                      <w:lang w:eastAsia="zh-CN"/>
                    </w:rPr>
                  </w:pPr>
                  <w:r>
                    <w:rPr>
                      <w:rFonts w:hint="eastAsia" w:ascii="Times New Roman" w:hAnsi="Times New Roman" w:eastAsia="宋体" w:cs="宋体"/>
                      <w:b/>
                      <w:bCs/>
                      <w:color w:val="auto"/>
                      <w:lang w:val="en-US" w:eastAsia="zh-CN"/>
                    </w:rPr>
                    <w:t>污染物</w:t>
                  </w:r>
                </w:p>
              </w:tc>
              <w:tc>
                <w:tcPr>
                  <w:tcW w:w="519" w:type="dxa"/>
                  <w:vMerge w:val="restart"/>
                  <w:tcBorders>
                    <w:tl2br w:val="nil"/>
                    <w:tr2bl w:val="nil"/>
                  </w:tcBorders>
                  <w:noWrap w:val="0"/>
                  <w:vAlign w:val="center"/>
                </w:tcPr>
                <w:p>
                  <w:pPr>
                    <w:adjustRightInd w:val="0"/>
                    <w:snapToGrid w:val="0"/>
                    <w:jc w:val="center"/>
                    <w:rPr>
                      <w:rFonts w:hint="default" w:ascii="Times New Roman" w:hAnsi="Times New Roman" w:eastAsia="宋体" w:cs="宋体"/>
                      <w:b/>
                      <w:bCs/>
                      <w:color w:val="auto"/>
                      <w:lang w:val="en-US" w:eastAsia="zh-CN"/>
                    </w:rPr>
                  </w:pPr>
                  <w:r>
                    <w:rPr>
                      <w:rFonts w:hint="eastAsia" w:ascii="Times New Roman" w:hAnsi="Times New Roman" w:eastAsia="宋体" w:cs="宋体"/>
                      <w:b/>
                      <w:bCs/>
                      <w:color w:val="auto"/>
                      <w:lang w:val="en-US" w:eastAsia="zh-CN"/>
                    </w:rPr>
                    <w:t>平均时间</w:t>
                  </w:r>
                </w:p>
              </w:tc>
              <w:tc>
                <w:tcPr>
                  <w:tcW w:w="1115" w:type="dxa"/>
                  <w:vMerge w:val="restart"/>
                  <w:tcBorders>
                    <w:tl2br w:val="nil"/>
                    <w:tr2bl w:val="nil"/>
                  </w:tcBorders>
                  <w:noWrap w:val="0"/>
                  <w:vAlign w:val="center"/>
                </w:tcPr>
                <w:p>
                  <w:pPr>
                    <w:adjustRightInd w:val="0"/>
                    <w:snapToGrid w:val="0"/>
                    <w:jc w:val="center"/>
                    <w:rPr>
                      <w:rFonts w:hint="default" w:ascii="Times New Roman" w:hAnsi="Times New Roman" w:eastAsia="宋体" w:cs="宋体"/>
                      <w:bCs/>
                      <w:color w:val="auto"/>
                      <w:lang w:val="en-US" w:eastAsia="zh-CN"/>
                    </w:rPr>
                  </w:pPr>
                  <w:r>
                    <w:rPr>
                      <w:rFonts w:hint="eastAsia" w:ascii="Times New Roman" w:hAnsi="Times New Roman" w:eastAsia="宋体" w:cs="宋体"/>
                      <w:b/>
                      <w:bCs w:val="0"/>
                      <w:color w:val="auto"/>
                      <w:lang w:val="en-US" w:eastAsia="zh-CN"/>
                    </w:rPr>
                    <w:t>评价标准（</w:t>
                  </w:r>
                  <w:r>
                    <w:rPr>
                      <w:b/>
                      <w:bCs/>
                      <w:color w:val="auto"/>
                    </w:rPr>
                    <w:t>µg/m</w:t>
                  </w:r>
                  <w:r>
                    <w:rPr>
                      <w:b/>
                      <w:bCs/>
                      <w:color w:val="auto"/>
                      <w:vertAlign w:val="superscript"/>
                    </w:rPr>
                    <w:t>3</w:t>
                  </w:r>
                  <w:r>
                    <w:rPr>
                      <w:rFonts w:hint="eastAsia" w:ascii="Times New Roman" w:hAnsi="Times New Roman" w:eastAsia="宋体" w:cs="宋体"/>
                      <w:b/>
                      <w:bCs w:val="0"/>
                      <w:color w:val="auto"/>
                      <w:lang w:val="en-US" w:eastAsia="zh-CN"/>
                    </w:rPr>
                    <w:t>）</w:t>
                  </w:r>
                </w:p>
              </w:tc>
              <w:tc>
                <w:tcPr>
                  <w:tcW w:w="1195" w:type="dxa"/>
                  <w:vMerge w:val="restart"/>
                  <w:tcBorders>
                    <w:tl2br w:val="nil"/>
                    <w:tr2bl w:val="nil"/>
                  </w:tcBorders>
                  <w:noWrap w:val="0"/>
                  <w:vAlign w:val="center"/>
                </w:tcPr>
                <w:p>
                  <w:pPr>
                    <w:adjustRightInd w:val="0"/>
                    <w:snapToGrid w:val="0"/>
                    <w:jc w:val="center"/>
                    <w:rPr>
                      <w:rFonts w:hint="default" w:ascii="Times New Roman" w:hAnsi="Times New Roman" w:eastAsia="宋体" w:cs="宋体"/>
                      <w:bCs/>
                      <w:color w:val="auto"/>
                      <w:lang w:val="en-US" w:eastAsia="zh-CN"/>
                    </w:rPr>
                  </w:pPr>
                  <w:r>
                    <w:rPr>
                      <w:rFonts w:hint="eastAsia" w:ascii="Times New Roman" w:hAnsi="Times New Roman" w:eastAsia="宋体" w:cs="宋体"/>
                      <w:b/>
                      <w:bCs w:val="0"/>
                      <w:color w:val="auto"/>
                      <w:lang w:val="en-US" w:eastAsia="zh-CN"/>
                    </w:rPr>
                    <w:t>监测浓度范围（</w:t>
                  </w:r>
                  <w:r>
                    <w:rPr>
                      <w:b/>
                      <w:bCs w:val="0"/>
                      <w:color w:val="auto"/>
                    </w:rPr>
                    <w:t>µg/m</w:t>
                  </w:r>
                  <w:r>
                    <w:rPr>
                      <w:b/>
                      <w:bCs w:val="0"/>
                      <w:color w:val="auto"/>
                      <w:vertAlign w:val="superscript"/>
                    </w:rPr>
                    <w:t>3</w:t>
                  </w:r>
                  <w:r>
                    <w:rPr>
                      <w:rFonts w:hint="eastAsia" w:ascii="Times New Roman" w:hAnsi="Times New Roman" w:eastAsia="宋体" w:cs="宋体"/>
                      <w:b/>
                      <w:bCs w:val="0"/>
                      <w:color w:val="auto"/>
                      <w:lang w:val="en-US" w:eastAsia="zh-CN"/>
                    </w:rPr>
                    <w:t>）</w:t>
                  </w:r>
                </w:p>
              </w:tc>
              <w:tc>
                <w:tcPr>
                  <w:tcW w:w="749" w:type="dxa"/>
                  <w:vMerge w:val="restart"/>
                  <w:tcBorders>
                    <w:tl2br w:val="nil"/>
                    <w:tr2bl w:val="nil"/>
                  </w:tcBorders>
                  <w:noWrap w:val="0"/>
                  <w:vAlign w:val="center"/>
                </w:tcPr>
                <w:p>
                  <w:pPr>
                    <w:adjustRightInd w:val="0"/>
                    <w:snapToGrid w:val="0"/>
                    <w:jc w:val="center"/>
                    <w:rPr>
                      <w:rFonts w:hint="default" w:eastAsia="宋体"/>
                      <w:b/>
                      <w:bCs/>
                      <w:color w:val="auto"/>
                      <w:lang w:val="en-US" w:eastAsia="zh-CN"/>
                    </w:rPr>
                  </w:pPr>
                  <w:r>
                    <w:rPr>
                      <w:rFonts w:hint="eastAsia"/>
                      <w:b/>
                      <w:bCs/>
                      <w:color w:val="auto"/>
                      <w:lang w:val="en-US" w:eastAsia="zh-CN"/>
                    </w:rPr>
                    <w:t>最大浓度占标率%</w:t>
                  </w:r>
                </w:p>
              </w:tc>
              <w:tc>
                <w:tcPr>
                  <w:tcW w:w="599" w:type="dxa"/>
                  <w:vMerge w:val="restart"/>
                  <w:tcBorders>
                    <w:tl2br w:val="nil"/>
                    <w:tr2bl w:val="nil"/>
                  </w:tcBorders>
                  <w:noWrap w:val="0"/>
                  <w:vAlign w:val="center"/>
                </w:tcPr>
                <w:p>
                  <w:pPr>
                    <w:adjustRightInd w:val="0"/>
                    <w:snapToGrid w:val="0"/>
                    <w:jc w:val="center"/>
                    <w:rPr>
                      <w:rFonts w:hint="default" w:eastAsia="宋体"/>
                      <w:b/>
                      <w:bCs/>
                      <w:color w:val="auto"/>
                      <w:lang w:val="en-US" w:eastAsia="zh-CN"/>
                    </w:rPr>
                  </w:pPr>
                  <w:r>
                    <w:rPr>
                      <w:rFonts w:hint="eastAsia"/>
                      <w:b/>
                      <w:bCs/>
                      <w:color w:val="auto"/>
                      <w:lang w:val="en-US" w:eastAsia="zh-CN"/>
                    </w:rPr>
                    <w:t>超标率%</w:t>
                  </w:r>
                </w:p>
              </w:tc>
              <w:tc>
                <w:tcPr>
                  <w:tcW w:w="441" w:type="dxa"/>
                  <w:vMerge w:val="restart"/>
                  <w:tcBorders>
                    <w:tl2br w:val="nil"/>
                    <w:tr2bl w:val="nil"/>
                  </w:tcBorders>
                  <w:noWrap w:val="0"/>
                  <w:vAlign w:val="center"/>
                </w:tcPr>
                <w:p>
                  <w:pPr>
                    <w:adjustRightInd w:val="0"/>
                    <w:snapToGrid w:val="0"/>
                    <w:jc w:val="center"/>
                    <w:rPr>
                      <w:rFonts w:hint="eastAsia" w:eastAsia="宋体"/>
                      <w:b/>
                      <w:bCs/>
                      <w:color w:val="auto"/>
                      <w:lang w:val="en-US" w:eastAsia="zh-CN"/>
                    </w:rPr>
                  </w:pPr>
                  <w:r>
                    <w:rPr>
                      <w:rFonts w:hint="eastAsia"/>
                      <w:b/>
                      <w:bCs/>
                      <w:color w:val="auto"/>
                      <w:lang w:val="en-US" w:eastAsia="zh-CN"/>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8" w:space="0"/>
                </w:tblBorders>
                <w:tblLayout w:type="fixed"/>
                <w:tblCellMar>
                  <w:top w:w="0" w:type="dxa"/>
                  <w:left w:w="108" w:type="dxa"/>
                  <w:bottom w:w="0" w:type="dxa"/>
                  <w:right w:w="108" w:type="dxa"/>
                </w:tblCellMar>
              </w:tblPrEx>
              <w:trPr>
                <w:trHeight w:val="583" w:hRule="atLeast"/>
                <w:jc w:val="center"/>
              </w:trPr>
              <w:tc>
                <w:tcPr>
                  <w:tcW w:w="763" w:type="dxa"/>
                  <w:vMerge w:val="continue"/>
                  <w:tcBorders>
                    <w:tl2br w:val="nil"/>
                    <w:tr2bl w:val="nil"/>
                  </w:tcBorders>
                  <w:noWrap w:val="0"/>
                  <w:vAlign w:val="center"/>
                </w:tcPr>
                <w:p>
                  <w:pPr>
                    <w:adjustRightInd w:val="0"/>
                    <w:snapToGrid w:val="0"/>
                    <w:jc w:val="center"/>
                    <w:rPr>
                      <w:b/>
                      <w:bCs/>
                      <w:color w:val="auto"/>
                    </w:rPr>
                  </w:pPr>
                </w:p>
              </w:tc>
              <w:tc>
                <w:tcPr>
                  <w:tcW w:w="922" w:type="dxa"/>
                  <w:tcBorders>
                    <w:tl2br w:val="nil"/>
                    <w:tr2bl w:val="nil"/>
                  </w:tcBorders>
                  <w:noWrap w:val="0"/>
                  <w:vAlign w:val="center"/>
                </w:tcPr>
                <w:p>
                  <w:pPr>
                    <w:adjustRightInd w:val="0"/>
                    <w:snapToGrid w:val="0"/>
                    <w:jc w:val="center"/>
                    <w:rPr>
                      <w:b/>
                      <w:bCs/>
                      <w:color w:val="auto"/>
                    </w:rPr>
                  </w:pPr>
                  <w:r>
                    <w:rPr>
                      <w:rFonts w:hint="eastAsia"/>
                      <w:bCs/>
                      <w:color w:val="auto"/>
                    </w:rPr>
                    <w:t>X</w:t>
                  </w:r>
                </w:p>
              </w:tc>
              <w:tc>
                <w:tcPr>
                  <w:tcW w:w="1029" w:type="dxa"/>
                  <w:tcBorders>
                    <w:tl2br w:val="nil"/>
                    <w:tr2bl w:val="nil"/>
                  </w:tcBorders>
                  <w:noWrap w:val="0"/>
                  <w:vAlign w:val="center"/>
                </w:tcPr>
                <w:p>
                  <w:pPr>
                    <w:adjustRightInd w:val="0"/>
                    <w:snapToGrid w:val="0"/>
                    <w:jc w:val="center"/>
                    <w:rPr>
                      <w:b/>
                      <w:bCs/>
                      <w:color w:val="auto"/>
                    </w:rPr>
                  </w:pPr>
                  <w:r>
                    <w:rPr>
                      <w:rFonts w:hint="eastAsia"/>
                      <w:bCs/>
                      <w:color w:val="auto"/>
                    </w:rPr>
                    <w:t>Y</w:t>
                  </w:r>
                </w:p>
              </w:tc>
              <w:tc>
                <w:tcPr>
                  <w:tcW w:w="542" w:type="dxa"/>
                  <w:vMerge w:val="continue"/>
                  <w:tcBorders>
                    <w:tl2br w:val="nil"/>
                    <w:tr2bl w:val="nil"/>
                  </w:tcBorders>
                  <w:noWrap w:val="0"/>
                  <w:vAlign w:val="center"/>
                </w:tcPr>
                <w:p>
                  <w:pPr>
                    <w:adjustRightInd w:val="0"/>
                    <w:snapToGrid w:val="0"/>
                    <w:jc w:val="center"/>
                    <w:rPr>
                      <w:b/>
                      <w:bCs/>
                      <w:color w:val="auto"/>
                    </w:rPr>
                  </w:pPr>
                </w:p>
              </w:tc>
              <w:tc>
                <w:tcPr>
                  <w:tcW w:w="519" w:type="dxa"/>
                  <w:vMerge w:val="continue"/>
                  <w:tcBorders>
                    <w:tl2br w:val="nil"/>
                    <w:tr2bl w:val="nil"/>
                  </w:tcBorders>
                  <w:noWrap w:val="0"/>
                  <w:vAlign w:val="center"/>
                </w:tcPr>
                <w:p>
                  <w:pPr>
                    <w:adjustRightInd w:val="0"/>
                    <w:snapToGrid w:val="0"/>
                    <w:jc w:val="center"/>
                    <w:rPr>
                      <w:b/>
                      <w:bCs/>
                      <w:color w:val="auto"/>
                    </w:rPr>
                  </w:pPr>
                </w:p>
              </w:tc>
              <w:tc>
                <w:tcPr>
                  <w:tcW w:w="1115" w:type="dxa"/>
                  <w:vMerge w:val="continue"/>
                  <w:tcBorders>
                    <w:tl2br w:val="nil"/>
                    <w:tr2bl w:val="nil"/>
                  </w:tcBorders>
                  <w:noWrap w:val="0"/>
                  <w:vAlign w:val="center"/>
                </w:tcPr>
                <w:p>
                  <w:pPr>
                    <w:adjustRightInd w:val="0"/>
                    <w:snapToGrid w:val="0"/>
                    <w:jc w:val="center"/>
                    <w:rPr>
                      <w:b/>
                      <w:bCs/>
                      <w:color w:val="auto"/>
                    </w:rPr>
                  </w:pPr>
                </w:p>
              </w:tc>
              <w:tc>
                <w:tcPr>
                  <w:tcW w:w="1195" w:type="dxa"/>
                  <w:vMerge w:val="continue"/>
                  <w:tcBorders>
                    <w:tl2br w:val="nil"/>
                    <w:tr2bl w:val="nil"/>
                  </w:tcBorders>
                  <w:noWrap w:val="0"/>
                  <w:vAlign w:val="center"/>
                </w:tcPr>
                <w:p>
                  <w:pPr>
                    <w:adjustRightInd w:val="0"/>
                    <w:snapToGrid w:val="0"/>
                    <w:jc w:val="center"/>
                    <w:rPr>
                      <w:b/>
                      <w:bCs/>
                      <w:color w:val="auto"/>
                    </w:rPr>
                  </w:pPr>
                </w:p>
              </w:tc>
              <w:tc>
                <w:tcPr>
                  <w:tcW w:w="749" w:type="dxa"/>
                  <w:vMerge w:val="continue"/>
                  <w:tcBorders>
                    <w:tl2br w:val="nil"/>
                    <w:tr2bl w:val="nil"/>
                  </w:tcBorders>
                  <w:noWrap w:val="0"/>
                  <w:vAlign w:val="center"/>
                </w:tcPr>
                <w:p>
                  <w:pPr>
                    <w:adjustRightInd w:val="0"/>
                    <w:snapToGrid w:val="0"/>
                    <w:jc w:val="center"/>
                    <w:rPr>
                      <w:b/>
                      <w:bCs/>
                      <w:color w:val="auto"/>
                    </w:rPr>
                  </w:pPr>
                </w:p>
              </w:tc>
              <w:tc>
                <w:tcPr>
                  <w:tcW w:w="599" w:type="dxa"/>
                  <w:vMerge w:val="continue"/>
                  <w:tcBorders>
                    <w:tl2br w:val="nil"/>
                    <w:tr2bl w:val="nil"/>
                  </w:tcBorders>
                  <w:noWrap w:val="0"/>
                  <w:vAlign w:val="center"/>
                </w:tcPr>
                <w:p>
                  <w:pPr>
                    <w:adjustRightInd w:val="0"/>
                    <w:snapToGrid w:val="0"/>
                    <w:jc w:val="center"/>
                    <w:rPr>
                      <w:b/>
                      <w:bCs/>
                      <w:color w:val="auto"/>
                    </w:rPr>
                  </w:pPr>
                </w:p>
              </w:tc>
              <w:tc>
                <w:tcPr>
                  <w:tcW w:w="441" w:type="dxa"/>
                  <w:vMerge w:val="continue"/>
                  <w:tcBorders>
                    <w:tl2br w:val="nil"/>
                    <w:tr2bl w:val="nil"/>
                  </w:tcBorders>
                  <w:noWrap w:val="0"/>
                  <w:vAlign w:val="center"/>
                </w:tcPr>
                <w:p>
                  <w:pPr>
                    <w:adjustRightInd w:val="0"/>
                    <w:snapToGrid w:val="0"/>
                    <w:jc w:val="center"/>
                    <w:rPr>
                      <w:b/>
                      <w:bCs/>
                      <w:color w:val="auto"/>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8" w:space="0"/>
                </w:tblBorders>
                <w:tblLayout w:type="fixed"/>
                <w:tblCellMar>
                  <w:top w:w="0" w:type="dxa"/>
                  <w:left w:w="108" w:type="dxa"/>
                  <w:bottom w:w="0" w:type="dxa"/>
                  <w:right w:w="108" w:type="dxa"/>
                </w:tblCellMar>
              </w:tblPrEx>
              <w:trPr>
                <w:trHeight w:val="334" w:hRule="atLeast"/>
                <w:jc w:val="center"/>
              </w:trPr>
              <w:tc>
                <w:tcPr>
                  <w:tcW w:w="763" w:type="dxa"/>
                  <w:tcBorders>
                    <w:tl2br w:val="nil"/>
                    <w:tr2bl w:val="nil"/>
                  </w:tcBorders>
                  <w:noWrap w:val="0"/>
                  <w:vAlign w:val="center"/>
                </w:tcPr>
                <w:p>
                  <w:pPr>
                    <w:adjustRightInd w:val="0"/>
                    <w:snapToGrid w:val="0"/>
                    <w:jc w:val="center"/>
                    <w:rPr>
                      <w:rFonts w:ascii="Times New Roman" w:hAnsi="Times New Roman" w:eastAsia="宋体" w:cs="宋体"/>
                      <w:color w:val="auto"/>
                      <w:kern w:val="2"/>
                      <w:sz w:val="21"/>
                      <w:szCs w:val="21"/>
                      <w:lang w:val="en-US" w:eastAsia="zh-CN" w:bidi="ar-SA"/>
                    </w:rPr>
                  </w:pPr>
                  <w:r>
                    <w:rPr>
                      <w:rFonts w:hint="eastAsia" w:ascii="Times New Roman" w:hAnsi="Times New Roman" w:eastAsia="宋体" w:cs="Times New Roman"/>
                      <w:color w:val="auto"/>
                      <w:szCs w:val="24"/>
                      <w:lang w:val="en-US" w:eastAsia="zh-CN"/>
                    </w:rPr>
                    <w:t>阚庄村</w:t>
                  </w:r>
                  <w:r>
                    <w:rPr>
                      <w:rFonts w:hint="eastAsia" w:cs="Times New Roman"/>
                      <w:color w:val="auto"/>
                      <w:szCs w:val="24"/>
                      <w:lang w:val="en-US" w:eastAsia="zh-CN"/>
                    </w:rPr>
                    <w:t>13组</w:t>
                  </w:r>
                  <w:r>
                    <w:rPr>
                      <w:rFonts w:hint="eastAsia" w:ascii="Times New Roman" w:hAnsi="Times New Roman" w:eastAsia="宋体" w:cs="宋体"/>
                      <w:color w:val="auto"/>
                    </w:rPr>
                    <w:t>G1</w:t>
                  </w:r>
                </w:p>
              </w:tc>
              <w:tc>
                <w:tcPr>
                  <w:tcW w:w="922" w:type="dxa"/>
                  <w:tcBorders>
                    <w:tl2br w:val="nil"/>
                    <w:tr2bl w:val="nil"/>
                  </w:tcBorders>
                  <w:shd w:val="clear" w:color="auto" w:fill="auto"/>
                  <w:noWrap w:val="0"/>
                  <w:vAlign w:val="center"/>
                </w:tcPr>
                <w:p>
                  <w:pPr>
                    <w:adjustRightInd w:val="0"/>
                    <w:snapToGrid w:val="0"/>
                    <w:jc w:val="center"/>
                    <w:rPr>
                      <w:rFonts w:ascii="Times New Roman" w:hAnsi="Times New Roman" w:eastAsia="宋体" w:cs="宋体"/>
                      <w:color w:val="auto"/>
                      <w:kern w:val="2"/>
                      <w:sz w:val="21"/>
                      <w:szCs w:val="24"/>
                      <w:lang w:val="en-US" w:eastAsia="zh-CN" w:bidi="ar-SA"/>
                    </w:rPr>
                  </w:pPr>
                  <w:r>
                    <w:rPr>
                      <w:rFonts w:hint="eastAsia" w:ascii="Times New Roman" w:hAnsi="Times New Roman" w:eastAsia="宋体" w:cs="宋体"/>
                      <w:color w:val="auto"/>
                    </w:rPr>
                    <w:t>120.497394</w:t>
                  </w:r>
                </w:p>
              </w:tc>
              <w:tc>
                <w:tcPr>
                  <w:tcW w:w="1029" w:type="dxa"/>
                  <w:tcBorders>
                    <w:tl2br w:val="nil"/>
                    <w:tr2bl w:val="nil"/>
                  </w:tcBorders>
                  <w:shd w:val="clear" w:color="auto" w:fill="auto"/>
                  <w:noWrap w:val="0"/>
                  <w:vAlign w:val="center"/>
                </w:tcPr>
                <w:p>
                  <w:pPr>
                    <w:adjustRightInd w:val="0"/>
                    <w:snapToGrid w:val="0"/>
                    <w:jc w:val="center"/>
                    <w:rPr>
                      <w:rFonts w:ascii="Times New Roman" w:hAnsi="Times New Roman" w:eastAsia="宋体" w:cs="宋体"/>
                      <w:color w:val="auto"/>
                      <w:kern w:val="2"/>
                      <w:sz w:val="21"/>
                      <w:szCs w:val="24"/>
                      <w:lang w:val="en-US" w:eastAsia="zh-CN" w:bidi="ar-SA"/>
                    </w:rPr>
                  </w:pPr>
                  <w:r>
                    <w:rPr>
                      <w:rFonts w:hint="eastAsia" w:ascii="Times New Roman" w:hAnsi="Times New Roman" w:eastAsia="宋体" w:cs="宋体"/>
                      <w:color w:val="auto"/>
                    </w:rPr>
                    <w:t>32.414283</w:t>
                  </w:r>
                </w:p>
              </w:tc>
              <w:tc>
                <w:tcPr>
                  <w:tcW w:w="542" w:type="dxa"/>
                  <w:tcBorders>
                    <w:tl2br w:val="nil"/>
                    <w:tr2bl w:val="nil"/>
                  </w:tcBorders>
                  <w:noWrap w:val="0"/>
                  <w:vAlign w:val="center"/>
                </w:tcPr>
                <w:p>
                  <w:pPr>
                    <w:adjustRightInd w:val="0"/>
                    <w:snapToGrid w:val="0"/>
                    <w:jc w:val="center"/>
                    <w:rPr>
                      <w:rFonts w:hint="default" w:eastAsia="宋体"/>
                      <w:color w:val="auto"/>
                      <w:lang w:val="en-US" w:eastAsia="zh-CN"/>
                    </w:rPr>
                  </w:pPr>
                  <w:r>
                    <w:rPr>
                      <w:rFonts w:hint="eastAsia" w:eastAsia="宋体"/>
                      <w:bCs/>
                      <w:color w:val="auto"/>
                      <w:lang w:val="en-US" w:eastAsia="zh-CN"/>
                    </w:rPr>
                    <w:t>TSP</w:t>
                  </w:r>
                </w:p>
              </w:tc>
              <w:tc>
                <w:tcPr>
                  <w:tcW w:w="519" w:type="dxa"/>
                  <w:tcBorders>
                    <w:tl2br w:val="nil"/>
                    <w:tr2bl w:val="nil"/>
                  </w:tcBorders>
                  <w:noWrap w:val="0"/>
                  <w:vAlign w:val="center"/>
                </w:tcPr>
                <w:p>
                  <w:pPr>
                    <w:adjustRightInd w:val="0"/>
                    <w:snapToGrid w:val="0"/>
                    <w:jc w:val="center"/>
                    <w:rPr>
                      <w:rFonts w:hint="default" w:eastAsia="宋体"/>
                      <w:bCs/>
                      <w:color w:val="auto"/>
                      <w:lang w:val="en-US" w:eastAsia="zh-CN"/>
                    </w:rPr>
                  </w:pPr>
                  <w:r>
                    <w:rPr>
                      <w:rFonts w:hint="eastAsia" w:eastAsia="宋体"/>
                      <w:bCs/>
                      <w:color w:val="auto"/>
                      <w:lang w:val="en-US" w:eastAsia="zh-CN"/>
                    </w:rPr>
                    <w:t>24h</w:t>
                  </w:r>
                </w:p>
              </w:tc>
              <w:tc>
                <w:tcPr>
                  <w:tcW w:w="1115" w:type="dxa"/>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aps w:val="0"/>
                      <w:color w:val="auto"/>
                      <w:kern w:val="2"/>
                      <w:sz w:val="21"/>
                      <w:szCs w:val="21"/>
                      <w:highlight w:val="none"/>
                      <w:lang w:val="en-US" w:eastAsia="zh-CN" w:bidi="ar-SA"/>
                    </w:rPr>
                  </w:pPr>
                  <w:r>
                    <w:rPr>
                      <w:rFonts w:hint="eastAsia" w:ascii="Times New Roman" w:hAnsi="Times New Roman" w:eastAsia="宋体" w:cs="Times New Roman"/>
                      <w:b w:val="0"/>
                      <w:bCs w:val="0"/>
                      <w:caps w:val="0"/>
                      <w:color w:val="auto"/>
                      <w:sz w:val="21"/>
                      <w:szCs w:val="21"/>
                      <w:highlight w:val="none"/>
                      <w:lang w:val="en-US" w:eastAsia="zh-CN"/>
                    </w:rPr>
                    <w:t>300</w:t>
                  </w:r>
                </w:p>
              </w:tc>
              <w:tc>
                <w:tcPr>
                  <w:tcW w:w="1195" w:type="dxa"/>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aps w:val="0"/>
                      <w:color w:val="auto"/>
                      <w:kern w:val="2"/>
                      <w:sz w:val="21"/>
                      <w:szCs w:val="21"/>
                      <w:highlight w:val="none"/>
                      <w:vertAlign w:val="baseline"/>
                      <w:lang w:val="en-US" w:eastAsia="zh-CN" w:bidi="ar-SA"/>
                    </w:rPr>
                  </w:pPr>
                  <w:r>
                    <w:rPr>
                      <w:rFonts w:hint="eastAsia" w:ascii="Times New Roman" w:hAnsi="Times New Roman" w:eastAsia="宋体" w:cs="Times New Roman"/>
                      <w:b w:val="0"/>
                      <w:bCs w:val="0"/>
                      <w:caps w:val="0"/>
                      <w:color w:val="auto"/>
                      <w:sz w:val="21"/>
                      <w:szCs w:val="21"/>
                      <w:highlight w:val="none"/>
                      <w:vertAlign w:val="baseline"/>
                      <w:lang w:val="en-US" w:eastAsia="zh-CN"/>
                    </w:rPr>
                    <w:t>153</w:t>
                  </w:r>
                  <w:r>
                    <w:rPr>
                      <w:rFonts w:hint="default" w:ascii="Times New Roman" w:hAnsi="Times New Roman" w:eastAsia="宋体" w:cs="Times New Roman"/>
                      <w:b w:val="0"/>
                      <w:bCs w:val="0"/>
                      <w:caps w:val="0"/>
                      <w:color w:val="auto"/>
                      <w:sz w:val="21"/>
                      <w:szCs w:val="21"/>
                      <w:highlight w:val="none"/>
                      <w:vertAlign w:val="baseline"/>
                      <w:lang w:val="en-US" w:eastAsia="zh-CN"/>
                    </w:rPr>
                    <w:t>~</w:t>
                  </w:r>
                  <w:r>
                    <w:rPr>
                      <w:rFonts w:hint="eastAsia" w:ascii="Times New Roman" w:hAnsi="Times New Roman" w:eastAsia="宋体" w:cs="Times New Roman"/>
                      <w:b w:val="0"/>
                      <w:bCs w:val="0"/>
                      <w:caps w:val="0"/>
                      <w:color w:val="auto"/>
                      <w:sz w:val="21"/>
                      <w:szCs w:val="21"/>
                      <w:highlight w:val="none"/>
                      <w:vertAlign w:val="baseline"/>
                      <w:lang w:val="en-US" w:eastAsia="zh-CN"/>
                    </w:rPr>
                    <w:t>198</w:t>
                  </w:r>
                </w:p>
              </w:tc>
              <w:tc>
                <w:tcPr>
                  <w:tcW w:w="749" w:type="dxa"/>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default" w:ascii="Times New Roman" w:hAnsi="Times New Roman" w:eastAsia="宋体" w:cs="Times New Roman"/>
                      <w:b w:val="0"/>
                      <w:bCs w:val="0"/>
                      <w:caps w:val="0"/>
                      <w:color w:val="auto"/>
                      <w:kern w:val="2"/>
                      <w:sz w:val="21"/>
                      <w:szCs w:val="21"/>
                      <w:highlight w:val="none"/>
                      <w:vertAlign w:val="baseline"/>
                      <w:lang w:val="en-US" w:eastAsia="zh-CN" w:bidi="ar-SA"/>
                    </w:rPr>
                  </w:pPr>
                  <w:r>
                    <w:rPr>
                      <w:rFonts w:hint="eastAsia" w:cs="Times New Roman"/>
                      <w:b w:val="0"/>
                      <w:bCs w:val="0"/>
                      <w:caps w:val="0"/>
                      <w:color w:val="auto"/>
                      <w:sz w:val="21"/>
                      <w:szCs w:val="21"/>
                      <w:highlight w:val="none"/>
                      <w:vertAlign w:val="baseline"/>
                      <w:lang w:val="en-US" w:eastAsia="zh-CN"/>
                    </w:rPr>
                    <w:t>58%</w:t>
                  </w:r>
                </w:p>
              </w:tc>
              <w:tc>
                <w:tcPr>
                  <w:tcW w:w="599" w:type="dxa"/>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val="0"/>
                      <w:bCs w:val="0"/>
                      <w:caps w:val="0"/>
                      <w:color w:val="auto"/>
                      <w:kern w:val="2"/>
                      <w:sz w:val="21"/>
                      <w:szCs w:val="21"/>
                      <w:highlight w:val="none"/>
                      <w:vertAlign w:val="baseline"/>
                      <w:lang w:val="en-US" w:eastAsia="zh-CN" w:bidi="ar-SA"/>
                    </w:rPr>
                  </w:pPr>
                  <w:r>
                    <w:rPr>
                      <w:rFonts w:hint="default" w:ascii="Times New Roman" w:hAnsi="Times New Roman" w:eastAsia="宋体" w:cs="Times New Roman"/>
                      <w:b w:val="0"/>
                      <w:bCs w:val="0"/>
                      <w:caps w:val="0"/>
                      <w:color w:val="auto"/>
                      <w:sz w:val="21"/>
                      <w:szCs w:val="21"/>
                      <w:highlight w:val="none"/>
                      <w:vertAlign w:val="baseline"/>
                      <w:lang w:val="en-US" w:eastAsia="zh-CN"/>
                    </w:rPr>
                    <w:t>0</w:t>
                  </w:r>
                </w:p>
              </w:tc>
              <w:tc>
                <w:tcPr>
                  <w:tcW w:w="441" w:type="dxa"/>
                  <w:tcBorders>
                    <w:tl2br w:val="nil"/>
                    <w:tr2bl w:val="nil"/>
                  </w:tcBorders>
                  <w:shd w:val="clear" w:color="auto" w:fill="auto"/>
                  <w:noWrap w:val="0"/>
                  <w:vAlign w:val="center"/>
                </w:tcPr>
                <w:p>
                  <w:pPr>
                    <w:keepNext w:val="0"/>
                    <w:keepLines w:val="0"/>
                    <w:suppressLineNumbers w:val="0"/>
                    <w:adjustRightInd w:val="0"/>
                    <w:snapToGrid w:val="0"/>
                    <w:spacing w:before="0" w:beforeAutospacing="0" w:after="0" w:afterAutospacing="0"/>
                    <w:ind w:left="0" w:leftChars="0" w:right="0" w:rightChars="0"/>
                    <w:jc w:val="center"/>
                    <w:rPr>
                      <w:rFonts w:hint="eastAsia" w:ascii="Times New Roman" w:hAnsi="Times New Roman" w:eastAsia="宋体" w:cs="Times New Roman"/>
                      <w:b w:val="0"/>
                      <w:bCs w:val="0"/>
                      <w:caps w:val="0"/>
                      <w:color w:val="auto"/>
                      <w:kern w:val="2"/>
                      <w:sz w:val="21"/>
                      <w:szCs w:val="21"/>
                      <w:highlight w:val="none"/>
                      <w:vertAlign w:val="baseline"/>
                      <w:lang w:val="en-US" w:eastAsia="zh-CN" w:bidi="ar-SA"/>
                    </w:rPr>
                  </w:pPr>
                  <w:r>
                    <w:rPr>
                      <w:rFonts w:hint="eastAsia" w:ascii="Times New Roman" w:hAnsi="Times New Roman" w:cs="Times New Roman"/>
                      <w:b w:val="0"/>
                      <w:bCs w:val="0"/>
                      <w:caps w:val="0"/>
                      <w:color w:val="auto"/>
                      <w:sz w:val="21"/>
                      <w:szCs w:val="21"/>
                      <w:highlight w:val="none"/>
                      <w:vertAlign w:val="baseline"/>
                      <w:lang w:eastAsia="zh-CN"/>
                    </w:rPr>
                    <w:t>达标</w:t>
                  </w:r>
                </w:p>
              </w:tc>
            </w:tr>
          </w:tbl>
          <w:p>
            <w:pPr>
              <w:adjustRightInd w:val="0"/>
              <w:snapToGrid w:val="0"/>
              <w:spacing w:line="360" w:lineRule="auto"/>
              <w:ind w:firstLine="482" w:firstLineChars="200"/>
              <w:rPr>
                <w:rFonts w:hint="default" w:ascii="Times New Roman" w:hAnsi="Times New Roman" w:cs="Times New Roman"/>
                <w:b/>
                <w:color w:val="auto"/>
                <w:sz w:val="24"/>
                <w:szCs w:val="24"/>
                <w:highlight w:val="none"/>
                <w:lang w:val="en-US" w:eastAsia="zh-CN"/>
              </w:rPr>
            </w:pPr>
          </w:p>
          <w:p>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地表水环境</w:t>
            </w:r>
          </w:p>
          <w:p>
            <w:pPr>
              <w:adjustRightInd w:val="0"/>
              <w:snapToGrid w:val="0"/>
              <w:spacing w:line="360" w:lineRule="auto"/>
              <w:ind w:firstLine="480"/>
              <w:rPr>
                <w:rFonts w:hint="eastAsia"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南通市共有16个国家考核断面，均达到省定考核要求，其中15个断面水质达到或优于《地表水环境质量标准》(GB3838-2002)Ⅲ类标准。55个省考以上断面中九圩港桥、聚南大桥、营船港闸、通吕二号桥等16个断面水质符合Ⅱ类标准，孙窑大桥、碾砣港闸、勇敢大桥、东方大道桥、城港路桥等38个断面水质符合Ⅲ类标准；无V类和劣V类断面。</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2.1饮用水源</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全市均以长江水作为饮用水源，长江狼山水源地（对应狼山水厂、崇海水厂）、长江洪港水源地（洪港水厂）、长江长青沙水源地（对应如皋鹏鹞水厂）、长江海门水源地（海门长江水厂）符合地表水Ⅲ类及以上标准，水质优良。全市共计年取水量8.5亿吨，饮用水源地水质达标率均为100%。</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2.2长江（南通段）水质</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长江（南通段）水质为Ⅱ类，水质优良。其中，姚港（左岸）、团结闸（左岸）、小李港（左岸）断面水质保持Ⅱ类。</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2.3内河水质</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南通市境内主要内河中，焦港河、通吕运河、如海运河、九圩港河、通启运河、新江海河、通扬运河、新通扬运河、栟茶运河、如泰运河、遥望港水质基本达到Ⅲ类标准。</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2.4城区主要河流</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市区濠河水质总体达到地表水Ⅲ类标准，水质良好；各县（市、区）城区水质基本达到Ⅲ类标准。</w:t>
            </w:r>
          </w:p>
          <w:p>
            <w:pPr>
              <w:adjustRightInd w:val="0"/>
              <w:snapToGrid w:val="0"/>
              <w:spacing w:line="360" w:lineRule="auto"/>
              <w:ind w:firstLine="480"/>
              <w:rPr>
                <w:rFonts w:hint="default"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2.5地下水水质</w:t>
            </w:r>
          </w:p>
          <w:p>
            <w:pPr>
              <w:pStyle w:val="2"/>
              <w:adjustRightInd w:val="0"/>
              <w:spacing w:before="0" w:after="0" w:line="360" w:lineRule="auto"/>
              <w:ind w:right="0" w:firstLine="480" w:firstLineChars="200"/>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b w:val="0"/>
                <w:bCs w:val="0"/>
                <w:color w:val="auto"/>
                <w:kern w:val="2"/>
                <w:sz w:val="24"/>
                <w:szCs w:val="32"/>
                <w:lang w:val="en-US" w:eastAsia="zh-CN" w:bidi="ar-SA"/>
              </w:rPr>
              <w:t>2024年，南通市省控以上23个地下水区域监测点位，水质满足Ⅳ类及以上标准的20个，满足Ⅴ类的3个，分别占比87.0%、13.0%</w:t>
            </w:r>
            <w:r>
              <w:rPr>
                <w:rFonts w:hint="default" w:ascii="Times New Roman" w:hAnsi="Times New Roman" w:eastAsia="宋体" w:cs="Times New Roman"/>
                <w:color w:val="auto"/>
                <w:sz w:val="24"/>
                <w:szCs w:val="24"/>
                <w:highlight w:val="none"/>
                <w:lang w:val="en-US" w:eastAsia="zh-CN"/>
              </w:rPr>
              <w:t>。</w:t>
            </w:r>
          </w:p>
          <w:p>
            <w:pPr>
              <w:tabs>
                <w:tab w:val="left" w:pos="418"/>
              </w:tabs>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lang w:val="en-US" w:eastAsia="zh-CN"/>
              </w:rPr>
              <w:t>3、</w:t>
            </w:r>
            <w:r>
              <w:rPr>
                <w:rFonts w:hint="default" w:ascii="Times New Roman" w:hAnsi="Times New Roman" w:cs="Times New Roman"/>
                <w:b/>
                <w:color w:val="auto"/>
                <w:sz w:val="24"/>
                <w:szCs w:val="32"/>
                <w:highlight w:val="none"/>
              </w:rPr>
              <w:t>声环境</w:t>
            </w:r>
          </w:p>
          <w:p>
            <w:pPr>
              <w:adjustRightInd w:val="0"/>
              <w:snapToGrid w:val="0"/>
              <w:spacing w:line="360" w:lineRule="auto"/>
              <w:ind w:firstLine="480" w:firstLineChars="200"/>
              <w:rPr>
                <w:rFonts w:hint="eastAsia" w:ascii="Times New Roman" w:hAnsi="Times New Roman" w:eastAsia="宋体" w:cs="Times New Roman"/>
                <w:b w:val="0"/>
                <w:bCs w:val="0"/>
                <w:color w:val="auto"/>
                <w:kern w:val="2"/>
                <w:sz w:val="24"/>
                <w:szCs w:val="32"/>
                <w:lang w:val="en-US" w:eastAsia="zh-CN" w:bidi="ar-SA"/>
              </w:rPr>
            </w:pPr>
            <w:r>
              <w:rPr>
                <w:rFonts w:hint="eastAsia" w:ascii="Times New Roman" w:hAnsi="Times New Roman" w:eastAsia="宋体" w:cs="Times New Roman"/>
                <w:b w:val="0"/>
                <w:bCs w:val="0"/>
                <w:color w:val="auto"/>
                <w:kern w:val="2"/>
                <w:sz w:val="24"/>
                <w:szCs w:val="32"/>
                <w:lang w:val="en-US" w:eastAsia="zh-CN" w:bidi="ar-SA"/>
              </w:rPr>
              <w:t>根据《建设项目环境影响报告表编制技术指南》，厂界外周边50米范围内存在声环境保护目标的建设项目，应监测保护目标声环境质量现状并评价达标情况。根据现场调查，本项目周边50米范围内不涉及声环境敏感目标。</w:t>
            </w:r>
          </w:p>
          <w:p>
            <w:pPr>
              <w:spacing w:line="360" w:lineRule="auto"/>
              <w:ind w:firstLine="480" w:firstLineChars="200"/>
              <w:rPr>
                <w:rFonts w:hint="default" w:ascii="Times New Roman" w:hAnsi="Times New Roman" w:cs="Times New Roman"/>
                <w:color w:val="auto"/>
                <w:sz w:val="24"/>
                <w:szCs w:val="24"/>
                <w:highlight w:val="none"/>
              </w:rPr>
            </w:pPr>
            <w:r>
              <w:rPr>
                <w:rFonts w:hint="eastAsia" w:ascii="Times New Roman" w:hAnsi="Times New Roman" w:eastAsia="宋体" w:cs="Times New Roman"/>
                <w:b w:val="0"/>
                <w:bCs w:val="0"/>
                <w:color w:val="auto"/>
                <w:kern w:val="2"/>
                <w:sz w:val="24"/>
                <w:szCs w:val="32"/>
                <w:lang w:val="en-US" w:eastAsia="zh-CN" w:bidi="ar-SA"/>
              </w:rPr>
              <w:t>根据《南通市生态环境状况公报（2024年）》，2024年，如皋市3类区区域声环境质量昼间平均等效声级值为55dB（A），夜间平均等效声级值为50dB（A）；4a类区区域声环境质量昼间平均等效声级值为58.3dB（A），夜间平均等效声级值为50.6dB（A）；如皋市功能区噪声均符合相应功能区要求</w:t>
            </w:r>
            <w:r>
              <w:rPr>
                <w:rFonts w:hint="default" w:ascii="Times New Roman" w:hAnsi="Times New Roman" w:cs="Times New Roman"/>
                <w:color w:val="auto"/>
                <w:sz w:val="24"/>
                <w:szCs w:val="24"/>
                <w:highlight w:val="none"/>
              </w:rPr>
              <w:t>。</w:t>
            </w:r>
          </w:p>
          <w:p>
            <w:pPr>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lang w:val="en-US" w:eastAsia="zh-CN"/>
              </w:rPr>
              <w:t>4、</w:t>
            </w:r>
            <w:r>
              <w:rPr>
                <w:rFonts w:hint="default" w:ascii="Times New Roman" w:hAnsi="Times New Roman" w:cs="Times New Roman"/>
                <w:b/>
                <w:color w:val="auto"/>
                <w:sz w:val="24"/>
                <w:szCs w:val="32"/>
                <w:highlight w:val="none"/>
              </w:rPr>
              <w:t>土壤和地下水环境质量</w:t>
            </w:r>
          </w:p>
          <w:p>
            <w:pPr>
              <w:snapToGrid w:val="0"/>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不涉及地下水开采，生产过程生产废水经收集处理后回用于生产，无生产废水外排，地面清洗废水经沉淀池沉淀后回用于生产，生产车间地面均采取硬化防腐防渗措施，生产过程不会对土壤、地下水造成影响。项目废气污染物主要为少量颗粒物</w:t>
            </w:r>
            <w:r>
              <w:rPr>
                <w:rFonts w:hint="eastAsia" w:cs="Times New Roman"/>
                <w:color w:val="auto"/>
                <w:sz w:val="24"/>
                <w:szCs w:val="24"/>
                <w:highlight w:val="none"/>
                <w:lang w:val="en-US" w:eastAsia="zh-CN"/>
              </w:rPr>
              <w:t>和有机废气</w:t>
            </w:r>
            <w:r>
              <w:rPr>
                <w:rFonts w:hint="default" w:ascii="Times New Roman" w:hAnsi="Times New Roman" w:cs="Times New Roman"/>
                <w:color w:val="auto"/>
                <w:sz w:val="24"/>
                <w:szCs w:val="24"/>
                <w:highlight w:val="none"/>
              </w:rPr>
              <w:t>，项目周边地表均硬化，无污染物至土壤、地下水环境的传播途径。</w:t>
            </w:r>
          </w:p>
          <w:p>
            <w:pPr>
              <w:snapToGrid w:val="0"/>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根据《&lt;建设项目环境影响报告表&gt;内容、格式及编制技术指南》（环办环评[2020]33号）的要求，报告表原则上不开展土壤、地下水环境质量现状调查。本项目不存在土壤、地下水污染途径，因此不开展土壤、地下水环境现状调查。</w:t>
            </w:r>
          </w:p>
          <w:p>
            <w:pPr>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lang w:val="en-US" w:eastAsia="zh-CN"/>
              </w:rPr>
              <w:t>5、</w:t>
            </w:r>
            <w:r>
              <w:rPr>
                <w:rFonts w:hint="default" w:ascii="Times New Roman" w:hAnsi="Times New Roman" w:cs="Times New Roman"/>
                <w:b/>
                <w:color w:val="auto"/>
                <w:sz w:val="24"/>
                <w:szCs w:val="32"/>
                <w:highlight w:val="none"/>
              </w:rPr>
              <w:t>生态环境</w:t>
            </w:r>
          </w:p>
          <w:p>
            <w:pPr>
              <w:snapToGrid w:val="0"/>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val="en-US" w:eastAsia="zh-CN"/>
              </w:rPr>
              <w:t>利用现有</w:t>
            </w:r>
            <w:r>
              <w:rPr>
                <w:rFonts w:hint="default" w:ascii="Times New Roman" w:hAnsi="Times New Roman" w:cs="Times New Roman"/>
                <w:color w:val="auto"/>
                <w:sz w:val="24"/>
                <w:szCs w:val="24"/>
                <w:highlight w:val="none"/>
              </w:rPr>
              <w:t>闲置厂房，不新增用地且用地范围内无环境保护目标，无需进行生态环境调查。</w:t>
            </w:r>
          </w:p>
          <w:p>
            <w:pPr>
              <w:spacing w:line="360" w:lineRule="auto"/>
              <w:ind w:firstLine="482" w:firstLineChars="200"/>
              <w:rPr>
                <w:rFonts w:hint="default" w:ascii="Times New Roman" w:hAnsi="Times New Roman" w:cs="Times New Roman"/>
                <w:b/>
                <w:color w:val="auto"/>
                <w:sz w:val="24"/>
                <w:szCs w:val="32"/>
                <w:highlight w:val="none"/>
              </w:rPr>
            </w:pPr>
            <w:r>
              <w:rPr>
                <w:rFonts w:hint="default" w:ascii="Times New Roman" w:hAnsi="Times New Roman" w:cs="Times New Roman"/>
                <w:b/>
                <w:color w:val="auto"/>
                <w:sz w:val="24"/>
                <w:szCs w:val="32"/>
                <w:highlight w:val="none"/>
                <w:lang w:val="en-US" w:eastAsia="zh-CN"/>
              </w:rPr>
              <w:t>6、</w:t>
            </w:r>
            <w:r>
              <w:rPr>
                <w:rFonts w:hint="default" w:ascii="Times New Roman" w:hAnsi="Times New Roman" w:cs="Times New Roman"/>
                <w:b/>
                <w:color w:val="auto"/>
                <w:sz w:val="24"/>
                <w:szCs w:val="32"/>
                <w:highlight w:val="none"/>
              </w:rPr>
              <w:t>电磁辐射</w:t>
            </w:r>
          </w:p>
          <w:p>
            <w:pPr>
              <w:snapToGrid w:val="0"/>
              <w:spacing w:line="360" w:lineRule="auto"/>
              <w:ind w:firstLine="480"/>
              <w:rPr>
                <w:rFonts w:hint="default" w:ascii="Times New Roman" w:hAnsi="Times New Roman" w:cs="Times New Roman"/>
                <w:color w:val="auto"/>
                <w:sz w:val="40"/>
                <w:szCs w:val="40"/>
                <w:highlight w:val="none"/>
              </w:rPr>
            </w:pPr>
            <w:r>
              <w:rPr>
                <w:rFonts w:hint="default" w:ascii="Times New Roman" w:hAnsi="Times New Roman" w:cs="Times New Roman"/>
                <w:color w:val="auto"/>
                <w:sz w:val="24"/>
                <w:szCs w:val="24"/>
                <w:highlight w:val="none"/>
              </w:rPr>
              <w:t>本项目不涉及电磁辐射内容。</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431" w:type="dxa"/>
            <w:vAlign w:val="center"/>
          </w:tcPr>
          <w:p>
            <w:pPr>
              <w:adjustRightInd w:val="0"/>
              <w:snapToGrid w:val="0"/>
              <w:jc w:val="center"/>
              <w:rPr>
                <w:rFonts w:hint="default" w:ascii="Times New Roman" w:hAnsi="Times New Roman" w:cs="Times New Roman"/>
                <w:color w:val="auto"/>
                <w:sz w:val="24"/>
                <w:szCs w:val="32"/>
                <w:highlight w:val="none"/>
              </w:rPr>
            </w:pPr>
            <w:bookmarkStart w:id="3" w:name="_Toc77165970"/>
            <w:r>
              <w:rPr>
                <w:rFonts w:hint="default" w:ascii="Times New Roman" w:hAnsi="Times New Roman" w:cs="Times New Roman" w:eastAsiaTheme="minorEastAsia"/>
                <w:snapToGrid w:val="0"/>
                <w:color w:val="auto"/>
                <w:sz w:val="24"/>
                <w:szCs w:val="24"/>
                <w:highlight w:val="none"/>
              </w:rPr>
              <w:t>环境保护目标</w:t>
            </w:r>
            <w:bookmarkEnd w:id="3"/>
          </w:p>
        </w:tc>
        <w:tc>
          <w:tcPr>
            <w:tcW w:w="8089" w:type="dxa"/>
          </w:tcPr>
          <w:p>
            <w:pPr>
              <w:adjustRightInd w:val="0"/>
              <w:snapToGrid w:val="0"/>
              <w:spacing w:line="360" w:lineRule="auto"/>
              <w:ind w:firstLine="482" w:firstLineChars="200"/>
              <w:rPr>
                <w:rFonts w:hint="default" w:ascii="Times New Roman" w:hAnsi="Times New Roman" w:cs="Times New Roman" w:eastAsiaTheme="minorEastAsia"/>
                <w:b/>
                <w:color w:val="auto"/>
                <w:sz w:val="24"/>
                <w:szCs w:val="24"/>
                <w:highlight w:val="none"/>
                <w:lang w:val="en-US" w:eastAsia="zh-CN"/>
              </w:rPr>
            </w:pPr>
            <w:r>
              <w:rPr>
                <w:rFonts w:hint="default" w:ascii="Times New Roman" w:hAnsi="Times New Roman" w:cs="Times New Roman" w:eastAsiaTheme="minorEastAsia"/>
                <w:b/>
                <w:color w:val="auto"/>
                <w:sz w:val="24"/>
                <w:szCs w:val="24"/>
                <w:highlight w:val="none"/>
                <w:lang w:val="en-US" w:eastAsia="zh-CN"/>
              </w:rPr>
              <w:t>1、</w:t>
            </w:r>
            <w:r>
              <w:rPr>
                <w:rFonts w:hint="eastAsia" w:cs="Times New Roman" w:eastAsiaTheme="minorEastAsia"/>
                <w:b/>
                <w:color w:val="auto"/>
                <w:sz w:val="24"/>
                <w:szCs w:val="24"/>
                <w:highlight w:val="none"/>
                <w:lang w:val="en-US" w:eastAsia="zh-CN"/>
              </w:rPr>
              <w:t>大气环境</w:t>
            </w:r>
          </w:p>
          <w:p>
            <w:pPr>
              <w:spacing w:line="360" w:lineRule="auto"/>
              <w:ind w:firstLine="480" w:firstLineChars="200"/>
              <w:rPr>
                <w:rFonts w:hint="default" w:cs="Times New Roman"/>
                <w:color w:val="auto"/>
                <w:sz w:val="24"/>
                <w:szCs w:val="24"/>
                <w:highlight w:val="none"/>
                <w:lang w:val="en-US" w:eastAsia="zh-CN"/>
              </w:rPr>
            </w:pP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val="en-US" w:eastAsia="zh-CN"/>
              </w:rPr>
              <w:t>所在地的环境空气属于二类功能区，应按照《环境空气质量标准（GB3095-2012）及其修改单中的二级标准来保护所在区域的环境空气质量，项目厂界外500m范围内的大气环境保护目标见表3-2。</w:t>
            </w:r>
          </w:p>
          <w:p>
            <w:pPr>
              <w:jc w:val="center"/>
              <w:rPr>
                <w:rFonts w:hint="default" w:ascii="Times New Roman" w:hAnsi="Times New Roman" w:eastAsia="宋体" w:cs="Times New Roman"/>
                <w:b/>
                <w:bCs/>
                <w:color w:val="auto"/>
                <w:sz w:val="24"/>
                <w:szCs w:val="32"/>
                <w:highlight w:val="none"/>
                <w:vertAlign w:val="baseline"/>
                <w:lang w:val="en-US" w:eastAsia="zh-CN"/>
              </w:rPr>
            </w:pPr>
            <w:r>
              <w:rPr>
                <w:rFonts w:hint="eastAsia" w:ascii="Times New Roman" w:hAnsi="Times New Roman" w:eastAsia="宋体" w:cs="Times New Roman"/>
                <w:b/>
                <w:bCs/>
                <w:color w:val="auto"/>
                <w:sz w:val="24"/>
                <w:szCs w:val="32"/>
                <w:highlight w:val="none"/>
                <w:lang w:val="en-US" w:eastAsia="zh-CN"/>
              </w:rPr>
              <w:t>表3-2本项目主要环境保护目标</w:t>
            </w:r>
          </w:p>
          <w:tbl>
            <w:tblPr>
              <w:tblStyle w:val="26"/>
              <w:tblW w:w="7863" w:type="dxa"/>
              <w:tblInd w:w="6"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17"/>
              <w:gridCol w:w="1214"/>
              <w:gridCol w:w="1109"/>
              <w:gridCol w:w="918"/>
              <w:gridCol w:w="918"/>
              <w:gridCol w:w="919"/>
              <w:gridCol w:w="919"/>
              <w:gridCol w:w="9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名称</w:t>
                  </w:r>
                </w:p>
              </w:tc>
              <w:tc>
                <w:tcPr>
                  <w:tcW w:w="2323" w:type="dxa"/>
                  <w:gridSpan w:val="2"/>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位置</w:t>
                  </w:r>
                </w:p>
              </w:tc>
              <w:tc>
                <w:tcPr>
                  <w:tcW w:w="918"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保护对象</w:t>
                  </w:r>
                </w:p>
              </w:tc>
              <w:tc>
                <w:tcPr>
                  <w:tcW w:w="918"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保护内容</w:t>
                  </w:r>
                </w:p>
              </w:tc>
              <w:tc>
                <w:tcPr>
                  <w:tcW w:w="919"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环境功能区</w:t>
                  </w:r>
                </w:p>
              </w:tc>
              <w:tc>
                <w:tcPr>
                  <w:tcW w:w="919"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相对厂址方向</w:t>
                  </w:r>
                </w:p>
              </w:tc>
              <w:tc>
                <w:tcPr>
                  <w:tcW w:w="949"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相对厂界距离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1214"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X</w:t>
                  </w:r>
                </w:p>
              </w:tc>
              <w:tc>
                <w:tcPr>
                  <w:tcW w:w="110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Y</w:t>
                  </w:r>
                </w:p>
              </w:tc>
              <w:tc>
                <w:tcPr>
                  <w:tcW w:w="918"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8"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4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邓园社区十二组</w:t>
                  </w:r>
                </w:p>
              </w:tc>
              <w:tc>
                <w:tcPr>
                  <w:tcW w:w="1214"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120.527740</w:t>
                  </w:r>
                </w:p>
              </w:tc>
              <w:tc>
                <w:tcPr>
                  <w:tcW w:w="110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32.401484</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居民</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30户</w:t>
                  </w:r>
                  <w:r>
                    <w:rPr>
                      <w:rFonts w:hint="eastAsia"/>
                      <w:color w:val="auto"/>
                      <w:lang w:val="en-US" w:eastAsia="zh-CN"/>
                    </w:rPr>
                    <w:t>/90人</w:t>
                  </w:r>
                </w:p>
              </w:tc>
              <w:tc>
                <w:tcPr>
                  <w:tcW w:w="919" w:type="dxa"/>
                  <w:vMerge w:val="restart"/>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2类区</w:t>
                  </w:r>
                </w:p>
              </w:tc>
              <w:tc>
                <w:tcPr>
                  <w:tcW w:w="919" w:type="dxa"/>
                  <w:tcBorders>
                    <w:tl2br w:val="nil"/>
                    <w:tr2bl w:val="nil"/>
                  </w:tcBorders>
                  <w:vAlign w:val="center"/>
                </w:tcPr>
                <w:p>
                  <w:pPr>
                    <w:adjustRightInd w:val="0"/>
                    <w:snapToGrid w:val="0"/>
                    <w:spacing w:line="320" w:lineRule="exact"/>
                    <w:jc w:val="center"/>
                    <w:rPr>
                      <w:rFonts w:hint="eastAsia" w:ascii="Times New Roman" w:hAnsi="Times New Roman" w:eastAsia="宋体" w:cs="Times New Roman"/>
                      <w:color w:val="auto"/>
                      <w:sz w:val="21"/>
                      <w:szCs w:val="21"/>
                      <w:highlight w:val="none"/>
                      <w:lang w:val="en-US" w:eastAsia="zh-CN"/>
                    </w:rPr>
                  </w:pPr>
                  <w:r>
                    <w:rPr>
                      <w:rFonts w:hint="eastAsia"/>
                      <w:color w:val="auto"/>
                      <w:lang w:val="en-US" w:eastAsia="zh-CN"/>
                    </w:rPr>
                    <w:t>南</w:t>
                  </w:r>
                </w:p>
              </w:tc>
              <w:tc>
                <w:tcPr>
                  <w:tcW w:w="94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198m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郜家池</w:t>
                  </w:r>
                </w:p>
              </w:tc>
              <w:tc>
                <w:tcPr>
                  <w:tcW w:w="1214"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120.526156</w:t>
                  </w:r>
                </w:p>
              </w:tc>
              <w:tc>
                <w:tcPr>
                  <w:tcW w:w="110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32.401132</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居民</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30户/90人</w:t>
                  </w:r>
                </w:p>
              </w:tc>
              <w:tc>
                <w:tcPr>
                  <w:tcW w:w="91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南</w:t>
                  </w:r>
                </w:p>
              </w:tc>
              <w:tc>
                <w:tcPr>
                  <w:tcW w:w="94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崔家园</w:t>
                  </w:r>
                </w:p>
              </w:tc>
              <w:tc>
                <w:tcPr>
                  <w:tcW w:w="1214"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120.523843</w:t>
                  </w:r>
                </w:p>
              </w:tc>
              <w:tc>
                <w:tcPr>
                  <w:tcW w:w="110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32.403880</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居民</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30户/90人</w:t>
                  </w:r>
                </w:p>
              </w:tc>
              <w:tc>
                <w:tcPr>
                  <w:tcW w:w="91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西</w:t>
                  </w:r>
                </w:p>
              </w:tc>
              <w:tc>
                <w:tcPr>
                  <w:tcW w:w="94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131m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917"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如皋市路政大队</w:t>
                  </w:r>
                </w:p>
              </w:tc>
              <w:tc>
                <w:tcPr>
                  <w:tcW w:w="1214"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120.529489</w:t>
                  </w:r>
                </w:p>
              </w:tc>
              <w:tc>
                <w:tcPr>
                  <w:tcW w:w="110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32.407797</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事业单位</w:t>
                  </w:r>
                </w:p>
              </w:tc>
              <w:tc>
                <w:tcPr>
                  <w:tcW w:w="918"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20人</w:t>
                  </w:r>
                </w:p>
              </w:tc>
              <w:tc>
                <w:tcPr>
                  <w:tcW w:w="919" w:type="dxa"/>
                  <w:vMerge w:val="continue"/>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p>
              </w:tc>
              <w:tc>
                <w:tcPr>
                  <w:tcW w:w="91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东</w:t>
                  </w:r>
                </w:p>
              </w:tc>
              <w:tc>
                <w:tcPr>
                  <w:tcW w:w="949" w:type="dxa"/>
                  <w:tcBorders>
                    <w:tl2br w:val="nil"/>
                    <w:tr2bl w:val="nil"/>
                  </w:tcBorders>
                  <w:vAlign w:val="center"/>
                </w:tcPr>
                <w:p>
                  <w:pPr>
                    <w:adjustRightInd w:val="0"/>
                    <w:snapToGrid w:val="0"/>
                    <w:spacing w:line="320" w:lineRule="exact"/>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200</w:t>
                  </w:r>
                  <w:r>
                    <w:rPr>
                      <w:rFonts w:hint="eastAsia" w:ascii="Times New Roman" w:hAnsi="Times New Roman" w:eastAsia="宋体" w:cs="Times New Roman"/>
                      <w:color w:val="auto"/>
                      <w:sz w:val="21"/>
                      <w:szCs w:val="21"/>
                      <w:highlight w:val="none"/>
                      <w:lang w:val="en-US" w:eastAsia="zh-CN"/>
                    </w:rPr>
                    <w:t>m</w:t>
                  </w:r>
                </w:p>
              </w:tc>
            </w:tr>
          </w:tbl>
          <w:p>
            <w:pPr>
              <w:spacing w:line="360" w:lineRule="auto"/>
              <w:ind w:firstLine="482" w:firstLineChars="200"/>
              <w:rPr>
                <w:rFonts w:hint="default" w:ascii="Times New Roman" w:hAnsi="Times New Roman" w:eastAsia="宋体" w:cs="Times New Roman"/>
                <w:b/>
                <w:bCs/>
                <w:color w:val="auto"/>
                <w:sz w:val="24"/>
                <w:szCs w:val="24"/>
                <w:highlight w:val="none"/>
                <w:lang w:val="en-US" w:eastAsia="zh-CN"/>
              </w:rPr>
            </w:pPr>
            <w:r>
              <w:rPr>
                <w:rFonts w:hint="eastAsia" w:cs="Times New Roman"/>
                <w:b/>
                <w:bCs/>
                <w:color w:val="auto"/>
                <w:sz w:val="24"/>
                <w:szCs w:val="24"/>
                <w:highlight w:val="none"/>
                <w:lang w:val="en-US" w:eastAsia="zh-CN"/>
              </w:rPr>
              <w:t>2、声环境</w:t>
            </w:r>
          </w:p>
          <w:p>
            <w:pPr>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本项目50m范围内无噪声敏感点。</w:t>
            </w:r>
          </w:p>
          <w:p>
            <w:pPr>
              <w:snapToGrid w:val="0"/>
              <w:spacing w:line="360" w:lineRule="auto"/>
              <w:ind w:firstLine="48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3、地下水环境</w:t>
            </w:r>
          </w:p>
          <w:p>
            <w:pPr>
              <w:snapToGrid w:val="0"/>
              <w:spacing w:line="360" w:lineRule="auto"/>
              <w:ind w:firstLine="48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本项目厂界外500米范围内无地下水集中式饮用水水源和热水、矿泉水、温泉等特殊地下水资源。</w:t>
            </w:r>
          </w:p>
          <w:p>
            <w:pPr>
              <w:snapToGrid w:val="0"/>
              <w:spacing w:line="360" w:lineRule="auto"/>
              <w:ind w:firstLine="480"/>
              <w:rPr>
                <w:rFonts w:hint="default" w:ascii="Times New Roman" w:hAnsi="Times New Roman" w:eastAsia="宋体" w:cs="Times New Roman"/>
                <w:b/>
                <w:bCs/>
                <w:color w:val="auto"/>
                <w:sz w:val="24"/>
                <w:szCs w:val="24"/>
                <w:highlight w:val="none"/>
              </w:rPr>
            </w:pPr>
            <w:r>
              <w:rPr>
                <w:rFonts w:hint="default" w:ascii="Times New Roman" w:hAnsi="Times New Roman" w:eastAsia="宋体" w:cs="Times New Roman"/>
                <w:b/>
                <w:bCs/>
                <w:color w:val="auto"/>
                <w:sz w:val="24"/>
                <w:szCs w:val="24"/>
                <w:highlight w:val="none"/>
              </w:rPr>
              <w:t>4、生态环境</w:t>
            </w:r>
          </w:p>
          <w:p>
            <w:pPr>
              <w:snapToGrid w:val="0"/>
              <w:spacing w:line="360" w:lineRule="auto"/>
              <w:ind w:firstLine="480"/>
              <w:rPr>
                <w:rFonts w:hint="default" w:ascii="Times New Roman" w:hAnsi="Times New Roman" w:cs="Times New Roman"/>
                <w:color w:val="auto"/>
                <w:sz w:val="40"/>
                <w:szCs w:val="40"/>
                <w:highlight w:val="none"/>
              </w:rPr>
            </w:pPr>
            <w:r>
              <w:rPr>
                <w:rFonts w:hint="default" w:ascii="Times New Roman" w:hAnsi="Times New Roman" w:eastAsia="宋体" w:cs="Times New Roman"/>
                <w:color w:val="auto"/>
                <w:sz w:val="24"/>
                <w:szCs w:val="24"/>
                <w:highlight w:val="none"/>
              </w:rPr>
              <w:t>本项目位于</w:t>
            </w:r>
            <w:r>
              <w:rPr>
                <w:rFonts w:hint="default" w:ascii="Times New Roman" w:hAnsi="Times New Roman" w:cs="Times New Roman"/>
                <w:color w:val="auto"/>
                <w:sz w:val="24"/>
                <w:szCs w:val="24"/>
                <w:highlight w:val="none"/>
                <w:u w:val="none"/>
                <w:lang w:val="en-US" w:eastAsia="zh-CN"/>
              </w:rPr>
              <w:t>江苏省如皋市城北街道起凤西路118号</w:t>
            </w:r>
            <w:r>
              <w:rPr>
                <w:rFonts w:hint="default" w:ascii="Times New Roman" w:hAnsi="Times New Roman" w:eastAsia="宋体" w:cs="Times New Roman"/>
                <w:color w:val="auto"/>
                <w:sz w:val="24"/>
                <w:szCs w:val="24"/>
                <w:highlight w:val="none"/>
              </w:rPr>
              <w:t>，无新增用地。</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313" w:hRule="atLeast"/>
          <w:jc w:val="center"/>
        </w:trPr>
        <w:tc>
          <w:tcPr>
            <w:tcW w:w="431" w:type="dxa"/>
            <w:vAlign w:val="center"/>
          </w:tcPr>
          <w:p>
            <w:pPr>
              <w:adjustRightInd w:val="0"/>
              <w:snapToGrid w:val="0"/>
              <w:jc w:val="center"/>
              <w:rPr>
                <w:rFonts w:hint="default" w:ascii="Times New Roman" w:hAnsi="Times New Roman" w:cs="Times New Roman" w:eastAsiaTheme="minorEastAsia"/>
                <w:snapToGrid w:val="0"/>
                <w:color w:val="auto"/>
                <w:sz w:val="24"/>
                <w:szCs w:val="24"/>
                <w:highlight w:val="none"/>
              </w:rPr>
            </w:pPr>
            <w:bookmarkStart w:id="4" w:name="_Toc77165974"/>
            <w:r>
              <w:rPr>
                <w:rFonts w:hint="default" w:ascii="Times New Roman" w:hAnsi="Times New Roman" w:cs="Times New Roman" w:eastAsiaTheme="minorEastAsia"/>
                <w:snapToGrid w:val="0"/>
                <w:color w:val="auto"/>
                <w:sz w:val="24"/>
                <w:szCs w:val="24"/>
                <w:highlight w:val="none"/>
              </w:rPr>
              <w:t>污染物排放控制标准</w:t>
            </w:r>
            <w:bookmarkEnd w:id="4"/>
          </w:p>
        </w:tc>
        <w:tc>
          <w:tcPr>
            <w:tcW w:w="8089" w:type="dxa"/>
          </w:tcPr>
          <w:p>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1、大气</w:t>
            </w:r>
            <w:r>
              <w:rPr>
                <w:rFonts w:hint="default" w:ascii="Times New Roman" w:hAnsi="Times New Roman" w:cs="Times New Roman"/>
                <w:b/>
                <w:color w:val="auto"/>
                <w:sz w:val="24"/>
                <w:szCs w:val="24"/>
                <w:highlight w:val="none"/>
              </w:rPr>
              <w:t>污染物控制标准</w:t>
            </w:r>
          </w:p>
          <w:p>
            <w:pPr>
              <w:adjustRightInd w:val="0"/>
              <w:snapToGrid w:val="0"/>
              <w:spacing w:line="360" w:lineRule="auto"/>
              <w:ind w:firstLine="480" w:firstLineChars="200"/>
              <w:rPr>
                <w:rFonts w:hint="default" w:ascii="Times New Roman" w:hAnsi="Times New Roman" w:cs="Times New Roman"/>
                <w:color w:val="auto"/>
                <w:sz w:val="24"/>
                <w:szCs w:val="24"/>
                <w:highlight w:val="none"/>
                <w:lang w:val="en-US"/>
              </w:rPr>
            </w:pPr>
            <w:r>
              <w:rPr>
                <w:rFonts w:hint="eastAsia" w:cs="Times New Roman"/>
                <w:color w:val="auto"/>
                <w:sz w:val="24"/>
                <w:szCs w:val="24"/>
                <w:highlight w:val="none"/>
                <w:lang w:val="en-US" w:eastAsia="zh-CN"/>
              </w:rPr>
              <w:t>本项目滚筒刷产品调</w:t>
            </w:r>
            <w:r>
              <w:rPr>
                <w:rFonts w:hint="eastAsia" w:ascii="Times New Roman" w:hAnsi="Times New Roman" w:eastAsia="宋体" w:cs="Times New Roman"/>
                <w:color w:val="auto"/>
                <w:sz w:val="24"/>
                <w:szCs w:val="24"/>
                <w:highlight w:val="none"/>
                <w:lang w:val="en-US" w:eastAsia="zh-CN"/>
              </w:rPr>
              <w:t>胶、上胶工序产生的非甲烷总烃、</w:t>
            </w:r>
            <w:r>
              <w:rPr>
                <w:rFonts w:hint="eastAsia" w:cs="Times New Roman"/>
                <w:color w:val="auto"/>
                <w:sz w:val="24"/>
                <w:szCs w:val="24"/>
                <w:highlight w:val="none"/>
                <w:lang w:val="en-US" w:eastAsia="zh-CN"/>
              </w:rPr>
              <w:t>二苯基甲烷二异氰酸酯（</w:t>
            </w:r>
            <w:r>
              <w:rPr>
                <w:rFonts w:hint="eastAsia" w:ascii="Times New Roman" w:hAnsi="Times New Roman" w:eastAsia="宋体" w:cs="Times New Roman"/>
                <w:color w:val="auto"/>
                <w:sz w:val="24"/>
                <w:szCs w:val="24"/>
                <w:highlight w:val="none"/>
                <w:lang w:val="en-US" w:eastAsia="zh-CN"/>
              </w:rPr>
              <w:t>MDI</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执行《合成树脂工业污染物排放标准》（GB31572-2015</w:t>
            </w:r>
            <w:r>
              <w:rPr>
                <w:rFonts w:hint="eastAsia"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含2024年修改单）表5标准限值</w:t>
            </w:r>
            <w:r>
              <w:rPr>
                <w:rFonts w:hint="eastAsia" w:eastAsia="宋体" w:cs="Times New Roman"/>
                <w:color w:val="auto"/>
                <w:sz w:val="24"/>
                <w:szCs w:val="24"/>
                <w:highlight w:val="none"/>
                <w:lang w:val="en-US" w:eastAsia="zh-CN"/>
              </w:rPr>
              <w:t>，</w:t>
            </w:r>
            <w:r>
              <w:rPr>
                <w:rFonts w:hint="eastAsia" w:cs="Times New Roman"/>
                <w:color w:val="auto"/>
                <w:sz w:val="24"/>
                <w:szCs w:val="24"/>
                <w:highlight w:val="none"/>
                <w:lang w:val="en-US" w:eastAsia="zh-CN"/>
              </w:rPr>
              <w:t>磨头、敲盖工序产生的颗粒物排放执行</w:t>
            </w:r>
            <w:r>
              <w:rPr>
                <w:rFonts w:hint="default" w:ascii="Times New Roman" w:hAnsi="Times New Roman" w:cs="Times New Roman"/>
                <w:color w:val="auto"/>
                <w:sz w:val="24"/>
                <w:szCs w:val="24"/>
                <w:highlight w:val="none"/>
              </w:rPr>
              <w:t>《大气污染物综合排放标准》（DB32/4041-2021）表1</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表3污染物浓度限值</w:t>
            </w:r>
            <w:r>
              <w:rPr>
                <w:rFonts w:hint="eastAsia" w:cs="Times New Roman"/>
                <w:color w:val="auto"/>
                <w:sz w:val="24"/>
                <w:szCs w:val="24"/>
                <w:highlight w:val="none"/>
                <w:lang w:val="en-US" w:eastAsia="zh-CN"/>
              </w:rPr>
              <w:t>。</w:t>
            </w:r>
          </w:p>
          <w:p>
            <w:pPr>
              <w:adjustRightInd w:val="0"/>
              <w:snapToGrid w:val="0"/>
              <w:spacing w:line="360" w:lineRule="auto"/>
              <w:ind w:firstLine="480" w:firstLineChars="200"/>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本项目板刷产品植绒、烘干、胶合板刷工序产生的非甲烷总烃执行</w:t>
            </w:r>
            <w:r>
              <w:rPr>
                <w:rFonts w:hint="default" w:ascii="Times New Roman" w:hAnsi="Times New Roman" w:cs="Times New Roman"/>
                <w:color w:val="auto"/>
                <w:sz w:val="24"/>
                <w:szCs w:val="24"/>
                <w:highlight w:val="none"/>
              </w:rPr>
              <w:t>《大气污染物综合排放标准》（DB32/4041-2021）表1</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表3污染物浓度限值</w:t>
            </w:r>
            <w:r>
              <w:rPr>
                <w:rFonts w:hint="eastAsia" w:cs="Times New Roman"/>
                <w:color w:val="auto"/>
                <w:sz w:val="24"/>
                <w:szCs w:val="24"/>
                <w:highlight w:val="none"/>
                <w:lang w:val="en-US" w:eastAsia="zh-CN"/>
              </w:rPr>
              <w:t>；注塑工序注塑过程产生的非甲烷总烃执行</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合成树脂工业污染物排放标准</w:t>
            </w:r>
            <w:r>
              <w:rPr>
                <w:rFonts w:hint="eastAsia" w:ascii="Times New Roman" w:hAnsi="Times New Roman" w:cs="Times New Roman"/>
                <w:color w:val="auto"/>
                <w:sz w:val="24"/>
                <w:szCs w:val="24"/>
                <w:highlight w:val="none"/>
                <w:lang w:val="en-US" w:eastAsia="zh-CN"/>
              </w:rPr>
              <w:t>》（GB31572-2015）表5、表9污染物浓度限值</w:t>
            </w:r>
            <w:r>
              <w:rPr>
                <w:rFonts w:hint="eastAsia" w:cs="Times New Roman"/>
                <w:color w:val="auto"/>
                <w:sz w:val="24"/>
                <w:szCs w:val="24"/>
                <w:highlight w:val="none"/>
                <w:lang w:val="en-US" w:eastAsia="zh-CN"/>
              </w:rPr>
              <w:t>；注塑工序投料产生的颗粒物执行</w:t>
            </w:r>
            <w:r>
              <w:rPr>
                <w:rFonts w:hint="default" w:ascii="Times New Roman" w:hAnsi="Times New Roman" w:cs="Times New Roman"/>
                <w:color w:val="auto"/>
                <w:sz w:val="24"/>
                <w:szCs w:val="24"/>
                <w:highlight w:val="none"/>
              </w:rPr>
              <w:t>《大气污染物综合排放标准》（DB32/4041-2021）</w:t>
            </w:r>
            <w:r>
              <w:rPr>
                <w:rFonts w:hint="eastAsia" w:ascii="Times New Roman" w:hAnsi="Times New Roman" w:cs="Times New Roman"/>
                <w:color w:val="auto"/>
                <w:sz w:val="24"/>
                <w:szCs w:val="24"/>
                <w:highlight w:val="none"/>
                <w:lang w:val="en-US" w:eastAsia="zh-CN"/>
              </w:rPr>
              <w:t>表3</w:t>
            </w:r>
            <w:r>
              <w:rPr>
                <w:rFonts w:hint="eastAsia" w:cs="Times New Roman"/>
                <w:color w:val="auto"/>
                <w:sz w:val="24"/>
                <w:szCs w:val="24"/>
                <w:highlight w:val="none"/>
                <w:lang w:val="en-US" w:eastAsia="zh-CN"/>
              </w:rPr>
              <w:t>中“颗粒物：碳黑尘、燃料尘-肉眼不可见”</w:t>
            </w:r>
            <w:r>
              <w:rPr>
                <w:rFonts w:hint="eastAsia" w:ascii="Times New Roman" w:hAnsi="Times New Roman" w:cs="Times New Roman"/>
                <w:color w:val="auto"/>
                <w:sz w:val="24"/>
                <w:szCs w:val="24"/>
                <w:highlight w:val="none"/>
                <w:lang w:val="en-US" w:eastAsia="zh-CN"/>
              </w:rPr>
              <w:t>浓度限值</w:t>
            </w:r>
            <w:r>
              <w:rPr>
                <w:rFonts w:hint="eastAsia" w:cs="Times New Roman"/>
                <w:color w:val="auto"/>
                <w:sz w:val="24"/>
                <w:szCs w:val="24"/>
                <w:highlight w:val="none"/>
                <w:lang w:val="en-US" w:eastAsia="zh-CN"/>
              </w:rPr>
              <w:t>、注塑工序破碎产生的颗粒物执行</w:t>
            </w:r>
            <w:r>
              <w:rPr>
                <w:rFonts w:hint="default" w:ascii="Times New Roman" w:hAnsi="Times New Roman" w:cs="Times New Roman"/>
                <w:color w:val="auto"/>
                <w:sz w:val="24"/>
                <w:szCs w:val="24"/>
                <w:highlight w:val="none"/>
              </w:rPr>
              <w:t>《大气污染物综合排放标准》（DB32/4041-2021）</w:t>
            </w:r>
            <w:r>
              <w:rPr>
                <w:rFonts w:hint="eastAsia" w:ascii="Times New Roman" w:hAnsi="Times New Roman" w:cs="Times New Roman"/>
                <w:color w:val="auto"/>
                <w:sz w:val="24"/>
                <w:szCs w:val="24"/>
                <w:highlight w:val="none"/>
                <w:lang w:val="en-US" w:eastAsia="zh-CN"/>
              </w:rPr>
              <w:t>表3</w:t>
            </w:r>
            <w:r>
              <w:rPr>
                <w:rFonts w:hint="eastAsia" w:cs="Times New Roman"/>
                <w:color w:val="auto"/>
                <w:sz w:val="24"/>
                <w:szCs w:val="24"/>
                <w:highlight w:val="none"/>
                <w:lang w:val="en-US" w:eastAsia="zh-CN"/>
              </w:rPr>
              <w:t>中“颗粒物：其他颗粒物 0.5mg/m</w:t>
            </w:r>
            <w:r>
              <w:rPr>
                <w:rFonts w:hint="eastAsia" w:cs="Times New Roman"/>
                <w:color w:val="auto"/>
                <w:sz w:val="24"/>
                <w:szCs w:val="24"/>
                <w:highlight w:val="none"/>
                <w:vertAlign w:val="superscript"/>
                <w:lang w:val="en-US" w:eastAsia="zh-CN"/>
              </w:rPr>
              <w:t>3</w:t>
            </w:r>
            <w:r>
              <w:rPr>
                <w:rFonts w:hint="eastAsia" w:cs="Times New Roman"/>
                <w:color w:val="auto"/>
                <w:sz w:val="24"/>
                <w:szCs w:val="24"/>
                <w:highlight w:val="none"/>
                <w:lang w:val="en-US" w:eastAsia="zh-CN"/>
              </w:rPr>
              <w:t>”</w:t>
            </w:r>
            <w:r>
              <w:rPr>
                <w:rFonts w:hint="eastAsia" w:ascii="Times New Roman" w:hAnsi="Times New Roman" w:cs="Times New Roman"/>
                <w:color w:val="auto"/>
                <w:sz w:val="24"/>
                <w:szCs w:val="24"/>
                <w:highlight w:val="none"/>
                <w:lang w:val="en-US" w:eastAsia="zh-CN"/>
              </w:rPr>
              <w:t>浓度限值</w:t>
            </w:r>
            <w:r>
              <w:rPr>
                <w:rFonts w:hint="eastAsia" w:cs="Times New Roman"/>
                <w:color w:val="auto"/>
                <w:sz w:val="24"/>
                <w:szCs w:val="24"/>
                <w:highlight w:val="none"/>
                <w:lang w:val="en-US" w:eastAsia="zh-CN"/>
              </w:rPr>
              <w:t>，因此注塑工序无组织颗粒物从严执行</w:t>
            </w:r>
            <w:r>
              <w:rPr>
                <w:rFonts w:hint="default" w:ascii="Times New Roman" w:hAnsi="Times New Roman" w:cs="Times New Roman"/>
                <w:color w:val="auto"/>
                <w:sz w:val="24"/>
                <w:szCs w:val="24"/>
                <w:highlight w:val="none"/>
              </w:rPr>
              <w:t>《大气污染物综合排放标准》（DB32/4041-2021）</w:t>
            </w:r>
            <w:r>
              <w:rPr>
                <w:rFonts w:hint="eastAsia" w:ascii="Times New Roman" w:hAnsi="Times New Roman" w:cs="Times New Roman"/>
                <w:color w:val="auto"/>
                <w:sz w:val="24"/>
                <w:szCs w:val="24"/>
                <w:highlight w:val="none"/>
                <w:lang w:val="en-US" w:eastAsia="zh-CN"/>
              </w:rPr>
              <w:t>表3</w:t>
            </w:r>
            <w:r>
              <w:rPr>
                <w:rFonts w:hint="eastAsia" w:cs="Times New Roman"/>
                <w:color w:val="auto"/>
                <w:sz w:val="24"/>
                <w:szCs w:val="24"/>
                <w:highlight w:val="none"/>
                <w:lang w:val="en-US" w:eastAsia="zh-CN"/>
              </w:rPr>
              <w:t>中“颗粒物：碳黑尘、燃料尘-肉眼不可见”</w:t>
            </w:r>
            <w:r>
              <w:rPr>
                <w:rFonts w:hint="eastAsia" w:ascii="Times New Roman" w:hAnsi="Times New Roman" w:cs="Times New Roman"/>
                <w:color w:val="auto"/>
                <w:sz w:val="24"/>
                <w:szCs w:val="24"/>
                <w:highlight w:val="none"/>
                <w:lang w:val="en-US" w:eastAsia="zh-CN"/>
              </w:rPr>
              <w:t>浓度限值</w:t>
            </w:r>
            <w:r>
              <w:rPr>
                <w:rFonts w:hint="eastAsia" w:cs="Times New Roman"/>
                <w:color w:val="auto"/>
                <w:sz w:val="24"/>
                <w:szCs w:val="24"/>
                <w:highlight w:val="none"/>
                <w:lang w:val="en-US" w:eastAsia="zh-CN"/>
              </w:rPr>
              <w:t>。</w:t>
            </w:r>
          </w:p>
          <w:p>
            <w:pPr>
              <w:adjustRightInd w:val="0"/>
              <w:snapToGrid w:val="0"/>
              <w:spacing w:line="360" w:lineRule="auto"/>
              <w:ind w:firstLine="480" w:firstLineChars="200"/>
              <w:rPr>
                <w:rFonts w:hint="eastAsia" w:cs="Times New Roman"/>
                <w:color w:val="auto"/>
                <w:sz w:val="24"/>
                <w:szCs w:val="24"/>
                <w:highlight w:val="none"/>
                <w:lang w:val="en-US" w:eastAsia="zh-CN"/>
              </w:rPr>
            </w:pPr>
            <w:r>
              <w:rPr>
                <w:rFonts w:hint="eastAsia" w:cs="Times New Roman"/>
                <w:color w:val="auto"/>
                <w:sz w:val="24"/>
                <w:szCs w:val="24"/>
                <w:highlight w:val="none"/>
                <w:lang w:val="en-US" w:eastAsia="zh-CN"/>
              </w:rPr>
              <w:t>本项目漆刷产品灌胶工序产生的非甲烷总烃执行</w:t>
            </w:r>
            <w:r>
              <w:rPr>
                <w:rFonts w:hint="default" w:ascii="Times New Roman" w:hAnsi="Times New Roman" w:cs="Times New Roman"/>
                <w:color w:val="auto"/>
                <w:sz w:val="24"/>
                <w:szCs w:val="24"/>
                <w:highlight w:val="none"/>
              </w:rPr>
              <w:t>《大气污染物综合排放标准》（DB32/4041-2021）表1</w:t>
            </w:r>
            <w:r>
              <w:rPr>
                <w:rFonts w:hint="eastAsia" w:ascii="Times New Roman" w:hAnsi="Times New Roman"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表3污染物浓度限值</w:t>
            </w:r>
            <w:r>
              <w:rPr>
                <w:rFonts w:hint="eastAsia" w:cs="Times New Roman"/>
                <w:color w:val="auto"/>
                <w:sz w:val="24"/>
                <w:szCs w:val="24"/>
                <w:highlight w:val="none"/>
                <w:lang w:val="en-US" w:eastAsia="zh-CN"/>
              </w:rPr>
              <w:t>；浸漆工序</w:t>
            </w:r>
            <w:r>
              <w:rPr>
                <w:rFonts w:hint="eastAsia" w:ascii="Times New Roman" w:hAnsi="Times New Roman" w:cs="Times New Roman"/>
                <w:color w:val="auto"/>
                <w:sz w:val="24"/>
                <w:szCs w:val="24"/>
                <w:highlight w:val="none"/>
                <w:lang w:val="en-US" w:eastAsia="zh-CN"/>
              </w:rPr>
              <w:t>非甲烷总烃排放执行</w:t>
            </w:r>
            <w:r>
              <w:rPr>
                <w:rFonts w:hint="eastAsia" w:cs="Times New Roman"/>
                <w:color w:val="auto"/>
                <w:sz w:val="24"/>
                <w:szCs w:val="24"/>
                <w:highlight w:val="none"/>
                <w:lang w:val="en-US" w:eastAsia="zh-CN"/>
              </w:rPr>
              <w:t>《工业涂装工序大气污染物排放标准》（DB32/4439-2022）表1标准限值。</w:t>
            </w:r>
          </w:p>
          <w:p>
            <w:pPr>
              <w:adjustRightInd w:val="0"/>
              <w:snapToGrid w:val="0"/>
              <w:spacing w:line="360" w:lineRule="auto"/>
              <w:ind w:firstLine="480" w:firstLineChars="200"/>
              <w:rPr>
                <w:rFonts w:hint="eastAsia" w:ascii="Times New Roman" w:hAnsi="Times New Roman" w:cs="Times New Roman"/>
                <w:color w:val="auto"/>
                <w:sz w:val="24"/>
                <w:szCs w:val="22"/>
                <w:highlight w:val="none"/>
                <w:lang w:eastAsia="zh-CN"/>
              </w:rPr>
            </w:pPr>
            <w:r>
              <w:rPr>
                <w:rFonts w:hint="default" w:ascii="Times New Roman" w:hAnsi="Times New Roman" w:cs="Times New Roman"/>
                <w:color w:val="auto"/>
                <w:sz w:val="24"/>
                <w:szCs w:val="22"/>
                <w:highlight w:val="none"/>
              </w:rPr>
              <w:t>厂区内非甲烷总烃无组织排放执行《大气污染物综合排放标准》（DB32/4041-2021）表2厂区内VOCs无组织排放限值</w:t>
            </w:r>
            <w:r>
              <w:rPr>
                <w:rFonts w:hint="eastAsia" w:ascii="Times New Roman" w:hAnsi="Times New Roman" w:cs="Times New Roman"/>
                <w:color w:val="auto"/>
                <w:sz w:val="24"/>
                <w:szCs w:val="22"/>
                <w:highlight w:val="none"/>
                <w:lang w:eastAsia="zh-CN"/>
              </w:rPr>
              <w:t>。</w:t>
            </w:r>
          </w:p>
          <w:p>
            <w:pPr>
              <w:adjustRightInd w:val="0"/>
              <w:snapToGrid w:val="0"/>
              <w:spacing w:line="360" w:lineRule="auto"/>
              <w:ind w:firstLine="480" w:firstLineChars="200"/>
              <w:rPr>
                <w:rFonts w:hint="eastAsia"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调胶、上胶、植绒</w:t>
            </w:r>
            <w:r>
              <w:rPr>
                <w:rFonts w:hint="eastAsia" w:cs="Times New Roman"/>
                <w:color w:val="auto"/>
                <w:sz w:val="24"/>
                <w:szCs w:val="24"/>
                <w:highlight w:val="none"/>
                <w:lang w:val="en-US" w:eastAsia="zh-CN"/>
              </w:rPr>
              <w:t>、板刷胶合</w:t>
            </w:r>
            <w:r>
              <w:rPr>
                <w:rFonts w:hint="eastAsia" w:ascii="Times New Roman" w:hAnsi="Times New Roman" w:cs="Times New Roman"/>
                <w:color w:val="auto"/>
                <w:sz w:val="24"/>
                <w:szCs w:val="24"/>
                <w:highlight w:val="none"/>
                <w:lang w:val="en-US" w:eastAsia="zh-CN"/>
              </w:rPr>
              <w:t>、灌胶工序产生的非甲烷总烃</w:t>
            </w:r>
            <w:r>
              <w:rPr>
                <w:rFonts w:hint="eastAsia" w:cs="Times New Roman"/>
                <w:color w:val="auto"/>
                <w:sz w:val="24"/>
                <w:szCs w:val="24"/>
                <w:highlight w:val="none"/>
                <w:lang w:val="en-US" w:eastAsia="zh-CN"/>
              </w:rPr>
              <w:t>和磨头工序产生的颗粒物经收集后通过同一根排气筒DA001排放，则DA001排气筒颗粒物、非甲烷总烃从严执行</w:t>
            </w:r>
            <w:r>
              <w:rPr>
                <w:rFonts w:hint="default" w:ascii="Times New Roman" w:hAnsi="Times New Roman" w:cs="Times New Roman"/>
                <w:color w:val="auto"/>
                <w:sz w:val="24"/>
                <w:szCs w:val="24"/>
                <w:highlight w:val="none"/>
              </w:rPr>
              <w:t>《大气污染物综合排放标准》（DB32/4041-2021）</w:t>
            </w:r>
            <w:r>
              <w:rPr>
                <w:rFonts w:hint="eastAsia" w:cs="Times New Roman"/>
                <w:color w:val="auto"/>
                <w:sz w:val="24"/>
                <w:szCs w:val="24"/>
                <w:highlight w:val="none"/>
                <w:lang w:val="en-US" w:eastAsia="zh-CN"/>
              </w:rPr>
              <w:t>标准，MDI</w:t>
            </w:r>
            <w:r>
              <w:rPr>
                <w:rFonts w:hint="eastAsia" w:ascii="Times New Roman" w:hAnsi="Times New Roman" w:eastAsia="宋体" w:cs="Times New Roman"/>
                <w:color w:val="auto"/>
                <w:sz w:val="24"/>
                <w:szCs w:val="24"/>
                <w:highlight w:val="none"/>
                <w:lang w:val="en-US" w:eastAsia="zh-CN"/>
              </w:rPr>
              <w:t>执行《合成树脂工业污染物排放标准 GB31572-2015》（含2024年修改单）表5标准</w:t>
            </w:r>
            <w:r>
              <w:rPr>
                <w:rFonts w:hint="eastAsia" w:cs="Times New Roman"/>
                <w:color w:val="auto"/>
                <w:sz w:val="24"/>
                <w:szCs w:val="24"/>
                <w:highlight w:val="none"/>
                <w:lang w:val="en-US" w:eastAsia="zh-CN"/>
              </w:rPr>
              <w:t>，注塑工序产生非甲烷总烃和浸漆工序产生的非甲烷总烃收集后通过同一根排气筒DA002排放，则DA002排气筒非甲烷总烃从严执行《工业涂装工序大气污染物排放标准》（DB32/4439-2022）标准</w:t>
            </w:r>
            <w:r>
              <w:rPr>
                <w:rFonts w:hint="eastAsia" w:cs="Times New Roman"/>
                <w:color w:val="auto"/>
                <w:sz w:val="24"/>
                <w:szCs w:val="24"/>
                <w:highlight w:val="none"/>
                <w:lang w:eastAsia="zh-CN"/>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表3-</w:t>
            </w:r>
            <w:r>
              <w:rPr>
                <w:rFonts w:hint="eastAsia" w:ascii="Times New Roman" w:hAnsi="Times New Roman" w:cs="Times New Roman"/>
                <w:b/>
                <w:bCs/>
                <w:color w:val="auto"/>
                <w:sz w:val="24"/>
                <w:szCs w:val="32"/>
                <w:highlight w:val="none"/>
                <w:lang w:val="en-US" w:eastAsia="zh-CN"/>
              </w:rPr>
              <w:t>3</w:t>
            </w:r>
            <w:r>
              <w:rPr>
                <w:rFonts w:hint="eastAsia" w:cs="Times New Roman"/>
                <w:b/>
                <w:bCs/>
                <w:color w:val="auto"/>
                <w:sz w:val="24"/>
                <w:szCs w:val="32"/>
                <w:highlight w:val="none"/>
                <w:lang w:val="en-US" w:eastAsia="zh-CN"/>
              </w:rPr>
              <w:t>-1</w:t>
            </w:r>
            <w:r>
              <w:rPr>
                <w:rFonts w:hint="eastAsia" w:ascii="Times New Roman" w:hAnsi="Times New Roman" w:cs="Times New Roman"/>
                <w:b/>
                <w:bCs/>
                <w:color w:val="auto"/>
                <w:sz w:val="24"/>
                <w:szCs w:val="32"/>
                <w:highlight w:val="none"/>
                <w:lang w:val="en-US" w:eastAsia="zh-CN"/>
              </w:rPr>
              <w:t>大气</w:t>
            </w:r>
            <w:r>
              <w:rPr>
                <w:rFonts w:hint="default" w:ascii="Times New Roman" w:hAnsi="Times New Roman" w:cs="Times New Roman"/>
                <w:b/>
                <w:bCs/>
                <w:color w:val="auto"/>
                <w:sz w:val="24"/>
                <w:szCs w:val="32"/>
                <w:highlight w:val="none"/>
                <w:lang w:val="en-US" w:eastAsia="zh-CN"/>
              </w:rPr>
              <w:t>污染物排放标准</w:t>
            </w:r>
          </w:p>
          <w:tbl>
            <w:tblPr>
              <w:tblStyle w:val="25"/>
              <w:tblW w:w="7870"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60"/>
              <w:gridCol w:w="1061"/>
              <w:gridCol w:w="883"/>
              <w:gridCol w:w="861"/>
              <w:gridCol w:w="805"/>
              <w:gridCol w:w="1187"/>
              <w:gridCol w:w="201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56" w:hRule="atLeast"/>
                <w:jc w:val="center"/>
              </w:trPr>
              <w:tc>
                <w:tcPr>
                  <w:tcW w:w="1060" w:type="dxa"/>
                  <w:vMerge w:val="restart"/>
                  <w:vAlign w:val="center"/>
                </w:tcPr>
                <w:p>
                  <w:pPr>
                    <w:adjustRightInd w:val="0"/>
                    <w:snapToGrid w:val="0"/>
                    <w:spacing w:line="240" w:lineRule="auto"/>
                    <w:jc w:val="center"/>
                    <w:rPr>
                      <w:rFonts w:hint="eastAsia" w:eastAsia="宋体"/>
                      <w:b/>
                      <w:bCs/>
                      <w:color w:val="auto"/>
                      <w:sz w:val="21"/>
                      <w:szCs w:val="21"/>
                      <w:lang w:val="en-US" w:eastAsia="zh-CN"/>
                    </w:rPr>
                  </w:pPr>
                  <w:r>
                    <w:rPr>
                      <w:rFonts w:hint="eastAsia"/>
                      <w:b/>
                      <w:bCs/>
                      <w:color w:val="auto"/>
                      <w:sz w:val="21"/>
                      <w:szCs w:val="21"/>
                      <w:lang w:val="en-US" w:eastAsia="zh-CN"/>
                    </w:rPr>
                    <w:t>污染工段</w:t>
                  </w:r>
                </w:p>
              </w:tc>
              <w:tc>
                <w:tcPr>
                  <w:tcW w:w="1061" w:type="dxa"/>
                  <w:vMerge w:val="restart"/>
                  <w:vAlign w:val="center"/>
                </w:tcPr>
                <w:p>
                  <w:pPr>
                    <w:adjustRightInd w:val="0"/>
                    <w:snapToGrid w:val="0"/>
                    <w:spacing w:line="240" w:lineRule="auto"/>
                    <w:jc w:val="center"/>
                    <w:rPr>
                      <w:b/>
                      <w:bCs/>
                      <w:color w:val="auto"/>
                      <w:sz w:val="21"/>
                      <w:szCs w:val="21"/>
                    </w:rPr>
                  </w:pPr>
                  <w:r>
                    <w:rPr>
                      <w:b/>
                      <w:bCs/>
                      <w:color w:val="auto"/>
                      <w:sz w:val="21"/>
                      <w:szCs w:val="21"/>
                    </w:rPr>
                    <w:t>污染物</w:t>
                  </w:r>
                </w:p>
                <w:p>
                  <w:pPr>
                    <w:adjustRightInd w:val="0"/>
                    <w:snapToGrid w:val="0"/>
                    <w:spacing w:line="240" w:lineRule="auto"/>
                    <w:jc w:val="center"/>
                    <w:rPr>
                      <w:b/>
                      <w:bCs/>
                      <w:color w:val="auto"/>
                      <w:sz w:val="21"/>
                      <w:szCs w:val="21"/>
                    </w:rPr>
                  </w:pPr>
                  <w:r>
                    <w:rPr>
                      <w:b/>
                      <w:bCs/>
                      <w:color w:val="auto"/>
                      <w:sz w:val="21"/>
                      <w:szCs w:val="21"/>
                    </w:rPr>
                    <w:t>名称</w:t>
                  </w:r>
                </w:p>
              </w:tc>
              <w:tc>
                <w:tcPr>
                  <w:tcW w:w="883" w:type="dxa"/>
                  <w:vMerge w:val="restart"/>
                  <w:vAlign w:val="center"/>
                </w:tcPr>
                <w:p>
                  <w:pPr>
                    <w:adjustRightInd w:val="0"/>
                    <w:snapToGrid w:val="0"/>
                    <w:spacing w:line="240" w:lineRule="auto"/>
                    <w:jc w:val="center"/>
                    <w:rPr>
                      <w:b/>
                      <w:bCs/>
                      <w:color w:val="auto"/>
                      <w:sz w:val="21"/>
                      <w:szCs w:val="21"/>
                    </w:rPr>
                  </w:pPr>
                  <w:r>
                    <w:rPr>
                      <w:b/>
                      <w:bCs/>
                      <w:color w:val="auto"/>
                      <w:sz w:val="21"/>
                      <w:szCs w:val="21"/>
                    </w:rPr>
                    <w:t>最高允许排放浓度</w:t>
                  </w:r>
                </w:p>
                <w:p>
                  <w:pPr>
                    <w:adjustRightInd w:val="0"/>
                    <w:snapToGrid w:val="0"/>
                    <w:spacing w:line="240" w:lineRule="auto"/>
                    <w:jc w:val="center"/>
                    <w:rPr>
                      <w:b/>
                      <w:bCs/>
                      <w:color w:val="auto"/>
                      <w:sz w:val="21"/>
                      <w:szCs w:val="21"/>
                    </w:rPr>
                  </w:pPr>
                  <w:r>
                    <w:rPr>
                      <w:b/>
                      <w:bCs/>
                      <w:color w:val="auto"/>
                      <w:sz w:val="21"/>
                      <w:szCs w:val="21"/>
                    </w:rPr>
                    <w:t>mg/m</w:t>
                  </w:r>
                  <w:r>
                    <w:rPr>
                      <w:b/>
                      <w:bCs/>
                      <w:color w:val="auto"/>
                      <w:sz w:val="21"/>
                      <w:szCs w:val="21"/>
                      <w:vertAlign w:val="superscript"/>
                    </w:rPr>
                    <w:t>3</w:t>
                  </w:r>
                </w:p>
              </w:tc>
              <w:tc>
                <w:tcPr>
                  <w:tcW w:w="861" w:type="dxa"/>
                  <w:vMerge w:val="restart"/>
                  <w:vAlign w:val="center"/>
                </w:tcPr>
                <w:p>
                  <w:pPr>
                    <w:pStyle w:val="23"/>
                    <w:spacing w:after="0"/>
                    <w:ind w:firstLine="0" w:firstLineChars="0"/>
                    <w:jc w:val="center"/>
                    <w:rPr>
                      <w:b/>
                      <w:bCs/>
                      <w:color w:val="auto"/>
                      <w:sz w:val="21"/>
                      <w:szCs w:val="21"/>
                    </w:rPr>
                  </w:pPr>
                  <w:r>
                    <w:rPr>
                      <w:b/>
                      <w:bCs/>
                      <w:color w:val="auto"/>
                      <w:sz w:val="21"/>
                      <w:szCs w:val="21"/>
                    </w:rPr>
                    <w:t>最高允许排放速率kg/h</w:t>
                  </w:r>
                </w:p>
              </w:tc>
              <w:tc>
                <w:tcPr>
                  <w:tcW w:w="1992" w:type="dxa"/>
                  <w:gridSpan w:val="2"/>
                  <w:vAlign w:val="center"/>
                </w:tcPr>
                <w:p>
                  <w:pPr>
                    <w:adjustRightInd w:val="0"/>
                    <w:snapToGrid w:val="0"/>
                    <w:spacing w:line="240" w:lineRule="auto"/>
                    <w:jc w:val="center"/>
                    <w:rPr>
                      <w:b/>
                      <w:bCs/>
                      <w:color w:val="auto"/>
                      <w:sz w:val="21"/>
                      <w:szCs w:val="21"/>
                    </w:rPr>
                  </w:pPr>
                  <w:r>
                    <w:rPr>
                      <w:b/>
                      <w:bCs/>
                      <w:color w:val="auto"/>
                      <w:sz w:val="21"/>
                      <w:szCs w:val="21"/>
                    </w:rPr>
                    <w:t>无组织排放监控浓度限值</w:t>
                  </w:r>
                </w:p>
              </w:tc>
              <w:tc>
                <w:tcPr>
                  <w:tcW w:w="2013" w:type="dxa"/>
                  <w:vMerge w:val="restart"/>
                  <w:vAlign w:val="center"/>
                </w:tcPr>
                <w:p>
                  <w:pPr>
                    <w:adjustRightInd w:val="0"/>
                    <w:snapToGrid w:val="0"/>
                    <w:spacing w:line="240" w:lineRule="auto"/>
                    <w:jc w:val="center"/>
                    <w:rPr>
                      <w:b/>
                      <w:bCs/>
                      <w:color w:val="auto"/>
                      <w:sz w:val="21"/>
                      <w:szCs w:val="21"/>
                    </w:rPr>
                  </w:pPr>
                  <w:r>
                    <w:rPr>
                      <w:b/>
                      <w:bCs/>
                      <w:color w:val="auto"/>
                      <w:sz w:val="21"/>
                      <w:szCs w:val="21"/>
                    </w:rPr>
                    <w:t>标准来源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399" w:hRule="atLeast"/>
                <w:jc w:val="center"/>
              </w:trPr>
              <w:tc>
                <w:tcPr>
                  <w:tcW w:w="1060" w:type="dxa"/>
                  <w:vMerge w:val="continue"/>
                  <w:vAlign w:val="center"/>
                </w:tcPr>
                <w:p>
                  <w:pPr>
                    <w:spacing w:line="240" w:lineRule="auto"/>
                    <w:jc w:val="left"/>
                    <w:rPr>
                      <w:b/>
                      <w:bCs/>
                      <w:color w:val="auto"/>
                      <w:sz w:val="21"/>
                      <w:szCs w:val="21"/>
                    </w:rPr>
                  </w:pPr>
                </w:p>
              </w:tc>
              <w:tc>
                <w:tcPr>
                  <w:tcW w:w="1061" w:type="dxa"/>
                  <w:vMerge w:val="continue"/>
                  <w:vAlign w:val="center"/>
                </w:tcPr>
                <w:p>
                  <w:pPr>
                    <w:spacing w:line="240" w:lineRule="auto"/>
                    <w:jc w:val="left"/>
                    <w:rPr>
                      <w:b/>
                      <w:bCs/>
                      <w:color w:val="auto"/>
                      <w:sz w:val="21"/>
                      <w:szCs w:val="21"/>
                    </w:rPr>
                  </w:pPr>
                </w:p>
              </w:tc>
              <w:tc>
                <w:tcPr>
                  <w:tcW w:w="883" w:type="dxa"/>
                  <w:vMerge w:val="continue"/>
                  <w:vAlign w:val="center"/>
                </w:tcPr>
                <w:p>
                  <w:pPr>
                    <w:spacing w:line="240" w:lineRule="auto"/>
                    <w:jc w:val="left"/>
                    <w:rPr>
                      <w:b/>
                      <w:bCs/>
                      <w:color w:val="auto"/>
                      <w:sz w:val="21"/>
                      <w:szCs w:val="21"/>
                    </w:rPr>
                  </w:pPr>
                </w:p>
              </w:tc>
              <w:tc>
                <w:tcPr>
                  <w:tcW w:w="861" w:type="dxa"/>
                  <w:vMerge w:val="continue"/>
                  <w:vAlign w:val="center"/>
                </w:tcPr>
                <w:p>
                  <w:pPr>
                    <w:spacing w:line="240" w:lineRule="auto"/>
                    <w:jc w:val="left"/>
                    <w:rPr>
                      <w:b/>
                      <w:bCs/>
                      <w:color w:val="auto"/>
                      <w:sz w:val="21"/>
                      <w:szCs w:val="21"/>
                    </w:rPr>
                  </w:pPr>
                </w:p>
              </w:tc>
              <w:tc>
                <w:tcPr>
                  <w:tcW w:w="805" w:type="dxa"/>
                  <w:vAlign w:val="center"/>
                </w:tcPr>
                <w:p>
                  <w:pPr>
                    <w:pStyle w:val="23"/>
                    <w:adjustRightInd w:val="0"/>
                    <w:snapToGrid w:val="0"/>
                    <w:spacing w:after="0"/>
                    <w:ind w:firstLine="0" w:firstLineChars="0"/>
                    <w:jc w:val="center"/>
                    <w:rPr>
                      <w:b/>
                      <w:bCs/>
                      <w:color w:val="auto"/>
                      <w:sz w:val="21"/>
                      <w:szCs w:val="21"/>
                    </w:rPr>
                  </w:pPr>
                  <w:r>
                    <w:rPr>
                      <w:b/>
                      <w:bCs/>
                      <w:color w:val="auto"/>
                      <w:sz w:val="21"/>
                      <w:szCs w:val="21"/>
                    </w:rPr>
                    <w:t>监控点</w:t>
                  </w:r>
                </w:p>
              </w:tc>
              <w:tc>
                <w:tcPr>
                  <w:tcW w:w="1187" w:type="dxa"/>
                  <w:vAlign w:val="center"/>
                </w:tcPr>
                <w:p>
                  <w:pPr>
                    <w:pStyle w:val="23"/>
                    <w:adjustRightInd w:val="0"/>
                    <w:snapToGrid w:val="0"/>
                    <w:spacing w:after="0"/>
                    <w:ind w:firstLine="0" w:firstLineChars="0"/>
                    <w:jc w:val="center"/>
                    <w:rPr>
                      <w:b/>
                      <w:bCs/>
                      <w:color w:val="auto"/>
                      <w:sz w:val="21"/>
                      <w:szCs w:val="21"/>
                    </w:rPr>
                  </w:pPr>
                  <w:r>
                    <w:rPr>
                      <w:b/>
                      <w:bCs/>
                      <w:color w:val="auto"/>
                      <w:sz w:val="21"/>
                      <w:szCs w:val="21"/>
                    </w:rPr>
                    <w:t>浓度mg/m</w:t>
                  </w:r>
                  <w:r>
                    <w:rPr>
                      <w:b/>
                      <w:bCs/>
                      <w:color w:val="auto"/>
                      <w:sz w:val="21"/>
                      <w:szCs w:val="21"/>
                      <w:vertAlign w:val="superscript"/>
                    </w:rPr>
                    <w:t>3</w:t>
                  </w:r>
                </w:p>
              </w:tc>
              <w:tc>
                <w:tcPr>
                  <w:tcW w:w="2013" w:type="dxa"/>
                  <w:vMerge w:val="continue"/>
                  <w:vAlign w:val="center"/>
                </w:tcPr>
                <w:p>
                  <w:pPr>
                    <w:spacing w:line="240" w:lineRule="auto"/>
                    <w:jc w:val="left"/>
                    <w:rPr>
                      <w:b/>
                      <w:bCs/>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516" w:hRule="atLeast"/>
                <w:jc w:val="center"/>
              </w:trPr>
              <w:tc>
                <w:tcPr>
                  <w:tcW w:w="1060"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调胶、上胶</w:t>
                  </w:r>
                </w:p>
              </w:tc>
              <w:tc>
                <w:tcPr>
                  <w:tcW w:w="1061" w:type="dxa"/>
                  <w:vAlign w:val="center"/>
                </w:tcPr>
                <w:p>
                  <w:pPr>
                    <w:adjustRightInd w:val="0"/>
                    <w:snapToGrid w:val="0"/>
                    <w:spacing w:line="240" w:lineRule="auto"/>
                    <w:jc w:val="center"/>
                    <w:rPr>
                      <w:color w:val="auto"/>
                      <w:sz w:val="21"/>
                      <w:szCs w:val="21"/>
                    </w:rPr>
                  </w:pPr>
                  <w:r>
                    <w:rPr>
                      <w:rFonts w:hint="eastAsia"/>
                      <w:color w:val="auto"/>
                      <w:sz w:val="21"/>
                      <w:szCs w:val="21"/>
                    </w:rPr>
                    <w:t>非甲烷总烃</w:t>
                  </w:r>
                </w:p>
              </w:tc>
              <w:tc>
                <w:tcPr>
                  <w:tcW w:w="883" w:type="dxa"/>
                  <w:vAlign w:val="center"/>
                </w:tcPr>
                <w:p>
                  <w:pPr>
                    <w:pStyle w:val="23"/>
                    <w:spacing w:after="0"/>
                    <w:ind w:firstLine="0" w:firstLineChars="0"/>
                    <w:jc w:val="center"/>
                    <w:rPr>
                      <w:color w:val="auto"/>
                      <w:sz w:val="21"/>
                      <w:szCs w:val="21"/>
                    </w:rPr>
                  </w:pPr>
                  <w:r>
                    <w:rPr>
                      <w:color w:val="auto"/>
                      <w:sz w:val="21"/>
                      <w:szCs w:val="21"/>
                    </w:rPr>
                    <w:t>60</w:t>
                  </w:r>
                </w:p>
              </w:tc>
              <w:tc>
                <w:tcPr>
                  <w:tcW w:w="861" w:type="dxa"/>
                  <w:vAlign w:val="center"/>
                </w:tcPr>
                <w:p>
                  <w:pPr>
                    <w:pStyle w:val="23"/>
                    <w:spacing w:after="0"/>
                    <w:ind w:firstLine="0" w:firstLineChars="0"/>
                    <w:jc w:val="center"/>
                    <w:rPr>
                      <w:rFonts w:hint="eastAsia" w:eastAsia="宋体"/>
                      <w:color w:val="auto"/>
                      <w:sz w:val="21"/>
                      <w:szCs w:val="21"/>
                      <w:lang w:eastAsia="zh-CN"/>
                    </w:rPr>
                  </w:pPr>
                  <w:r>
                    <w:rPr>
                      <w:rFonts w:hint="eastAsia"/>
                      <w:color w:val="auto"/>
                      <w:sz w:val="21"/>
                      <w:szCs w:val="21"/>
                      <w:lang w:val="en-US" w:eastAsia="zh-CN"/>
                    </w:rPr>
                    <w:t>/</w:t>
                  </w:r>
                </w:p>
              </w:tc>
              <w:tc>
                <w:tcPr>
                  <w:tcW w:w="805" w:type="dxa"/>
                  <w:vMerge w:val="restart"/>
                  <w:vAlign w:val="center"/>
                </w:tcPr>
                <w:p>
                  <w:pPr>
                    <w:pStyle w:val="23"/>
                    <w:adjustRightInd w:val="0"/>
                    <w:snapToGrid w:val="0"/>
                    <w:spacing w:after="0"/>
                    <w:ind w:firstLine="0" w:firstLineChars="0"/>
                    <w:jc w:val="center"/>
                    <w:rPr>
                      <w:color w:val="auto"/>
                      <w:sz w:val="21"/>
                      <w:szCs w:val="21"/>
                    </w:rPr>
                  </w:pPr>
                  <w:r>
                    <w:rPr>
                      <w:color w:val="auto"/>
                      <w:sz w:val="21"/>
                      <w:szCs w:val="21"/>
                    </w:rPr>
                    <w:t>周界外浓度最高点</w:t>
                  </w:r>
                </w:p>
              </w:tc>
              <w:tc>
                <w:tcPr>
                  <w:tcW w:w="1187" w:type="dxa"/>
                  <w:vAlign w:val="center"/>
                </w:tcPr>
                <w:p>
                  <w:pPr>
                    <w:pStyle w:val="23"/>
                    <w:adjustRightInd w:val="0"/>
                    <w:snapToGrid w:val="0"/>
                    <w:spacing w:after="0"/>
                    <w:ind w:firstLine="0" w:firstLineChars="0"/>
                    <w:jc w:val="center"/>
                    <w:rPr>
                      <w:color w:val="auto"/>
                      <w:sz w:val="21"/>
                      <w:szCs w:val="21"/>
                    </w:rPr>
                  </w:pPr>
                  <w:r>
                    <w:rPr>
                      <w:color w:val="auto"/>
                      <w:sz w:val="21"/>
                      <w:szCs w:val="21"/>
                    </w:rPr>
                    <w:t>4</w:t>
                  </w:r>
                </w:p>
              </w:tc>
              <w:tc>
                <w:tcPr>
                  <w:tcW w:w="2013" w:type="dxa"/>
                  <w:vMerge w:val="restart"/>
                  <w:vAlign w:val="center"/>
                </w:tcPr>
                <w:p>
                  <w:pPr>
                    <w:pStyle w:val="23"/>
                    <w:spacing w:after="0"/>
                    <w:ind w:firstLine="0" w:firstLineChars="0"/>
                    <w:jc w:val="center"/>
                    <w:rPr>
                      <w:color w:val="auto"/>
                      <w:sz w:val="21"/>
                      <w:szCs w:val="21"/>
                    </w:rPr>
                  </w:pPr>
                  <w:r>
                    <w:rPr>
                      <w:rFonts w:hint="eastAsia"/>
                      <w:color w:val="auto"/>
                      <w:sz w:val="21"/>
                      <w:szCs w:val="21"/>
                    </w:rPr>
                    <w:t>《</w:t>
                  </w:r>
                  <w:r>
                    <w:rPr>
                      <w:rFonts w:hint="eastAsia"/>
                      <w:color w:val="auto"/>
                      <w:sz w:val="21"/>
                      <w:szCs w:val="21"/>
                      <w:lang w:eastAsia="zh-CN"/>
                    </w:rPr>
                    <w:t>合成树脂工业污染物排放标准</w:t>
                  </w:r>
                  <w:r>
                    <w:rPr>
                      <w:rFonts w:hint="eastAsia"/>
                      <w:color w:val="auto"/>
                      <w:sz w:val="21"/>
                      <w:szCs w:val="21"/>
                    </w:rPr>
                    <w:t>》（GB31572-2015）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516" w:hRule="atLeast"/>
                <w:jc w:val="center"/>
              </w:trPr>
              <w:tc>
                <w:tcPr>
                  <w:tcW w:w="1060"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061"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MDI</w:t>
                  </w:r>
                </w:p>
              </w:tc>
              <w:tc>
                <w:tcPr>
                  <w:tcW w:w="883" w:type="dxa"/>
                  <w:vAlign w:val="center"/>
                </w:tcPr>
                <w:p>
                  <w:pPr>
                    <w:pStyle w:val="23"/>
                    <w:spacing w:after="0"/>
                    <w:ind w:firstLine="0" w:firstLineChars="0"/>
                    <w:jc w:val="center"/>
                    <w:rPr>
                      <w:rFonts w:hint="default" w:eastAsia="宋体"/>
                      <w:color w:val="auto"/>
                      <w:sz w:val="21"/>
                      <w:szCs w:val="21"/>
                      <w:lang w:val="en-US" w:eastAsia="zh-CN"/>
                    </w:rPr>
                  </w:pPr>
                  <w:r>
                    <w:rPr>
                      <w:rFonts w:hint="eastAsia"/>
                      <w:color w:val="auto"/>
                      <w:sz w:val="21"/>
                      <w:szCs w:val="21"/>
                      <w:lang w:val="en-US" w:eastAsia="zh-CN"/>
                    </w:rPr>
                    <w:t>1</w:t>
                  </w:r>
                </w:p>
              </w:tc>
              <w:tc>
                <w:tcPr>
                  <w:tcW w:w="861" w:type="dxa"/>
                  <w:vAlign w:val="center"/>
                </w:tcPr>
                <w:p>
                  <w:pPr>
                    <w:pStyle w:val="23"/>
                    <w:spacing w:after="0"/>
                    <w:ind w:firstLine="0" w:firstLineChars="0"/>
                    <w:jc w:val="center"/>
                    <w:rPr>
                      <w:rFonts w:hint="eastAsia" w:eastAsia="宋体"/>
                      <w:color w:val="auto"/>
                      <w:sz w:val="21"/>
                      <w:szCs w:val="21"/>
                      <w:lang w:val="en-US" w:eastAsia="zh-CN"/>
                    </w:rPr>
                  </w:pPr>
                  <w:r>
                    <w:rPr>
                      <w:rFonts w:hint="eastAsia"/>
                      <w:color w:val="auto"/>
                      <w:sz w:val="21"/>
                      <w:szCs w:val="21"/>
                      <w:lang w:val="en-US" w:eastAsia="zh-CN"/>
                    </w:rPr>
                    <w:t>/</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eastAsia" w:eastAsia="宋体"/>
                      <w:color w:val="auto"/>
                      <w:sz w:val="21"/>
                      <w:szCs w:val="21"/>
                      <w:lang w:val="en-US" w:eastAsia="zh-CN"/>
                    </w:rPr>
                  </w:pPr>
                  <w:r>
                    <w:rPr>
                      <w:rFonts w:hint="eastAsia"/>
                      <w:color w:val="auto"/>
                      <w:sz w:val="21"/>
                      <w:szCs w:val="21"/>
                      <w:lang w:val="en-US" w:eastAsia="zh-CN"/>
                    </w:rPr>
                    <w:t>/</w:t>
                  </w:r>
                </w:p>
              </w:tc>
              <w:tc>
                <w:tcPr>
                  <w:tcW w:w="2013" w:type="dxa"/>
                  <w:vMerge w:val="continue"/>
                  <w:vAlign w:val="center"/>
                </w:tcPr>
                <w:p>
                  <w:pPr>
                    <w:pStyle w:val="23"/>
                    <w:spacing w:after="0"/>
                    <w:ind w:firstLine="0" w:firstLineChars="0"/>
                    <w:jc w:val="center"/>
                    <w:rPr>
                      <w:rFonts w:hint="eastAsia"/>
                      <w:color w:val="auto"/>
                      <w:sz w:val="21"/>
                      <w:szCs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516" w:hRule="atLeast"/>
                <w:jc w:val="center"/>
              </w:trPr>
              <w:tc>
                <w:tcPr>
                  <w:tcW w:w="106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磨头、敲盖</w:t>
                  </w:r>
                </w:p>
              </w:tc>
              <w:tc>
                <w:tcPr>
                  <w:tcW w:w="1061"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颗粒物</w:t>
                  </w:r>
                </w:p>
              </w:tc>
              <w:tc>
                <w:tcPr>
                  <w:tcW w:w="883" w:type="dxa"/>
                  <w:vAlign w:val="center"/>
                </w:tcPr>
                <w:p>
                  <w:pPr>
                    <w:pStyle w:val="23"/>
                    <w:spacing w:after="0"/>
                    <w:ind w:right="113" w:rightChars="0" w:firstLine="0" w:firstLineChars="0"/>
                    <w:jc w:val="center"/>
                    <w:rPr>
                      <w:rFonts w:hint="eastAsia"/>
                      <w:color w:val="auto"/>
                      <w:sz w:val="21"/>
                      <w:szCs w:val="21"/>
                      <w:lang w:val="en-US" w:eastAsia="zh-CN"/>
                    </w:rPr>
                  </w:pPr>
                  <w:r>
                    <w:rPr>
                      <w:rFonts w:hint="eastAsia"/>
                      <w:color w:val="auto"/>
                      <w:sz w:val="21"/>
                      <w:szCs w:val="21"/>
                      <w:lang w:val="en-US" w:eastAsia="zh-CN"/>
                    </w:rPr>
                    <w:t>20</w:t>
                  </w:r>
                </w:p>
              </w:tc>
              <w:tc>
                <w:tcPr>
                  <w:tcW w:w="861" w:type="dxa"/>
                  <w:vAlign w:val="center"/>
                </w:tcPr>
                <w:p>
                  <w:pPr>
                    <w:pStyle w:val="23"/>
                    <w:spacing w:after="0"/>
                    <w:ind w:right="113" w:rightChars="0" w:firstLine="0" w:firstLineChars="0"/>
                    <w:jc w:val="center"/>
                    <w:rPr>
                      <w:rFonts w:hint="eastAsia"/>
                      <w:color w:val="auto"/>
                      <w:sz w:val="21"/>
                      <w:szCs w:val="21"/>
                      <w:lang w:val="en-US" w:eastAsia="zh-CN"/>
                    </w:rPr>
                  </w:pPr>
                  <w:r>
                    <w:rPr>
                      <w:rFonts w:hint="eastAsia"/>
                      <w:color w:val="auto"/>
                      <w:sz w:val="21"/>
                      <w:szCs w:val="21"/>
                      <w:lang w:val="en-US" w:eastAsia="zh-CN"/>
                    </w:rPr>
                    <w:t>1</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eastAsia"/>
                      <w:color w:val="auto"/>
                      <w:sz w:val="21"/>
                      <w:szCs w:val="21"/>
                      <w:lang w:val="en-US" w:eastAsia="zh-CN"/>
                    </w:rPr>
                  </w:pPr>
                  <w:r>
                    <w:rPr>
                      <w:rFonts w:hint="eastAsia"/>
                      <w:color w:val="auto"/>
                      <w:sz w:val="21"/>
                      <w:szCs w:val="21"/>
                      <w:lang w:val="en-US" w:eastAsia="zh-CN"/>
                    </w:rPr>
                    <w:t>0.5</w:t>
                  </w:r>
                </w:p>
              </w:tc>
              <w:tc>
                <w:tcPr>
                  <w:tcW w:w="2013" w:type="dxa"/>
                  <w:vAlign w:val="center"/>
                </w:tcPr>
                <w:p>
                  <w:pPr>
                    <w:pStyle w:val="23"/>
                    <w:spacing w:after="0"/>
                    <w:ind w:firstLine="0" w:firstLineChars="0"/>
                    <w:jc w:val="center"/>
                    <w:rPr>
                      <w:rFonts w:hint="eastAsia"/>
                      <w:color w:val="auto"/>
                      <w:sz w:val="21"/>
                      <w:szCs w:val="21"/>
                      <w:lang w:val="en-US" w:eastAsia="zh-CN"/>
                    </w:rPr>
                  </w:pPr>
                  <w:r>
                    <w:rPr>
                      <w:rFonts w:hint="eastAsia"/>
                      <w:color w:val="auto"/>
                      <w:sz w:val="21"/>
                      <w:szCs w:val="21"/>
                    </w:rPr>
                    <w:t>《大气污染物综合排放标准》(DB32/</w:t>
                  </w:r>
                  <w:r>
                    <w:rPr>
                      <w:color w:val="auto"/>
                      <w:sz w:val="21"/>
                      <w:szCs w:val="21"/>
                    </w:rPr>
                    <w:t>4041</w:t>
                  </w:r>
                  <w:r>
                    <w:rPr>
                      <w:rFonts w:hint="eastAsia"/>
                      <w:color w:val="auto"/>
                      <w:sz w:val="21"/>
                      <w:szCs w:val="21"/>
                    </w:rPr>
                    <w:t>-</w:t>
                  </w:r>
                  <w:r>
                    <w:rPr>
                      <w:color w:val="auto"/>
                      <w:sz w:val="21"/>
                      <w:szCs w:val="21"/>
                    </w:rPr>
                    <w:t>2021</w:t>
                  </w:r>
                  <w:r>
                    <w:rPr>
                      <w:rFonts w:hint="eastAsia"/>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516" w:hRule="atLeast"/>
                <w:jc w:val="center"/>
              </w:trPr>
              <w:tc>
                <w:tcPr>
                  <w:tcW w:w="1060"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植绒</w:t>
                  </w:r>
                </w:p>
              </w:tc>
              <w:tc>
                <w:tcPr>
                  <w:tcW w:w="1061" w:type="dxa"/>
                  <w:vMerge w:val="restart"/>
                  <w:vAlign w:val="center"/>
                </w:tcPr>
                <w:p>
                  <w:pPr>
                    <w:adjustRightInd w:val="0"/>
                    <w:snapToGrid w:val="0"/>
                    <w:spacing w:line="240" w:lineRule="auto"/>
                    <w:jc w:val="center"/>
                    <w:rPr>
                      <w:rFonts w:hint="eastAsia"/>
                      <w:color w:val="auto"/>
                      <w:sz w:val="21"/>
                      <w:szCs w:val="21"/>
                    </w:rPr>
                  </w:pPr>
                  <w:r>
                    <w:rPr>
                      <w:rFonts w:hint="eastAsia"/>
                      <w:color w:val="auto"/>
                      <w:sz w:val="21"/>
                      <w:szCs w:val="21"/>
                    </w:rPr>
                    <w:t>非甲烷总烃</w:t>
                  </w:r>
                </w:p>
              </w:tc>
              <w:tc>
                <w:tcPr>
                  <w:tcW w:w="883" w:type="dxa"/>
                  <w:vMerge w:val="restart"/>
                  <w:vAlign w:val="center"/>
                </w:tcPr>
                <w:p>
                  <w:pPr>
                    <w:pStyle w:val="23"/>
                    <w:spacing w:after="0"/>
                    <w:ind w:right="113" w:rightChars="0" w:firstLine="0" w:firstLineChars="0"/>
                    <w:jc w:val="center"/>
                    <w:rPr>
                      <w:color w:val="auto"/>
                      <w:sz w:val="21"/>
                      <w:szCs w:val="21"/>
                    </w:rPr>
                  </w:pPr>
                  <w:r>
                    <w:rPr>
                      <w:color w:val="auto"/>
                      <w:sz w:val="21"/>
                      <w:szCs w:val="21"/>
                    </w:rPr>
                    <w:t>60</w:t>
                  </w:r>
                </w:p>
              </w:tc>
              <w:tc>
                <w:tcPr>
                  <w:tcW w:w="861" w:type="dxa"/>
                  <w:vMerge w:val="restart"/>
                  <w:vAlign w:val="center"/>
                </w:tcPr>
                <w:p>
                  <w:pPr>
                    <w:pStyle w:val="23"/>
                    <w:spacing w:after="0"/>
                    <w:ind w:right="113" w:rightChars="0" w:firstLine="0" w:firstLineChars="0"/>
                    <w:jc w:val="center"/>
                    <w:rPr>
                      <w:color w:val="auto"/>
                      <w:sz w:val="21"/>
                      <w:szCs w:val="21"/>
                    </w:rPr>
                  </w:pPr>
                  <w:r>
                    <w:rPr>
                      <w:color w:val="auto"/>
                      <w:sz w:val="21"/>
                      <w:szCs w:val="21"/>
                    </w:rPr>
                    <w:t>3</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Merge w:val="restart"/>
                  <w:vAlign w:val="center"/>
                </w:tcPr>
                <w:p>
                  <w:pPr>
                    <w:pStyle w:val="23"/>
                    <w:adjustRightInd w:val="0"/>
                    <w:snapToGrid w:val="0"/>
                    <w:spacing w:after="0"/>
                    <w:ind w:firstLine="0" w:firstLineChars="0"/>
                    <w:jc w:val="center"/>
                    <w:rPr>
                      <w:color w:val="auto"/>
                      <w:sz w:val="21"/>
                      <w:szCs w:val="21"/>
                    </w:rPr>
                  </w:pPr>
                  <w:r>
                    <w:rPr>
                      <w:color w:val="auto"/>
                      <w:sz w:val="21"/>
                      <w:szCs w:val="21"/>
                    </w:rPr>
                    <w:t>4</w:t>
                  </w:r>
                </w:p>
              </w:tc>
              <w:tc>
                <w:tcPr>
                  <w:tcW w:w="2013" w:type="dxa"/>
                  <w:vMerge w:val="restart"/>
                  <w:vAlign w:val="center"/>
                </w:tcPr>
                <w:p>
                  <w:pPr>
                    <w:pStyle w:val="23"/>
                    <w:spacing w:after="0"/>
                    <w:ind w:firstLine="0" w:firstLineChars="0"/>
                    <w:jc w:val="center"/>
                    <w:rPr>
                      <w:rFonts w:hint="eastAsia"/>
                      <w:color w:val="auto"/>
                      <w:sz w:val="21"/>
                      <w:szCs w:val="21"/>
                    </w:rPr>
                  </w:pPr>
                  <w:r>
                    <w:rPr>
                      <w:rFonts w:hint="eastAsia"/>
                      <w:color w:val="auto"/>
                      <w:sz w:val="21"/>
                      <w:szCs w:val="21"/>
                    </w:rPr>
                    <w:t>《大气污染物综合排放标准》(DB32/</w:t>
                  </w:r>
                  <w:r>
                    <w:rPr>
                      <w:color w:val="auto"/>
                      <w:sz w:val="21"/>
                      <w:szCs w:val="21"/>
                    </w:rPr>
                    <w:t>4041</w:t>
                  </w:r>
                  <w:r>
                    <w:rPr>
                      <w:rFonts w:hint="eastAsia"/>
                      <w:color w:val="auto"/>
                      <w:sz w:val="21"/>
                      <w:szCs w:val="21"/>
                    </w:rPr>
                    <w:t>-</w:t>
                  </w:r>
                  <w:r>
                    <w:rPr>
                      <w:color w:val="auto"/>
                      <w:sz w:val="21"/>
                      <w:szCs w:val="21"/>
                    </w:rPr>
                    <w:t>2021</w:t>
                  </w:r>
                  <w:r>
                    <w:rPr>
                      <w:rFonts w:hint="eastAsia"/>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516" w:hRule="atLeast"/>
                <w:jc w:val="center"/>
              </w:trPr>
              <w:tc>
                <w:tcPr>
                  <w:tcW w:w="106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烘干</w:t>
                  </w:r>
                </w:p>
              </w:tc>
              <w:tc>
                <w:tcPr>
                  <w:tcW w:w="1061" w:type="dxa"/>
                  <w:vMerge w:val="continue"/>
                  <w:vAlign w:val="center"/>
                </w:tcPr>
                <w:p>
                  <w:pPr>
                    <w:adjustRightInd w:val="0"/>
                    <w:snapToGrid w:val="0"/>
                    <w:spacing w:line="240" w:lineRule="auto"/>
                    <w:jc w:val="center"/>
                    <w:rPr>
                      <w:rFonts w:hint="eastAsia"/>
                      <w:color w:val="auto"/>
                      <w:sz w:val="21"/>
                      <w:szCs w:val="21"/>
                    </w:rPr>
                  </w:pPr>
                </w:p>
              </w:tc>
              <w:tc>
                <w:tcPr>
                  <w:tcW w:w="883" w:type="dxa"/>
                  <w:vMerge w:val="continue"/>
                  <w:vAlign w:val="center"/>
                </w:tcPr>
                <w:p>
                  <w:pPr>
                    <w:pStyle w:val="23"/>
                    <w:spacing w:after="0"/>
                    <w:ind w:right="113" w:rightChars="0" w:firstLine="0" w:firstLineChars="0"/>
                    <w:jc w:val="center"/>
                    <w:rPr>
                      <w:color w:val="auto"/>
                      <w:sz w:val="21"/>
                      <w:szCs w:val="21"/>
                    </w:rPr>
                  </w:pPr>
                </w:p>
              </w:tc>
              <w:tc>
                <w:tcPr>
                  <w:tcW w:w="861" w:type="dxa"/>
                  <w:vMerge w:val="continue"/>
                  <w:vAlign w:val="center"/>
                </w:tcPr>
                <w:p>
                  <w:pPr>
                    <w:pStyle w:val="23"/>
                    <w:spacing w:after="0"/>
                    <w:ind w:right="113" w:rightChars="0" w:firstLine="0" w:firstLineChars="0"/>
                    <w:jc w:val="center"/>
                    <w:rPr>
                      <w:color w:val="auto"/>
                      <w:sz w:val="21"/>
                      <w:szCs w:val="21"/>
                    </w:rPr>
                  </w:pP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Merge w:val="continue"/>
                  <w:vAlign w:val="center"/>
                </w:tcPr>
                <w:p>
                  <w:pPr>
                    <w:pStyle w:val="23"/>
                    <w:adjustRightInd w:val="0"/>
                    <w:snapToGrid w:val="0"/>
                    <w:spacing w:after="0"/>
                    <w:ind w:firstLine="0" w:firstLineChars="0"/>
                    <w:jc w:val="center"/>
                    <w:rPr>
                      <w:color w:val="auto"/>
                      <w:sz w:val="21"/>
                      <w:szCs w:val="21"/>
                    </w:rPr>
                  </w:pPr>
                </w:p>
              </w:tc>
              <w:tc>
                <w:tcPr>
                  <w:tcW w:w="2013" w:type="dxa"/>
                  <w:vMerge w:val="continue"/>
                  <w:vAlign w:val="center"/>
                </w:tcPr>
                <w:p>
                  <w:pPr>
                    <w:pStyle w:val="23"/>
                    <w:spacing w:after="0"/>
                    <w:ind w:firstLine="0" w:firstLineChars="0"/>
                    <w:jc w:val="center"/>
                    <w:rPr>
                      <w:rFonts w:hint="eastAsia"/>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60" w:hRule="atLeast"/>
                <w:jc w:val="center"/>
              </w:trPr>
              <w:tc>
                <w:tcPr>
                  <w:tcW w:w="106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胶合板刷</w:t>
                  </w:r>
                </w:p>
              </w:tc>
              <w:tc>
                <w:tcPr>
                  <w:tcW w:w="1061" w:type="dxa"/>
                  <w:vMerge w:val="continue"/>
                  <w:vAlign w:val="center"/>
                </w:tcPr>
                <w:p>
                  <w:pPr>
                    <w:adjustRightInd w:val="0"/>
                    <w:snapToGrid w:val="0"/>
                    <w:spacing w:line="240" w:lineRule="auto"/>
                    <w:jc w:val="center"/>
                    <w:rPr>
                      <w:rFonts w:hint="eastAsia" w:eastAsia="宋体"/>
                      <w:color w:val="auto"/>
                      <w:sz w:val="21"/>
                      <w:szCs w:val="21"/>
                      <w:lang w:val="en-US" w:eastAsia="zh-CN"/>
                    </w:rPr>
                  </w:pPr>
                </w:p>
              </w:tc>
              <w:tc>
                <w:tcPr>
                  <w:tcW w:w="883" w:type="dxa"/>
                  <w:vMerge w:val="continue"/>
                  <w:vAlign w:val="center"/>
                </w:tcPr>
                <w:p>
                  <w:pPr>
                    <w:pStyle w:val="23"/>
                    <w:spacing w:after="0"/>
                    <w:ind w:firstLine="0" w:firstLineChars="0"/>
                    <w:jc w:val="center"/>
                    <w:rPr>
                      <w:rFonts w:hint="default" w:eastAsia="宋体"/>
                      <w:color w:val="auto"/>
                      <w:sz w:val="21"/>
                      <w:szCs w:val="21"/>
                      <w:lang w:val="en-US" w:eastAsia="zh-CN"/>
                    </w:rPr>
                  </w:pPr>
                </w:p>
              </w:tc>
              <w:tc>
                <w:tcPr>
                  <w:tcW w:w="861" w:type="dxa"/>
                  <w:vMerge w:val="continue"/>
                  <w:vAlign w:val="center"/>
                </w:tcPr>
                <w:p>
                  <w:pPr>
                    <w:pStyle w:val="23"/>
                    <w:spacing w:after="0"/>
                    <w:ind w:firstLine="0" w:firstLineChars="0"/>
                    <w:jc w:val="center"/>
                    <w:rPr>
                      <w:rFonts w:hint="eastAsia" w:eastAsia="宋体"/>
                      <w:color w:val="auto"/>
                      <w:sz w:val="21"/>
                      <w:szCs w:val="21"/>
                      <w:lang w:val="en-US" w:eastAsia="zh-CN"/>
                    </w:rPr>
                  </w:pP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Merge w:val="continue"/>
                  <w:vAlign w:val="center"/>
                </w:tcPr>
                <w:p>
                  <w:pPr>
                    <w:pStyle w:val="23"/>
                    <w:adjustRightInd w:val="0"/>
                    <w:snapToGrid w:val="0"/>
                    <w:spacing w:after="0"/>
                    <w:ind w:firstLine="0" w:firstLineChars="0"/>
                    <w:jc w:val="center"/>
                    <w:rPr>
                      <w:rFonts w:hint="default" w:eastAsia="宋体"/>
                      <w:color w:val="auto"/>
                      <w:sz w:val="21"/>
                      <w:szCs w:val="21"/>
                      <w:lang w:val="en-US" w:eastAsia="zh-CN"/>
                    </w:rPr>
                  </w:pPr>
                </w:p>
              </w:tc>
              <w:tc>
                <w:tcPr>
                  <w:tcW w:w="2013" w:type="dxa"/>
                  <w:vMerge w:val="continue"/>
                  <w:vAlign w:val="center"/>
                </w:tcPr>
                <w:p>
                  <w:pPr>
                    <w:pStyle w:val="23"/>
                    <w:spacing w:after="0"/>
                    <w:ind w:firstLine="0" w:firstLineChars="0"/>
                    <w:jc w:val="center"/>
                    <w:rPr>
                      <w:rFonts w:hint="eastAsia"/>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Merge w:val="restart"/>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注塑</w:t>
                  </w:r>
                </w:p>
              </w:tc>
              <w:tc>
                <w:tcPr>
                  <w:tcW w:w="1061" w:type="dxa"/>
                  <w:vAlign w:val="center"/>
                </w:tcPr>
                <w:p>
                  <w:pPr>
                    <w:adjustRightInd w:val="0"/>
                    <w:snapToGrid w:val="0"/>
                    <w:spacing w:line="240" w:lineRule="auto"/>
                    <w:jc w:val="center"/>
                    <w:rPr>
                      <w:rFonts w:hint="eastAsia" w:eastAsia="宋体"/>
                      <w:color w:val="auto"/>
                      <w:sz w:val="21"/>
                      <w:szCs w:val="21"/>
                      <w:lang w:val="en-US" w:eastAsia="zh-CN"/>
                    </w:rPr>
                  </w:pPr>
                  <w:r>
                    <w:rPr>
                      <w:rFonts w:hint="eastAsia"/>
                      <w:color w:val="auto"/>
                      <w:sz w:val="21"/>
                      <w:szCs w:val="21"/>
                      <w:lang w:val="en-US" w:eastAsia="zh-CN"/>
                    </w:rPr>
                    <w:t>非甲烷总烃</w:t>
                  </w:r>
                </w:p>
              </w:tc>
              <w:tc>
                <w:tcPr>
                  <w:tcW w:w="883" w:type="dxa"/>
                  <w:vAlign w:val="center"/>
                </w:tcPr>
                <w:p>
                  <w:pPr>
                    <w:pStyle w:val="23"/>
                    <w:spacing w:after="0"/>
                    <w:ind w:firstLine="0" w:firstLineChars="0"/>
                    <w:jc w:val="center"/>
                    <w:rPr>
                      <w:rFonts w:hint="default" w:eastAsia="宋体"/>
                      <w:color w:val="auto"/>
                      <w:sz w:val="21"/>
                      <w:szCs w:val="21"/>
                      <w:lang w:val="en-US" w:eastAsia="zh-CN"/>
                    </w:rPr>
                  </w:pPr>
                  <w:r>
                    <w:rPr>
                      <w:rFonts w:hint="eastAsia"/>
                      <w:color w:val="auto"/>
                      <w:sz w:val="21"/>
                      <w:szCs w:val="21"/>
                      <w:lang w:val="en-US" w:eastAsia="zh-CN"/>
                    </w:rPr>
                    <w:t>60</w:t>
                  </w:r>
                </w:p>
              </w:tc>
              <w:tc>
                <w:tcPr>
                  <w:tcW w:w="861" w:type="dxa"/>
                  <w:vAlign w:val="center"/>
                </w:tcPr>
                <w:p>
                  <w:pPr>
                    <w:pStyle w:val="23"/>
                    <w:spacing w:after="0"/>
                    <w:ind w:firstLine="0" w:firstLineChars="0"/>
                    <w:jc w:val="center"/>
                    <w:rPr>
                      <w:rFonts w:hint="eastAsia" w:eastAsia="宋体"/>
                      <w:color w:val="auto"/>
                      <w:sz w:val="21"/>
                      <w:szCs w:val="21"/>
                      <w:lang w:val="en-US" w:eastAsia="zh-CN"/>
                    </w:rPr>
                  </w:pPr>
                  <w:r>
                    <w:rPr>
                      <w:rFonts w:hint="eastAsia"/>
                      <w:color w:val="auto"/>
                      <w:sz w:val="21"/>
                      <w:szCs w:val="21"/>
                      <w:lang w:val="en-US" w:eastAsia="zh-CN"/>
                    </w:rPr>
                    <w:t>/</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default" w:eastAsia="宋体"/>
                      <w:color w:val="auto"/>
                      <w:sz w:val="21"/>
                      <w:szCs w:val="21"/>
                      <w:lang w:val="en-US" w:eastAsia="zh-CN" w:bidi="ar"/>
                    </w:rPr>
                  </w:pPr>
                  <w:r>
                    <w:rPr>
                      <w:rFonts w:hint="eastAsia"/>
                      <w:color w:val="auto"/>
                      <w:sz w:val="21"/>
                      <w:szCs w:val="21"/>
                      <w:lang w:val="en-US" w:eastAsia="zh-CN" w:bidi="ar"/>
                    </w:rPr>
                    <w:t>4.0</w:t>
                  </w:r>
                </w:p>
              </w:tc>
              <w:tc>
                <w:tcPr>
                  <w:tcW w:w="2013" w:type="dxa"/>
                  <w:vMerge w:val="restart"/>
                  <w:vAlign w:val="center"/>
                </w:tcPr>
                <w:p>
                  <w:pPr>
                    <w:pStyle w:val="23"/>
                    <w:spacing w:after="0"/>
                    <w:ind w:firstLine="0" w:firstLineChars="0"/>
                    <w:jc w:val="center"/>
                    <w:rPr>
                      <w:rFonts w:hint="eastAsia"/>
                      <w:color w:val="auto"/>
                      <w:sz w:val="21"/>
                      <w:szCs w:val="21"/>
                    </w:rPr>
                  </w:pPr>
                  <w:r>
                    <w:rPr>
                      <w:rFonts w:hint="eastAsia"/>
                      <w:color w:val="auto"/>
                      <w:sz w:val="21"/>
                      <w:szCs w:val="21"/>
                    </w:rPr>
                    <w:t>《</w:t>
                  </w:r>
                  <w:r>
                    <w:rPr>
                      <w:rFonts w:hint="eastAsia"/>
                      <w:color w:val="auto"/>
                      <w:sz w:val="21"/>
                      <w:szCs w:val="21"/>
                      <w:lang w:eastAsia="zh-CN"/>
                    </w:rPr>
                    <w:t>合成树脂工业污染物排放标准</w:t>
                  </w:r>
                  <w:r>
                    <w:rPr>
                      <w:rFonts w:hint="eastAsia"/>
                      <w:color w:val="auto"/>
                      <w:sz w:val="21"/>
                      <w:szCs w:val="21"/>
                    </w:rPr>
                    <w:t>》（GB31572-2015）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06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单位产品非甲烷总烃排放量</w:t>
                  </w:r>
                </w:p>
              </w:tc>
              <w:tc>
                <w:tcPr>
                  <w:tcW w:w="1744" w:type="dxa"/>
                  <w:gridSpan w:val="2"/>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0.3kg/t</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default"/>
                      <w:color w:val="auto"/>
                      <w:sz w:val="21"/>
                      <w:szCs w:val="21"/>
                      <w:lang w:val="en-US" w:eastAsia="zh-CN" w:bidi="ar"/>
                    </w:rPr>
                  </w:pPr>
                  <w:r>
                    <w:rPr>
                      <w:rFonts w:hint="eastAsia"/>
                      <w:color w:val="auto"/>
                      <w:sz w:val="21"/>
                      <w:szCs w:val="21"/>
                      <w:lang w:val="en-US" w:eastAsia="zh-CN" w:bidi="ar"/>
                    </w:rPr>
                    <w:t>/</w:t>
                  </w:r>
                </w:p>
              </w:tc>
              <w:tc>
                <w:tcPr>
                  <w:tcW w:w="2013" w:type="dxa"/>
                  <w:vMerge w:val="continue"/>
                  <w:vAlign w:val="center"/>
                </w:tcPr>
                <w:p>
                  <w:pPr>
                    <w:pStyle w:val="23"/>
                    <w:spacing w:after="0"/>
                    <w:ind w:firstLine="0" w:firstLineChars="0"/>
                    <w:jc w:val="center"/>
                    <w:rPr>
                      <w:rFonts w:hint="eastAsia"/>
                      <w:color w:val="auto"/>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注塑投料、破碎</w:t>
                  </w:r>
                </w:p>
              </w:tc>
              <w:tc>
                <w:tcPr>
                  <w:tcW w:w="106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颗粒物</w:t>
                  </w:r>
                </w:p>
              </w:tc>
              <w:tc>
                <w:tcPr>
                  <w:tcW w:w="883"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w:t>
                  </w:r>
                </w:p>
              </w:tc>
              <w:tc>
                <w:tcPr>
                  <w:tcW w:w="861"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default"/>
                      <w:color w:val="auto"/>
                      <w:sz w:val="21"/>
                      <w:szCs w:val="21"/>
                      <w:lang w:val="en-US" w:eastAsia="zh-CN" w:bidi="ar"/>
                    </w:rPr>
                  </w:pPr>
                  <w:r>
                    <w:rPr>
                      <w:rFonts w:hint="eastAsia"/>
                      <w:color w:val="auto"/>
                      <w:sz w:val="21"/>
                      <w:szCs w:val="21"/>
                      <w:lang w:val="en-US" w:eastAsia="zh-CN" w:bidi="ar"/>
                    </w:rPr>
                    <w:t>肉眼不可见</w:t>
                  </w:r>
                </w:p>
              </w:tc>
              <w:tc>
                <w:tcPr>
                  <w:tcW w:w="2013" w:type="dxa"/>
                  <w:vAlign w:val="center"/>
                </w:tcPr>
                <w:p>
                  <w:pPr>
                    <w:pStyle w:val="23"/>
                    <w:spacing w:after="0"/>
                    <w:ind w:firstLine="0" w:firstLineChars="0"/>
                    <w:jc w:val="center"/>
                    <w:rPr>
                      <w:rFonts w:hint="eastAsia"/>
                      <w:color w:val="auto"/>
                      <w:sz w:val="21"/>
                      <w:szCs w:val="21"/>
                    </w:rPr>
                  </w:pPr>
                  <w:r>
                    <w:rPr>
                      <w:rFonts w:hint="eastAsia"/>
                      <w:color w:val="auto"/>
                      <w:sz w:val="21"/>
                      <w:szCs w:val="21"/>
                    </w:rPr>
                    <w:t>《大气污染物综合排放标准》(DB32/</w:t>
                  </w:r>
                  <w:r>
                    <w:rPr>
                      <w:color w:val="auto"/>
                      <w:sz w:val="21"/>
                      <w:szCs w:val="21"/>
                    </w:rPr>
                    <w:t>4041</w:t>
                  </w:r>
                  <w:r>
                    <w:rPr>
                      <w:rFonts w:hint="eastAsia"/>
                      <w:color w:val="auto"/>
                      <w:sz w:val="21"/>
                      <w:szCs w:val="21"/>
                    </w:rPr>
                    <w:t>-</w:t>
                  </w:r>
                  <w:r>
                    <w:rPr>
                      <w:color w:val="auto"/>
                      <w:sz w:val="21"/>
                      <w:szCs w:val="21"/>
                    </w:rPr>
                    <w:t>2021</w:t>
                  </w:r>
                  <w:r>
                    <w:rPr>
                      <w:rFonts w:hint="eastAsia"/>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灌胶</w:t>
                  </w:r>
                </w:p>
              </w:tc>
              <w:tc>
                <w:tcPr>
                  <w:tcW w:w="1061" w:type="dxa"/>
                  <w:shd w:val="clear" w:color="auto" w:fill="auto"/>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非甲烷总烃</w:t>
                  </w:r>
                </w:p>
              </w:tc>
              <w:tc>
                <w:tcPr>
                  <w:tcW w:w="883" w:type="dxa"/>
                  <w:vAlign w:val="center"/>
                </w:tcPr>
                <w:p>
                  <w:pPr>
                    <w:pStyle w:val="23"/>
                    <w:spacing w:after="0"/>
                    <w:ind w:right="113" w:rightChars="0" w:firstLine="0" w:firstLineChars="0"/>
                    <w:jc w:val="center"/>
                    <w:rPr>
                      <w:rFonts w:hint="eastAsia"/>
                      <w:color w:val="auto"/>
                      <w:sz w:val="21"/>
                      <w:szCs w:val="21"/>
                      <w:lang w:val="en-US" w:eastAsia="zh-CN"/>
                    </w:rPr>
                  </w:pPr>
                  <w:r>
                    <w:rPr>
                      <w:color w:val="auto"/>
                      <w:sz w:val="21"/>
                      <w:szCs w:val="21"/>
                    </w:rPr>
                    <w:t>60</w:t>
                  </w:r>
                </w:p>
              </w:tc>
              <w:tc>
                <w:tcPr>
                  <w:tcW w:w="861" w:type="dxa"/>
                  <w:vAlign w:val="center"/>
                </w:tcPr>
                <w:p>
                  <w:pPr>
                    <w:pStyle w:val="23"/>
                    <w:spacing w:after="0"/>
                    <w:ind w:right="113" w:rightChars="0" w:firstLine="0" w:firstLineChars="0"/>
                    <w:jc w:val="center"/>
                    <w:rPr>
                      <w:rFonts w:hint="eastAsia"/>
                      <w:color w:val="auto"/>
                      <w:sz w:val="21"/>
                      <w:szCs w:val="21"/>
                      <w:lang w:val="en-US" w:eastAsia="zh-CN"/>
                    </w:rPr>
                  </w:pPr>
                  <w:r>
                    <w:rPr>
                      <w:color w:val="auto"/>
                      <w:sz w:val="21"/>
                      <w:szCs w:val="21"/>
                    </w:rPr>
                    <w:t>3</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right="113" w:rightChars="0" w:firstLine="0" w:firstLineChars="0"/>
                    <w:jc w:val="center"/>
                    <w:rPr>
                      <w:rFonts w:hint="eastAsia"/>
                      <w:color w:val="auto"/>
                      <w:sz w:val="21"/>
                      <w:szCs w:val="21"/>
                      <w:lang w:val="en-US" w:eastAsia="zh-CN" w:bidi="ar"/>
                    </w:rPr>
                  </w:pPr>
                  <w:r>
                    <w:rPr>
                      <w:color w:val="auto"/>
                      <w:sz w:val="21"/>
                      <w:szCs w:val="21"/>
                    </w:rPr>
                    <w:t>4</w:t>
                  </w:r>
                </w:p>
              </w:tc>
              <w:tc>
                <w:tcPr>
                  <w:tcW w:w="2013" w:type="dxa"/>
                  <w:vAlign w:val="center"/>
                </w:tcPr>
                <w:p>
                  <w:pPr>
                    <w:pStyle w:val="23"/>
                    <w:spacing w:after="0"/>
                    <w:ind w:right="113" w:rightChars="0" w:firstLine="0" w:firstLineChars="0"/>
                    <w:jc w:val="center"/>
                    <w:rPr>
                      <w:rFonts w:hint="eastAsia"/>
                      <w:color w:val="auto"/>
                      <w:sz w:val="21"/>
                      <w:szCs w:val="21"/>
                    </w:rPr>
                  </w:pPr>
                  <w:r>
                    <w:rPr>
                      <w:rFonts w:hint="eastAsia"/>
                      <w:color w:val="auto"/>
                      <w:sz w:val="21"/>
                      <w:szCs w:val="21"/>
                    </w:rPr>
                    <w:t>《大气污染物综合排放标准》(DB32/</w:t>
                  </w:r>
                  <w:r>
                    <w:rPr>
                      <w:color w:val="auto"/>
                      <w:sz w:val="21"/>
                      <w:szCs w:val="21"/>
                    </w:rPr>
                    <w:t>4041</w:t>
                  </w:r>
                  <w:r>
                    <w:rPr>
                      <w:rFonts w:hint="eastAsia"/>
                      <w:color w:val="auto"/>
                      <w:sz w:val="21"/>
                      <w:szCs w:val="21"/>
                    </w:rPr>
                    <w:t>-</w:t>
                  </w:r>
                  <w:r>
                    <w:rPr>
                      <w:color w:val="auto"/>
                      <w:sz w:val="21"/>
                      <w:szCs w:val="21"/>
                    </w:rPr>
                    <w:t>2021</w:t>
                  </w:r>
                  <w:r>
                    <w:rPr>
                      <w:rFonts w:hint="eastAsia"/>
                      <w:color w:val="auto"/>
                      <w:sz w:val="21"/>
                      <w:szCs w:val="21"/>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Merge w:val="restart"/>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浸漆</w:t>
                  </w:r>
                </w:p>
              </w:tc>
              <w:tc>
                <w:tcPr>
                  <w:tcW w:w="1061"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非甲烷总烃</w:t>
                  </w:r>
                </w:p>
              </w:tc>
              <w:tc>
                <w:tcPr>
                  <w:tcW w:w="883"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50</w:t>
                  </w:r>
                </w:p>
              </w:tc>
              <w:tc>
                <w:tcPr>
                  <w:tcW w:w="861"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2.0</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default"/>
                      <w:color w:val="auto"/>
                      <w:sz w:val="21"/>
                      <w:szCs w:val="21"/>
                      <w:lang w:val="en-US" w:eastAsia="zh-CN" w:bidi="ar"/>
                    </w:rPr>
                  </w:pPr>
                  <w:r>
                    <w:rPr>
                      <w:rFonts w:hint="eastAsia"/>
                      <w:color w:val="auto"/>
                      <w:sz w:val="21"/>
                      <w:szCs w:val="21"/>
                      <w:lang w:val="en-US" w:eastAsia="zh-CN" w:bidi="ar"/>
                    </w:rPr>
                    <w:t>/</w:t>
                  </w:r>
                </w:p>
              </w:tc>
              <w:tc>
                <w:tcPr>
                  <w:tcW w:w="2013" w:type="dxa"/>
                  <w:vMerge w:val="restart"/>
                  <w:vAlign w:val="center"/>
                </w:tcPr>
                <w:p>
                  <w:pPr>
                    <w:pStyle w:val="23"/>
                    <w:spacing w:after="0"/>
                    <w:ind w:firstLine="0" w:firstLineChars="0"/>
                    <w:jc w:val="center"/>
                    <w:rPr>
                      <w:rFonts w:hint="eastAsia"/>
                      <w:color w:val="auto"/>
                      <w:sz w:val="21"/>
                      <w:szCs w:val="21"/>
                    </w:rPr>
                  </w:pPr>
                  <w:r>
                    <w:rPr>
                      <w:rFonts w:hint="eastAsia"/>
                      <w:color w:val="auto"/>
                      <w:sz w:val="21"/>
                      <w:szCs w:val="21"/>
                      <w:lang w:val="en-US" w:eastAsia="zh-CN"/>
                    </w:rPr>
                    <w:t>《工业涂装工序大气污染物排放标准》（DB32/4439-2022）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cantSplit/>
                <w:trHeight w:val="422" w:hRule="atLeast"/>
                <w:jc w:val="center"/>
              </w:trPr>
              <w:tc>
                <w:tcPr>
                  <w:tcW w:w="1060"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06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TVOC</w:t>
                  </w:r>
                </w:p>
              </w:tc>
              <w:tc>
                <w:tcPr>
                  <w:tcW w:w="883"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80</w:t>
                  </w:r>
                </w:p>
              </w:tc>
              <w:tc>
                <w:tcPr>
                  <w:tcW w:w="861" w:type="dxa"/>
                  <w:vAlign w:val="center"/>
                </w:tcPr>
                <w:p>
                  <w:pPr>
                    <w:pStyle w:val="23"/>
                    <w:spacing w:after="0"/>
                    <w:ind w:firstLine="0" w:firstLineChars="0"/>
                    <w:jc w:val="center"/>
                    <w:rPr>
                      <w:rFonts w:hint="default"/>
                      <w:color w:val="auto"/>
                      <w:sz w:val="21"/>
                      <w:szCs w:val="21"/>
                      <w:lang w:val="en-US" w:eastAsia="zh-CN"/>
                    </w:rPr>
                  </w:pPr>
                  <w:r>
                    <w:rPr>
                      <w:rFonts w:hint="eastAsia"/>
                      <w:color w:val="auto"/>
                      <w:sz w:val="21"/>
                      <w:szCs w:val="21"/>
                      <w:lang w:val="en-US" w:eastAsia="zh-CN"/>
                    </w:rPr>
                    <w:t>3.2</w:t>
                  </w:r>
                </w:p>
              </w:tc>
              <w:tc>
                <w:tcPr>
                  <w:tcW w:w="805" w:type="dxa"/>
                  <w:vMerge w:val="continue"/>
                  <w:vAlign w:val="center"/>
                </w:tcPr>
                <w:p>
                  <w:pPr>
                    <w:pStyle w:val="23"/>
                    <w:adjustRightInd w:val="0"/>
                    <w:snapToGrid w:val="0"/>
                    <w:spacing w:after="0"/>
                    <w:ind w:firstLine="0" w:firstLineChars="0"/>
                    <w:jc w:val="center"/>
                    <w:rPr>
                      <w:color w:val="auto"/>
                      <w:sz w:val="21"/>
                      <w:szCs w:val="21"/>
                    </w:rPr>
                  </w:pPr>
                </w:p>
              </w:tc>
              <w:tc>
                <w:tcPr>
                  <w:tcW w:w="1187" w:type="dxa"/>
                  <w:vAlign w:val="center"/>
                </w:tcPr>
                <w:p>
                  <w:pPr>
                    <w:pStyle w:val="23"/>
                    <w:adjustRightInd w:val="0"/>
                    <w:snapToGrid w:val="0"/>
                    <w:spacing w:after="0"/>
                    <w:ind w:firstLine="0" w:firstLineChars="0"/>
                    <w:jc w:val="center"/>
                    <w:rPr>
                      <w:rFonts w:hint="default"/>
                      <w:color w:val="auto"/>
                      <w:sz w:val="21"/>
                      <w:szCs w:val="21"/>
                      <w:lang w:val="en-US" w:eastAsia="zh-CN" w:bidi="ar"/>
                    </w:rPr>
                  </w:pPr>
                  <w:r>
                    <w:rPr>
                      <w:rFonts w:hint="eastAsia"/>
                      <w:color w:val="auto"/>
                      <w:sz w:val="21"/>
                      <w:szCs w:val="21"/>
                      <w:lang w:val="en-US" w:eastAsia="zh-CN" w:bidi="ar"/>
                    </w:rPr>
                    <w:t>/</w:t>
                  </w:r>
                </w:p>
              </w:tc>
              <w:tc>
                <w:tcPr>
                  <w:tcW w:w="2013" w:type="dxa"/>
                  <w:vMerge w:val="continue"/>
                  <w:vAlign w:val="center"/>
                </w:tcPr>
                <w:p>
                  <w:pPr>
                    <w:pStyle w:val="23"/>
                    <w:spacing w:after="0"/>
                    <w:ind w:firstLine="0" w:firstLineChars="0"/>
                    <w:jc w:val="center"/>
                    <w:rPr>
                      <w:rFonts w:hint="eastAsia"/>
                      <w:color w:val="auto"/>
                      <w:sz w:val="21"/>
                      <w:szCs w:val="21"/>
                      <w:lang w:val="en-US" w:eastAsia="zh-CN"/>
                    </w:rPr>
                  </w:pPr>
                </w:p>
              </w:tc>
            </w:tr>
          </w:tbl>
          <w:p>
            <w:pPr>
              <w:jc w:val="center"/>
              <w:rPr>
                <w:rFonts w:hint="eastAsia" w:cs="Times New Roman"/>
                <w:b/>
                <w:bCs/>
                <w:color w:val="auto"/>
                <w:sz w:val="24"/>
                <w:szCs w:val="32"/>
                <w:highlight w:val="none"/>
                <w:lang w:val="en-US" w:eastAsia="zh-CN"/>
              </w:rPr>
            </w:pPr>
          </w:p>
          <w:p>
            <w:pPr>
              <w:jc w:val="center"/>
              <w:rPr>
                <w:rFonts w:hint="default" w:ascii="Times New Roman" w:hAnsi="Times New Roman" w:cs="Times New Roman"/>
                <w:b/>
                <w:bCs/>
                <w:color w:val="auto"/>
                <w:sz w:val="24"/>
                <w:szCs w:val="32"/>
                <w:highlight w:val="none"/>
                <w:lang w:val="en-US" w:eastAsia="zh-CN"/>
              </w:rPr>
            </w:pPr>
            <w:r>
              <w:rPr>
                <w:rFonts w:hint="eastAsia" w:cs="Times New Roman"/>
                <w:b/>
                <w:bCs/>
                <w:color w:val="auto"/>
                <w:sz w:val="24"/>
                <w:szCs w:val="32"/>
                <w:highlight w:val="none"/>
                <w:lang w:val="en-US" w:eastAsia="zh-CN"/>
              </w:rPr>
              <w:t>表3-3-2本项目废气合并后排气筒执行排放标准</w:t>
            </w:r>
          </w:p>
          <w:tbl>
            <w:tblPr>
              <w:tblStyle w:val="26"/>
              <w:tblW w:w="7864" w:type="dxa"/>
              <w:tblInd w:w="5" w:type="dxa"/>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48"/>
              <w:gridCol w:w="1125"/>
              <w:gridCol w:w="1335"/>
              <w:gridCol w:w="1087"/>
              <w:gridCol w:w="1163"/>
              <w:gridCol w:w="2106"/>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PrEx>
              <w:tc>
                <w:tcPr>
                  <w:tcW w:w="1048" w:type="dxa"/>
                  <w:tcBorders>
                    <w:tl2br w:val="nil"/>
                    <w:tr2bl w:val="nil"/>
                  </w:tcBorders>
                  <w:vAlign w:val="center"/>
                </w:tcPr>
                <w:p>
                  <w:pPr>
                    <w:adjustRightInd w:val="0"/>
                    <w:snapToGrid w:val="0"/>
                    <w:spacing w:line="240" w:lineRule="auto"/>
                    <w:jc w:val="center"/>
                    <w:rPr>
                      <w:rFonts w:hint="default"/>
                      <w:b/>
                      <w:bCs/>
                      <w:color w:val="auto"/>
                      <w:sz w:val="21"/>
                      <w:lang w:val="en-US" w:eastAsia="zh-CN"/>
                    </w:rPr>
                  </w:pPr>
                  <w:r>
                    <w:rPr>
                      <w:rFonts w:hint="eastAsia"/>
                      <w:b/>
                      <w:bCs/>
                      <w:color w:val="auto"/>
                      <w:sz w:val="21"/>
                      <w:lang w:val="en-US" w:eastAsia="zh-CN"/>
                    </w:rPr>
                    <w:t>排放口</w:t>
                  </w:r>
                </w:p>
              </w:tc>
              <w:tc>
                <w:tcPr>
                  <w:tcW w:w="1125" w:type="dxa"/>
                  <w:tcBorders>
                    <w:tl2br w:val="nil"/>
                    <w:tr2bl w:val="nil"/>
                  </w:tcBorders>
                  <w:vAlign w:val="center"/>
                </w:tcPr>
                <w:p>
                  <w:pPr>
                    <w:adjustRightInd w:val="0"/>
                    <w:snapToGrid w:val="0"/>
                    <w:spacing w:line="240" w:lineRule="auto"/>
                    <w:jc w:val="center"/>
                    <w:rPr>
                      <w:rFonts w:hint="default"/>
                      <w:b/>
                      <w:bCs/>
                      <w:color w:val="auto"/>
                      <w:sz w:val="21"/>
                      <w:lang w:val="en-US" w:eastAsia="zh-CN"/>
                    </w:rPr>
                  </w:pPr>
                  <w:r>
                    <w:rPr>
                      <w:rFonts w:hint="eastAsia"/>
                      <w:b/>
                      <w:bCs/>
                      <w:color w:val="auto"/>
                      <w:sz w:val="21"/>
                      <w:lang w:val="en-US" w:eastAsia="zh-CN"/>
                    </w:rPr>
                    <w:t>排放工序</w:t>
                  </w:r>
                </w:p>
              </w:tc>
              <w:tc>
                <w:tcPr>
                  <w:tcW w:w="1335" w:type="dxa"/>
                  <w:tcBorders>
                    <w:tl2br w:val="nil"/>
                    <w:tr2bl w:val="nil"/>
                  </w:tcBorders>
                  <w:vAlign w:val="center"/>
                </w:tcPr>
                <w:p>
                  <w:pPr>
                    <w:adjustRightInd w:val="0"/>
                    <w:snapToGrid w:val="0"/>
                    <w:spacing w:line="240" w:lineRule="auto"/>
                    <w:jc w:val="center"/>
                    <w:rPr>
                      <w:rFonts w:hint="default"/>
                      <w:b/>
                      <w:bCs/>
                      <w:color w:val="auto"/>
                      <w:sz w:val="21"/>
                      <w:lang w:val="en-US" w:eastAsia="zh-CN"/>
                    </w:rPr>
                  </w:pPr>
                  <w:r>
                    <w:rPr>
                      <w:rFonts w:hint="eastAsia"/>
                      <w:b/>
                      <w:bCs/>
                      <w:color w:val="auto"/>
                      <w:sz w:val="21"/>
                      <w:lang w:val="en-US" w:eastAsia="zh-CN"/>
                    </w:rPr>
                    <w:t>污染物项目</w:t>
                  </w:r>
                </w:p>
              </w:tc>
              <w:tc>
                <w:tcPr>
                  <w:tcW w:w="1087" w:type="dxa"/>
                  <w:tcBorders>
                    <w:tl2br w:val="nil"/>
                    <w:tr2bl w:val="nil"/>
                  </w:tcBorders>
                  <w:vAlign w:val="center"/>
                </w:tcPr>
                <w:p>
                  <w:pPr>
                    <w:adjustRightInd w:val="0"/>
                    <w:snapToGrid w:val="0"/>
                    <w:spacing w:line="240" w:lineRule="auto"/>
                    <w:jc w:val="center"/>
                    <w:rPr>
                      <w:b/>
                      <w:bCs/>
                      <w:color w:val="auto"/>
                      <w:sz w:val="21"/>
                    </w:rPr>
                  </w:pPr>
                  <w:r>
                    <w:rPr>
                      <w:b/>
                      <w:bCs/>
                      <w:color w:val="auto"/>
                      <w:sz w:val="21"/>
                    </w:rPr>
                    <w:t>最高允许排放浓度</w:t>
                  </w:r>
                </w:p>
                <w:p>
                  <w:pPr>
                    <w:adjustRightInd w:val="0"/>
                    <w:snapToGrid w:val="0"/>
                    <w:spacing w:line="240" w:lineRule="auto"/>
                    <w:jc w:val="center"/>
                    <w:rPr>
                      <w:rFonts w:hint="default"/>
                      <w:color w:val="auto"/>
                      <w:sz w:val="21"/>
                      <w:lang w:val="en-US" w:eastAsia="zh-CN"/>
                    </w:rPr>
                  </w:pPr>
                  <w:r>
                    <w:rPr>
                      <w:b/>
                      <w:bCs/>
                      <w:color w:val="auto"/>
                      <w:sz w:val="21"/>
                    </w:rPr>
                    <w:t>mg/m</w:t>
                  </w:r>
                  <w:r>
                    <w:rPr>
                      <w:b/>
                      <w:bCs/>
                      <w:color w:val="auto"/>
                      <w:sz w:val="21"/>
                      <w:vertAlign w:val="superscript"/>
                    </w:rPr>
                    <w:t>3</w:t>
                  </w:r>
                </w:p>
              </w:tc>
              <w:tc>
                <w:tcPr>
                  <w:tcW w:w="1163" w:type="dxa"/>
                  <w:tcBorders>
                    <w:tl2br w:val="nil"/>
                    <w:tr2bl w:val="nil"/>
                  </w:tcBorders>
                  <w:vAlign w:val="center"/>
                </w:tcPr>
                <w:p>
                  <w:pPr>
                    <w:pStyle w:val="23"/>
                    <w:spacing w:after="0"/>
                    <w:ind w:right="113" w:rightChars="0" w:firstLine="0" w:firstLineChars="0"/>
                    <w:jc w:val="center"/>
                    <w:rPr>
                      <w:rFonts w:hint="default"/>
                      <w:color w:val="auto"/>
                      <w:sz w:val="21"/>
                      <w:lang w:val="en-US" w:eastAsia="zh-CN"/>
                    </w:rPr>
                  </w:pPr>
                  <w:r>
                    <w:rPr>
                      <w:b/>
                      <w:bCs/>
                      <w:color w:val="auto"/>
                      <w:szCs w:val="21"/>
                    </w:rPr>
                    <w:t>最高允许排放速率kg/h</w:t>
                  </w:r>
                </w:p>
              </w:tc>
              <w:tc>
                <w:tcPr>
                  <w:tcW w:w="2106"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b/>
                      <w:bCs/>
                      <w:color w:val="auto"/>
                      <w:sz w:val="21"/>
                    </w:rPr>
                    <w:t>标准</w:t>
                  </w:r>
                  <w:r>
                    <w:rPr>
                      <w:rFonts w:hint="eastAsia"/>
                      <w:b/>
                      <w:bCs/>
                      <w:color w:val="auto"/>
                      <w:sz w:val="21"/>
                      <w:lang w:val="en-US" w:eastAsia="zh-CN"/>
                    </w:rPr>
                    <w:t>来源</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PrEx>
              <w:tc>
                <w:tcPr>
                  <w:tcW w:w="1048" w:type="dxa"/>
                  <w:vMerge w:val="restart"/>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DA001</w:t>
                  </w:r>
                </w:p>
              </w:tc>
              <w:tc>
                <w:tcPr>
                  <w:tcW w:w="1125" w:type="dxa"/>
                  <w:vMerge w:val="restart"/>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调胶、上胶、植绒、板刷胶合、灌胶、磨头</w:t>
                  </w:r>
                </w:p>
              </w:tc>
              <w:tc>
                <w:tcPr>
                  <w:tcW w:w="1335"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颗粒物</w:t>
                  </w:r>
                </w:p>
              </w:tc>
              <w:tc>
                <w:tcPr>
                  <w:tcW w:w="1087" w:type="dxa"/>
                  <w:tcBorders>
                    <w:tl2br w:val="nil"/>
                    <w:tr2bl w:val="nil"/>
                  </w:tcBorders>
                  <w:vAlign w:val="center"/>
                </w:tcPr>
                <w:p>
                  <w:pPr>
                    <w:pStyle w:val="23"/>
                    <w:spacing w:after="0"/>
                    <w:ind w:right="113" w:rightChars="0" w:firstLine="0" w:firstLineChars="0"/>
                    <w:jc w:val="center"/>
                    <w:rPr>
                      <w:rFonts w:hint="default" w:eastAsia="宋体"/>
                      <w:color w:val="auto"/>
                      <w:sz w:val="21"/>
                      <w:lang w:val="en-US" w:eastAsia="zh-CN"/>
                    </w:rPr>
                  </w:pPr>
                  <w:r>
                    <w:rPr>
                      <w:rFonts w:hint="eastAsia"/>
                      <w:color w:val="auto"/>
                      <w:szCs w:val="21"/>
                      <w:lang w:val="en-US" w:eastAsia="zh-CN"/>
                    </w:rPr>
                    <w:t>20</w:t>
                  </w:r>
                </w:p>
              </w:tc>
              <w:tc>
                <w:tcPr>
                  <w:tcW w:w="1163" w:type="dxa"/>
                  <w:tcBorders>
                    <w:tl2br w:val="nil"/>
                    <w:tr2bl w:val="nil"/>
                  </w:tcBorders>
                  <w:vAlign w:val="center"/>
                </w:tcPr>
                <w:p>
                  <w:pPr>
                    <w:pStyle w:val="23"/>
                    <w:spacing w:after="0"/>
                    <w:ind w:right="113" w:rightChars="0" w:firstLine="0" w:firstLineChars="0"/>
                    <w:jc w:val="center"/>
                    <w:rPr>
                      <w:rFonts w:hint="eastAsia" w:eastAsia="宋体"/>
                      <w:color w:val="auto"/>
                      <w:sz w:val="21"/>
                      <w:lang w:val="en-US" w:eastAsia="zh-CN"/>
                    </w:rPr>
                  </w:pPr>
                  <w:r>
                    <w:rPr>
                      <w:rFonts w:hint="eastAsia"/>
                      <w:color w:val="auto"/>
                      <w:szCs w:val="21"/>
                      <w:lang w:val="en-US" w:eastAsia="zh-CN"/>
                    </w:rPr>
                    <w:t>1</w:t>
                  </w:r>
                </w:p>
              </w:tc>
              <w:tc>
                <w:tcPr>
                  <w:tcW w:w="2106" w:type="dxa"/>
                  <w:vMerge w:val="restart"/>
                  <w:tcBorders>
                    <w:tl2br w:val="nil"/>
                    <w:tr2bl w:val="nil"/>
                  </w:tcBorders>
                  <w:vAlign w:val="center"/>
                </w:tcPr>
                <w:p>
                  <w:pPr>
                    <w:adjustRightInd w:val="0"/>
                    <w:snapToGrid w:val="0"/>
                    <w:spacing w:line="240" w:lineRule="auto"/>
                    <w:jc w:val="center"/>
                    <w:rPr>
                      <w:rFonts w:hint="eastAsia" w:eastAsia="宋体"/>
                      <w:color w:val="auto"/>
                      <w:sz w:val="21"/>
                      <w:lang w:val="en-US" w:eastAsia="zh-CN"/>
                    </w:rPr>
                  </w:pPr>
                  <w:r>
                    <w:rPr>
                      <w:rFonts w:hint="eastAsia"/>
                      <w:color w:val="auto"/>
                      <w:szCs w:val="21"/>
                    </w:rPr>
                    <w:t>《大气污染物综合排放标准》(DB32/</w:t>
                  </w:r>
                  <w:r>
                    <w:rPr>
                      <w:color w:val="auto"/>
                      <w:szCs w:val="21"/>
                    </w:rPr>
                    <w:t>4041</w:t>
                  </w:r>
                  <w:r>
                    <w:rPr>
                      <w:rFonts w:hint="eastAsia"/>
                      <w:color w:val="auto"/>
                      <w:szCs w:val="21"/>
                    </w:rPr>
                    <w:t>-</w:t>
                  </w:r>
                  <w:r>
                    <w:rPr>
                      <w:color w:val="auto"/>
                      <w:szCs w:val="21"/>
                    </w:rPr>
                    <w:t>2021</w:t>
                  </w:r>
                  <w:r>
                    <w:rPr>
                      <w:rFonts w:hint="eastAsia"/>
                      <w:color w:val="auto"/>
                      <w:szCs w:val="21"/>
                    </w:rPr>
                    <w:t>)</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PrEx>
              <w:tc>
                <w:tcPr>
                  <w:tcW w:w="1048" w:type="dxa"/>
                  <w:vMerge w:val="continue"/>
                  <w:tcBorders>
                    <w:tl2br w:val="nil"/>
                    <w:tr2bl w:val="nil"/>
                  </w:tcBorders>
                  <w:vAlign w:val="center"/>
                </w:tcPr>
                <w:p>
                  <w:pPr>
                    <w:adjustRightInd w:val="0"/>
                    <w:snapToGrid w:val="0"/>
                    <w:spacing w:line="240" w:lineRule="auto"/>
                    <w:jc w:val="center"/>
                    <w:rPr>
                      <w:rFonts w:hint="default"/>
                      <w:color w:val="auto"/>
                      <w:sz w:val="21"/>
                      <w:lang w:val="en-US" w:eastAsia="zh-CN"/>
                    </w:rPr>
                  </w:pPr>
                </w:p>
              </w:tc>
              <w:tc>
                <w:tcPr>
                  <w:tcW w:w="1125" w:type="dxa"/>
                  <w:vMerge w:val="continue"/>
                  <w:tcBorders>
                    <w:tl2br w:val="nil"/>
                    <w:tr2bl w:val="nil"/>
                  </w:tcBorders>
                  <w:vAlign w:val="center"/>
                </w:tcPr>
                <w:p>
                  <w:pPr>
                    <w:adjustRightInd w:val="0"/>
                    <w:snapToGrid w:val="0"/>
                    <w:spacing w:line="240" w:lineRule="auto"/>
                    <w:jc w:val="center"/>
                    <w:rPr>
                      <w:rFonts w:hint="default"/>
                      <w:color w:val="auto"/>
                      <w:sz w:val="21"/>
                      <w:lang w:val="en-US" w:eastAsia="zh-CN"/>
                    </w:rPr>
                  </w:pPr>
                </w:p>
              </w:tc>
              <w:tc>
                <w:tcPr>
                  <w:tcW w:w="1335"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非甲烷总烃</w:t>
                  </w:r>
                </w:p>
              </w:tc>
              <w:tc>
                <w:tcPr>
                  <w:tcW w:w="1087" w:type="dxa"/>
                  <w:tcBorders>
                    <w:tl2br w:val="nil"/>
                    <w:tr2bl w:val="nil"/>
                  </w:tcBorders>
                  <w:vAlign w:val="center"/>
                </w:tcPr>
                <w:p>
                  <w:pPr>
                    <w:pStyle w:val="23"/>
                    <w:spacing w:after="0"/>
                    <w:ind w:right="113" w:rightChars="0" w:firstLine="0" w:firstLineChars="0"/>
                    <w:jc w:val="center"/>
                    <w:rPr>
                      <w:rFonts w:hint="default"/>
                      <w:color w:val="auto"/>
                      <w:sz w:val="21"/>
                      <w:lang w:val="en-US" w:eastAsia="zh-CN"/>
                    </w:rPr>
                  </w:pPr>
                  <w:r>
                    <w:rPr>
                      <w:rFonts w:hint="eastAsia"/>
                      <w:color w:val="auto"/>
                      <w:szCs w:val="21"/>
                      <w:lang w:val="en-US" w:eastAsia="zh-CN"/>
                    </w:rPr>
                    <w:t>60</w:t>
                  </w:r>
                </w:p>
              </w:tc>
              <w:tc>
                <w:tcPr>
                  <w:tcW w:w="1163" w:type="dxa"/>
                  <w:tcBorders>
                    <w:tl2br w:val="nil"/>
                    <w:tr2bl w:val="nil"/>
                  </w:tcBorders>
                  <w:vAlign w:val="center"/>
                </w:tcPr>
                <w:p>
                  <w:pPr>
                    <w:pStyle w:val="23"/>
                    <w:spacing w:after="0"/>
                    <w:ind w:right="113" w:rightChars="0" w:firstLine="0" w:firstLineChars="0"/>
                    <w:jc w:val="center"/>
                    <w:rPr>
                      <w:rFonts w:hint="default"/>
                      <w:color w:val="auto"/>
                      <w:sz w:val="21"/>
                      <w:lang w:val="en-US" w:eastAsia="zh-CN"/>
                    </w:rPr>
                  </w:pPr>
                  <w:r>
                    <w:rPr>
                      <w:rFonts w:hint="eastAsia"/>
                      <w:color w:val="auto"/>
                      <w:szCs w:val="21"/>
                      <w:lang w:val="en-US" w:eastAsia="zh-CN"/>
                    </w:rPr>
                    <w:t>3</w:t>
                  </w:r>
                </w:p>
              </w:tc>
              <w:tc>
                <w:tcPr>
                  <w:tcW w:w="2106" w:type="dxa"/>
                  <w:vMerge w:val="continue"/>
                  <w:tcBorders>
                    <w:tl2br w:val="nil"/>
                    <w:tr2bl w:val="nil"/>
                  </w:tcBorders>
                  <w:vAlign w:val="center"/>
                </w:tcPr>
                <w:p>
                  <w:pPr>
                    <w:adjustRightInd w:val="0"/>
                    <w:snapToGrid w:val="0"/>
                    <w:spacing w:line="240" w:lineRule="auto"/>
                    <w:jc w:val="center"/>
                    <w:rPr>
                      <w:rFonts w:hint="default"/>
                      <w:color w:val="auto"/>
                      <w:sz w:val="21"/>
                      <w:lang w:val="en-US"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PrEx>
              <w:tc>
                <w:tcPr>
                  <w:tcW w:w="1048" w:type="dxa"/>
                  <w:vMerge w:val="continue"/>
                  <w:tcBorders>
                    <w:tl2br w:val="nil"/>
                    <w:tr2bl w:val="nil"/>
                  </w:tcBorders>
                  <w:vAlign w:val="center"/>
                </w:tcPr>
                <w:p>
                  <w:pPr>
                    <w:adjustRightInd w:val="0"/>
                    <w:snapToGrid w:val="0"/>
                    <w:spacing w:line="240" w:lineRule="auto"/>
                    <w:jc w:val="center"/>
                    <w:rPr>
                      <w:rFonts w:hint="default"/>
                      <w:color w:val="auto"/>
                      <w:sz w:val="21"/>
                      <w:lang w:val="en-US" w:eastAsia="zh-CN"/>
                    </w:rPr>
                  </w:pPr>
                </w:p>
              </w:tc>
              <w:tc>
                <w:tcPr>
                  <w:tcW w:w="1125" w:type="dxa"/>
                  <w:vMerge w:val="continue"/>
                  <w:tcBorders>
                    <w:tl2br w:val="nil"/>
                    <w:tr2bl w:val="nil"/>
                  </w:tcBorders>
                  <w:vAlign w:val="center"/>
                </w:tcPr>
                <w:p>
                  <w:pPr>
                    <w:adjustRightInd w:val="0"/>
                    <w:snapToGrid w:val="0"/>
                    <w:spacing w:line="240" w:lineRule="auto"/>
                    <w:jc w:val="center"/>
                    <w:rPr>
                      <w:rFonts w:hint="default"/>
                      <w:color w:val="auto"/>
                      <w:sz w:val="21"/>
                      <w:lang w:val="en-US" w:eastAsia="zh-CN"/>
                    </w:rPr>
                  </w:pPr>
                </w:p>
              </w:tc>
              <w:tc>
                <w:tcPr>
                  <w:tcW w:w="1335"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MDI</w:t>
                  </w:r>
                </w:p>
              </w:tc>
              <w:tc>
                <w:tcPr>
                  <w:tcW w:w="1087" w:type="dxa"/>
                  <w:tcBorders>
                    <w:tl2br w:val="nil"/>
                    <w:tr2bl w:val="nil"/>
                  </w:tcBorders>
                  <w:vAlign w:val="center"/>
                </w:tcPr>
                <w:p>
                  <w:pPr>
                    <w:pStyle w:val="23"/>
                    <w:spacing w:after="0"/>
                    <w:ind w:right="113" w:rightChars="0" w:firstLine="0" w:firstLineChars="0"/>
                    <w:jc w:val="center"/>
                    <w:rPr>
                      <w:rFonts w:hint="default"/>
                      <w:color w:val="auto"/>
                      <w:szCs w:val="21"/>
                      <w:lang w:val="en-US" w:eastAsia="zh-CN"/>
                    </w:rPr>
                  </w:pPr>
                  <w:r>
                    <w:rPr>
                      <w:rFonts w:hint="eastAsia"/>
                      <w:color w:val="auto"/>
                      <w:szCs w:val="21"/>
                      <w:lang w:val="en-US" w:eastAsia="zh-CN"/>
                    </w:rPr>
                    <w:t>1</w:t>
                  </w:r>
                </w:p>
              </w:tc>
              <w:tc>
                <w:tcPr>
                  <w:tcW w:w="1163" w:type="dxa"/>
                  <w:tcBorders>
                    <w:tl2br w:val="nil"/>
                    <w:tr2bl w:val="nil"/>
                  </w:tcBorders>
                  <w:vAlign w:val="center"/>
                </w:tcPr>
                <w:p>
                  <w:pPr>
                    <w:pStyle w:val="23"/>
                    <w:spacing w:after="0"/>
                    <w:ind w:right="113" w:rightChars="0" w:firstLine="0" w:firstLineChars="0"/>
                    <w:jc w:val="center"/>
                    <w:rPr>
                      <w:rFonts w:hint="default"/>
                      <w:color w:val="auto"/>
                      <w:szCs w:val="21"/>
                      <w:lang w:val="en-US" w:eastAsia="zh-CN"/>
                    </w:rPr>
                  </w:pPr>
                  <w:r>
                    <w:rPr>
                      <w:rFonts w:hint="eastAsia"/>
                      <w:color w:val="auto"/>
                      <w:szCs w:val="21"/>
                      <w:lang w:val="en-US" w:eastAsia="zh-CN"/>
                    </w:rPr>
                    <w:t>/</w:t>
                  </w:r>
                </w:p>
              </w:tc>
              <w:tc>
                <w:tcPr>
                  <w:tcW w:w="2106"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Cs w:val="21"/>
                    </w:rPr>
                    <w:t>《</w:t>
                  </w:r>
                  <w:r>
                    <w:rPr>
                      <w:rFonts w:hint="eastAsia"/>
                      <w:color w:val="auto"/>
                      <w:szCs w:val="21"/>
                      <w:lang w:eastAsia="zh-CN"/>
                    </w:rPr>
                    <w:t>合成树脂工业污染物排放标准</w:t>
                  </w:r>
                  <w:r>
                    <w:rPr>
                      <w:rFonts w:hint="eastAsia"/>
                      <w:color w:val="auto"/>
                      <w:szCs w:val="21"/>
                    </w:rPr>
                    <w:t>》（GB31572-2015）</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PrEx>
              <w:tc>
                <w:tcPr>
                  <w:tcW w:w="1048"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DA002</w:t>
                  </w:r>
                </w:p>
              </w:tc>
              <w:tc>
                <w:tcPr>
                  <w:tcW w:w="1125"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 w:val="21"/>
                      <w:lang w:val="en-US" w:eastAsia="zh-CN"/>
                    </w:rPr>
                    <w:t>注塑、浸漆</w:t>
                  </w:r>
                </w:p>
              </w:tc>
              <w:tc>
                <w:tcPr>
                  <w:tcW w:w="1335" w:type="dxa"/>
                  <w:tcBorders>
                    <w:tl2br w:val="nil"/>
                    <w:tr2bl w:val="nil"/>
                  </w:tcBorders>
                  <w:vAlign w:val="center"/>
                </w:tcPr>
                <w:p>
                  <w:pPr>
                    <w:adjustRightInd w:val="0"/>
                    <w:snapToGrid w:val="0"/>
                    <w:spacing w:line="240" w:lineRule="auto"/>
                    <w:jc w:val="center"/>
                    <w:rPr>
                      <w:rFonts w:hint="eastAsia"/>
                      <w:color w:val="auto"/>
                      <w:sz w:val="21"/>
                      <w:lang w:val="en-US" w:eastAsia="zh-CN"/>
                    </w:rPr>
                  </w:pPr>
                  <w:r>
                    <w:rPr>
                      <w:rFonts w:hint="eastAsia"/>
                      <w:color w:val="auto"/>
                      <w:sz w:val="21"/>
                      <w:lang w:val="en-US" w:eastAsia="zh-CN"/>
                    </w:rPr>
                    <w:t>非甲烷总烃</w:t>
                  </w:r>
                </w:p>
              </w:tc>
              <w:tc>
                <w:tcPr>
                  <w:tcW w:w="1087" w:type="dxa"/>
                  <w:tcBorders>
                    <w:tl2br w:val="nil"/>
                    <w:tr2bl w:val="nil"/>
                  </w:tcBorders>
                  <w:vAlign w:val="center"/>
                </w:tcPr>
                <w:p>
                  <w:pPr>
                    <w:pStyle w:val="23"/>
                    <w:spacing w:after="0"/>
                    <w:ind w:right="113" w:rightChars="0" w:firstLine="0" w:firstLineChars="0"/>
                    <w:jc w:val="center"/>
                    <w:rPr>
                      <w:rFonts w:hint="eastAsia"/>
                      <w:color w:val="auto"/>
                      <w:szCs w:val="21"/>
                      <w:lang w:val="en-US" w:eastAsia="zh-CN"/>
                    </w:rPr>
                  </w:pPr>
                  <w:r>
                    <w:rPr>
                      <w:rFonts w:hint="eastAsia"/>
                      <w:color w:val="auto"/>
                      <w:szCs w:val="21"/>
                      <w:lang w:val="en-US" w:eastAsia="zh-CN"/>
                    </w:rPr>
                    <w:t>50</w:t>
                  </w:r>
                </w:p>
              </w:tc>
              <w:tc>
                <w:tcPr>
                  <w:tcW w:w="1163" w:type="dxa"/>
                  <w:tcBorders>
                    <w:tl2br w:val="nil"/>
                    <w:tr2bl w:val="nil"/>
                  </w:tcBorders>
                  <w:vAlign w:val="center"/>
                </w:tcPr>
                <w:p>
                  <w:pPr>
                    <w:pStyle w:val="23"/>
                    <w:spacing w:after="0"/>
                    <w:ind w:right="113" w:rightChars="0" w:firstLine="0" w:firstLineChars="0"/>
                    <w:jc w:val="center"/>
                    <w:rPr>
                      <w:rFonts w:hint="eastAsia"/>
                      <w:color w:val="auto"/>
                      <w:szCs w:val="21"/>
                      <w:lang w:val="en-US" w:eastAsia="zh-CN"/>
                    </w:rPr>
                  </w:pPr>
                  <w:r>
                    <w:rPr>
                      <w:rFonts w:hint="eastAsia"/>
                      <w:color w:val="auto"/>
                      <w:szCs w:val="21"/>
                      <w:lang w:val="en-US" w:eastAsia="zh-CN"/>
                    </w:rPr>
                    <w:t>2.0</w:t>
                  </w:r>
                </w:p>
              </w:tc>
              <w:tc>
                <w:tcPr>
                  <w:tcW w:w="2106" w:type="dxa"/>
                  <w:tcBorders>
                    <w:tl2br w:val="nil"/>
                    <w:tr2bl w:val="nil"/>
                  </w:tcBorders>
                  <w:vAlign w:val="center"/>
                </w:tcPr>
                <w:p>
                  <w:pPr>
                    <w:adjustRightInd w:val="0"/>
                    <w:snapToGrid w:val="0"/>
                    <w:spacing w:line="240" w:lineRule="auto"/>
                    <w:jc w:val="center"/>
                    <w:rPr>
                      <w:rFonts w:hint="default"/>
                      <w:color w:val="auto"/>
                      <w:sz w:val="21"/>
                      <w:lang w:val="en-US" w:eastAsia="zh-CN"/>
                    </w:rPr>
                  </w:pPr>
                  <w:r>
                    <w:rPr>
                      <w:rFonts w:hint="eastAsia"/>
                      <w:color w:val="auto"/>
                      <w:szCs w:val="21"/>
                      <w:lang w:val="en-US" w:eastAsia="zh-CN"/>
                    </w:rPr>
                    <w:t>《工业涂装工序大气污染物排放标准》（DB32/4439-2022）</w:t>
                  </w:r>
                </w:p>
              </w:tc>
            </w:tr>
          </w:tbl>
          <w:p>
            <w:pPr>
              <w:jc w:val="center"/>
              <w:rPr>
                <w:rFonts w:hint="default" w:ascii="Times New Roman" w:hAnsi="Times New Roman" w:cs="Times New Roman"/>
                <w:b/>
                <w:bCs/>
                <w:color w:val="auto"/>
                <w:sz w:val="24"/>
                <w:szCs w:val="32"/>
                <w:highlight w:val="none"/>
                <w:lang w:val="en-US" w:eastAsia="zh-CN"/>
              </w:rPr>
            </w:pP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表3-</w:t>
            </w:r>
            <w:r>
              <w:rPr>
                <w:rFonts w:hint="eastAsia" w:ascii="Times New Roman" w:hAnsi="Times New Roman" w:cs="Times New Roman"/>
                <w:b/>
                <w:bCs/>
                <w:color w:val="auto"/>
                <w:sz w:val="24"/>
                <w:szCs w:val="32"/>
                <w:highlight w:val="none"/>
                <w:lang w:val="en-US" w:eastAsia="zh-CN"/>
              </w:rPr>
              <w:t>4</w:t>
            </w:r>
            <w:r>
              <w:rPr>
                <w:rFonts w:hint="default" w:ascii="Times New Roman" w:hAnsi="Times New Roman" w:cs="Times New Roman"/>
                <w:b/>
                <w:bCs/>
                <w:color w:val="auto"/>
                <w:sz w:val="24"/>
                <w:szCs w:val="32"/>
                <w:highlight w:val="none"/>
                <w:lang w:val="en-US" w:eastAsia="zh-CN"/>
              </w:rPr>
              <w:t>厂区内挥发性有机物排放标准</w:t>
            </w:r>
          </w:p>
          <w:tbl>
            <w:tblPr>
              <w:tblStyle w:val="25"/>
              <w:tblW w:w="7873"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48"/>
              <w:gridCol w:w="916"/>
              <w:gridCol w:w="2431"/>
              <w:gridCol w:w="1234"/>
              <w:gridCol w:w="234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blHeader/>
                <w:jc w:val="center"/>
              </w:trPr>
              <w:tc>
                <w:tcPr>
                  <w:tcW w:w="948"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废气</w:t>
                  </w:r>
                </w:p>
              </w:tc>
              <w:tc>
                <w:tcPr>
                  <w:tcW w:w="4581" w:type="dxa"/>
                  <w:gridSpan w:val="3"/>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无组织排放监控浓度限值</w:t>
                  </w:r>
                </w:p>
              </w:tc>
              <w:tc>
                <w:tcPr>
                  <w:tcW w:w="2344"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执行标准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blHeader/>
                <w:jc w:val="center"/>
              </w:trPr>
              <w:tc>
                <w:tcPr>
                  <w:tcW w:w="948"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p>
              </w:tc>
              <w:tc>
                <w:tcPr>
                  <w:tcW w:w="3347" w:type="dxa"/>
                  <w:gridSpan w:val="2"/>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监控点</w:t>
                  </w:r>
                </w:p>
              </w:tc>
              <w:tc>
                <w:tcPr>
                  <w:tcW w:w="1234"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浓度（mg/m</w:t>
                  </w:r>
                  <w:r>
                    <w:rPr>
                      <w:rFonts w:hint="default" w:ascii="Times New Roman" w:hAnsi="Times New Roman" w:eastAsia="宋体" w:cs="Times New Roman"/>
                      <w:color w:val="auto"/>
                      <w:sz w:val="21"/>
                      <w:vertAlign w:val="superscript"/>
                      <w:lang w:val="en-US" w:eastAsia="zh-CN"/>
                    </w:rPr>
                    <w:t>3</w:t>
                  </w:r>
                  <w:r>
                    <w:rPr>
                      <w:rFonts w:hint="default" w:ascii="Times New Roman" w:hAnsi="Times New Roman" w:eastAsia="宋体" w:cs="Times New Roman"/>
                      <w:color w:val="auto"/>
                      <w:sz w:val="21"/>
                      <w:lang w:val="en-US" w:eastAsia="zh-CN"/>
                    </w:rPr>
                    <w:t>）</w:t>
                  </w:r>
                </w:p>
              </w:tc>
              <w:tc>
                <w:tcPr>
                  <w:tcW w:w="2344"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5" w:hRule="atLeast"/>
                <w:tblHeader/>
                <w:jc w:val="center"/>
              </w:trPr>
              <w:tc>
                <w:tcPr>
                  <w:tcW w:w="948"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非甲烷总烃</w:t>
                  </w:r>
                </w:p>
              </w:tc>
              <w:tc>
                <w:tcPr>
                  <w:tcW w:w="916"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在厂房外设置监控点</w:t>
                  </w:r>
                </w:p>
              </w:tc>
              <w:tc>
                <w:tcPr>
                  <w:tcW w:w="243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监控点处1h平均浓度值</w:t>
                  </w:r>
                </w:p>
              </w:tc>
              <w:tc>
                <w:tcPr>
                  <w:tcW w:w="1234"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6</w:t>
                  </w:r>
                </w:p>
              </w:tc>
              <w:tc>
                <w:tcPr>
                  <w:tcW w:w="2344"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trHeight w:val="200" w:hRule="atLeast"/>
                <w:tblHeader/>
                <w:jc w:val="center"/>
              </w:trPr>
              <w:tc>
                <w:tcPr>
                  <w:tcW w:w="948"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p>
              </w:tc>
              <w:tc>
                <w:tcPr>
                  <w:tcW w:w="916"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p>
              </w:tc>
              <w:tc>
                <w:tcPr>
                  <w:tcW w:w="243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监控点处任意一次浓度值</w:t>
                  </w:r>
                </w:p>
              </w:tc>
              <w:tc>
                <w:tcPr>
                  <w:tcW w:w="1234"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20</w:t>
                  </w:r>
                </w:p>
              </w:tc>
              <w:tc>
                <w:tcPr>
                  <w:tcW w:w="2344"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trHeight w:val="200" w:hRule="atLeast"/>
                <w:tblHeader/>
                <w:jc w:val="center"/>
              </w:trPr>
              <w:tc>
                <w:tcPr>
                  <w:tcW w:w="7873" w:type="dxa"/>
                  <w:gridSpan w:val="5"/>
                  <w:tcBorders>
                    <w:tl2br w:val="nil"/>
                    <w:tr2bl w:val="nil"/>
                  </w:tcBorders>
                  <w:vAlign w:val="center"/>
                </w:tcPr>
                <w:p>
                  <w:pPr>
                    <w:adjustRightInd w:val="0"/>
                    <w:snapToGrid w:val="0"/>
                    <w:spacing w:line="240" w:lineRule="auto"/>
                    <w:jc w:val="both"/>
                    <w:rPr>
                      <w:rFonts w:hint="default" w:ascii="Times New Roman" w:hAnsi="Times New Roman" w:eastAsia="宋体" w:cs="Times New Roman"/>
                      <w:color w:val="auto"/>
                      <w:sz w:val="21"/>
                      <w:lang w:val="en-US" w:eastAsia="zh-CN"/>
                    </w:rPr>
                  </w:pPr>
                  <w:r>
                    <w:rPr>
                      <w:rFonts w:hint="eastAsia" w:cs="Times New Roman"/>
                      <w:color w:val="auto"/>
                      <w:sz w:val="18"/>
                      <w:szCs w:val="21"/>
                      <w:lang w:val="en-US" w:eastAsia="zh-CN"/>
                    </w:rPr>
                    <w:t>注：数值与《工业涂装工序大气污染物排放标准》（DB32/4439-2022）相同。</w:t>
                  </w:r>
                </w:p>
              </w:tc>
            </w:tr>
          </w:tbl>
          <w:p>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2、</w:t>
            </w:r>
            <w:r>
              <w:rPr>
                <w:rFonts w:hint="default" w:ascii="Times New Roman" w:hAnsi="Times New Roman" w:cs="Times New Roman"/>
                <w:b/>
                <w:color w:val="auto"/>
                <w:sz w:val="24"/>
                <w:szCs w:val="24"/>
                <w:highlight w:val="none"/>
              </w:rPr>
              <w:t>水污染物排放标准</w:t>
            </w:r>
          </w:p>
          <w:p>
            <w:pPr>
              <w:snapToGrid w:val="0"/>
              <w:spacing w:line="360" w:lineRule="auto"/>
              <w:ind w:firstLine="480" w:firstLineChars="200"/>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color w:val="auto"/>
                <w:sz w:val="24"/>
                <w:szCs w:val="24"/>
                <w:highlight w:val="none"/>
              </w:rPr>
              <w:t>本项目排水采用“雨污分流”制，雨水由雨水管道收集排入</w:t>
            </w:r>
            <w:r>
              <w:rPr>
                <w:rFonts w:hint="eastAsia" w:cs="Times New Roman"/>
                <w:color w:val="auto"/>
                <w:sz w:val="24"/>
                <w:szCs w:val="24"/>
                <w:highlight w:val="none"/>
                <w:lang w:val="en-US" w:eastAsia="zh-CN"/>
              </w:rPr>
              <w:t>市政雨水管网，</w:t>
            </w:r>
            <w:r>
              <w:rPr>
                <w:rFonts w:hint="default" w:ascii="Times New Roman" w:hAnsi="Times New Roman" w:cs="Times New Roman"/>
                <w:color w:val="auto"/>
                <w:sz w:val="24"/>
                <w:szCs w:val="24"/>
                <w:highlight w:val="none"/>
              </w:rPr>
              <w:t>生活污水经化粪池预处理</w:t>
            </w:r>
            <w:r>
              <w:rPr>
                <w:rFonts w:hint="eastAsia" w:cs="Times New Roman"/>
                <w:color w:val="auto"/>
                <w:sz w:val="24"/>
                <w:szCs w:val="24"/>
                <w:highlight w:val="none"/>
                <w:lang w:eastAsia="zh-CN"/>
              </w:rPr>
              <w:t>，</w:t>
            </w:r>
            <w:r>
              <w:rPr>
                <w:rFonts w:hint="default" w:ascii="Times New Roman" w:hAnsi="Times New Roman" w:cs="Times New Roman"/>
                <w:color w:val="auto"/>
                <w:sz w:val="24"/>
                <w:szCs w:val="24"/>
                <w:highlight w:val="none"/>
              </w:rPr>
              <w:t>达</w:t>
            </w:r>
            <w:r>
              <w:rPr>
                <w:rFonts w:hint="eastAsia" w:ascii="Times New Roman" w:hAnsi="Times New Roman" w:cs="Times New Roman"/>
                <w:color w:val="auto"/>
                <w:sz w:val="24"/>
                <w:szCs w:val="24"/>
                <w:highlight w:val="none"/>
                <w:lang w:eastAsia="zh-CN"/>
              </w:rPr>
              <w:t>污水处理厂</w:t>
            </w:r>
            <w:r>
              <w:rPr>
                <w:rFonts w:hint="default" w:ascii="Times New Roman" w:hAnsi="Times New Roman" w:cs="Times New Roman"/>
                <w:color w:val="auto"/>
                <w:sz w:val="24"/>
                <w:szCs w:val="24"/>
                <w:highlight w:val="none"/>
              </w:rPr>
              <w:t>接管要求</w:t>
            </w:r>
            <w:r>
              <w:rPr>
                <w:rFonts w:hint="eastAsia" w:cs="Times New Roman"/>
                <w:color w:val="auto"/>
                <w:sz w:val="24"/>
                <w:szCs w:val="24"/>
                <w:highlight w:val="none"/>
                <w:lang w:val="en-US" w:eastAsia="zh-CN"/>
              </w:rPr>
              <w:t>后</w:t>
            </w:r>
            <w:r>
              <w:rPr>
                <w:rFonts w:hint="default" w:ascii="Times New Roman" w:hAnsi="Times New Roman" w:cs="Times New Roman"/>
                <w:color w:val="auto"/>
                <w:sz w:val="24"/>
                <w:szCs w:val="24"/>
                <w:highlight w:val="none"/>
              </w:rPr>
              <w:t>排入</w:t>
            </w:r>
            <w:r>
              <w:rPr>
                <w:rFonts w:hint="eastAsia" w:cs="Times New Roman"/>
                <w:color w:val="auto"/>
                <w:sz w:val="24"/>
                <w:szCs w:val="24"/>
                <w:highlight w:val="none"/>
                <w:lang w:eastAsia="zh-CN"/>
              </w:rPr>
              <w:t>如皋恒发水处理有限公司</w:t>
            </w:r>
            <w:r>
              <w:rPr>
                <w:rFonts w:hint="default" w:ascii="Times New Roman" w:hAnsi="Times New Roman" w:cs="Times New Roman"/>
                <w:color w:val="auto"/>
                <w:sz w:val="24"/>
                <w:szCs w:val="24"/>
                <w:highlight w:val="none"/>
              </w:rPr>
              <w:t>深度处理。</w:t>
            </w:r>
            <w:r>
              <w:rPr>
                <w:rFonts w:hint="default" w:ascii="Times New Roman" w:hAnsi="Times New Roman" w:cs="Times New Roman"/>
                <w:color w:val="auto"/>
                <w:sz w:val="24"/>
                <w:szCs w:val="32"/>
                <w:highlight w:val="none"/>
              </w:rPr>
              <w:t>本项目废水排放接管标准执行《污水综合排放标准》</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GB8978-1996</w:t>
            </w:r>
            <w:r>
              <w:rPr>
                <w:rFonts w:hint="eastAsia" w:cs="Times New Roman"/>
                <w:color w:val="auto"/>
                <w:sz w:val="24"/>
                <w:szCs w:val="32"/>
                <w:highlight w:val="none"/>
                <w:lang w:eastAsia="zh-CN"/>
              </w:rPr>
              <w:t>）</w:t>
            </w:r>
            <w:r>
              <w:rPr>
                <w:rFonts w:hint="default" w:ascii="Times New Roman" w:hAnsi="Times New Roman" w:cs="Times New Roman"/>
                <w:color w:val="auto"/>
                <w:sz w:val="24"/>
                <w:szCs w:val="32"/>
                <w:highlight w:val="none"/>
              </w:rPr>
              <w:t>表4三级标准及相关参照标准，</w:t>
            </w:r>
            <w:r>
              <w:rPr>
                <w:rFonts w:hint="eastAsia" w:ascii="Times New Roman" w:hAnsi="Times New Roman" w:cs="Times New Roman"/>
                <w:color w:val="auto"/>
                <w:sz w:val="24"/>
                <w:szCs w:val="32"/>
                <w:highlight w:val="none"/>
                <w:lang w:eastAsia="zh-CN"/>
              </w:rPr>
              <w:t>污水处理厂</w:t>
            </w:r>
            <w:r>
              <w:rPr>
                <w:rFonts w:hint="default" w:ascii="Times New Roman" w:hAnsi="Times New Roman" w:cs="Times New Roman"/>
                <w:color w:val="auto"/>
                <w:sz w:val="24"/>
                <w:szCs w:val="32"/>
                <w:highlight w:val="none"/>
              </w:rPr>
              <w:t>尾水排放执行《城镇污水处理厂污染物排放标准》（GB18918-2002）一级A标准，</w:t>
            </w:r>
            <w:r>
              <w:rPr>
                <w:rFonts w:hint="eastAsia"/>
                <w:color w:val="auto"/>
                <w:kern w:val="0"/>
                <w:sz w:val="24"/>
                <w:szCs w:val="24"/>
              </w:rPr>
              <w:t>2026年3月28日以后执行《城镇污水处理厂污染物排放标准》（DB32 4440-2022）表1中C标准</w:t>
            </w:r>
            <w:r>
              <w:rPr>
                <w:rFonts w:hint="default" w:ascii="Times New Roman" w:hAnsi="Times New Roman" w:cs="Times New Roman"/>
                <w:color w:val="auto"/>
                <w:sz w:val="24"/>
                <w:szCs w:val="32"/>
                <w:highlight w:val="none"/>
              </w:rPr>
              <w:t>具体标准见表3-</w:t>
            </w:r>
            <w:r>
              <w:rPr>
                <w:rFonts w:hint="eastAsia" w:cs="Times New Roman"/>
                <w:color w:val="auto"/>
                <w:sz w:val="24"/>
                <w:szCs w:val="32"/>
                <w:highlight w:val="none"/>
                <w:lang w:val="en-US" w:eastAsia="zh-CN"/>
              </w:rPr>
              <w:t>5</w:t>
            </w:r>
            <w:r>
              <w:rPr>
                <w:rFonts w:hint="default" w:ascii="Times New Roman" w:hAnsi="Times New Roman" w:cs="Times New Roman"/>
                <w:color w:val="auto"/>
                <w:sz w:val="24"/>
                <w:szCs w:val="32"/>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表3-</w:t>
            </w:r>
            <w:r>
              <w:rPr>
                <w:rFonts w:hint="eastAsia" w:ascii="Times New Roman" w:hAnsi="Times New Roman" w:cs="Times New Roman"/>
                <w:b/>
                <w:bCs/>
                <w:color w:val="auto"/>
                <w:sz w:val="24"/>
                <w:szCs w:val="32"/>
                <w:highlight w:val="none"/>
                <w:lang w:val="en-US" w:eastAsia="zh-CN"/>
              </w:rPr>
              <w:t>5</w:t>
            </w:r>
            <w:r>
              <w:rPr>
                <w:rFonts w:hint="default" w:ascii="Times New Roman" w:hAnsi="Times New Roman" w:cs="Times New Roman"/>
                <w:b/>
                <w:bCs/>
                <w:color w:val="auto"/>
                <w:sz w:val="24"/>
                <w:szCs w:val="32"/>
                <w:highlight w:val="none"/>
                <w:lang w:val="en-US" w:eastAsia="zh-CN"/>
              </w:rPr>
              <w:t>污水处理厂进出水水质标准（单位：mg/L，pH无量纲）</w:t>
            </w:r>
          </w:p>
          <w:tbl>
            <w:tblPr>
              <w:tblStyle w:val="25"/>
              <w:tblW w:w="784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14"/>
              <w:gridCol w:w="671"/>
              <w:gridCol w:w="1286"/>
              <w:gridCol w:w="1965"/>
              <w:gridCol w:w="1515"/>
              <w:gridCol w:w="14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项目</w:t>
                  </w:r>
                </w:p>
              </w:tc>
              <w:tc>
                <w:tcPr>
                  <w:tcW w:w="671"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单位</w:t>
                  </w:r>
                </w:p>
              </w:tc>
              <w:tc>
                <w:tcPr>
                  <w:tcW w:w="6263" w:type="dxa"/>
                  <w:gridSpan w:val="4"/>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指标值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671"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1286"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r>
                    <w:rPr>
                      <w:rFonts w:hint="eastAsia" w:ascii="Times New Roman" w:hAnsi="Times New Roman" w:eastAsia="宋体" w:cs="Times New Roman"/>
                      <w:b/>
                      <w:bCs/>
                      <w:color w:val="auto"/>
                      <w:sz w:val="21"/>
                      <w:lang w:val="en-US" w:eastAsia="zh-CN"/>
                    </w:rPr>
                    <w:t>污水处理厂</w:t>
                  </w:r>
                  <w:r>
                    <w:rPr>
                      <w:rFonts w:hint="default" w:ascii="Times New Roman" w:hAnsi="Times New Roman" w:eastAsia="宋体" w:cs="Times New Roman"/>
                      <w:b/>
                      <w:bCs/>
                      <w:color w:val="auto"/>
                      <w:sz w:val="21"/>
                      <w:lang w:val="en-US" w:eastAsia="zh-CN"/>
                    </w:rPr>
                    <w:t>接管要求</w:t>
                  </w:r>
                </w:p>
              </w:tc>
              <w:tc>
                <w:tcPr>
                  <w:tcW w:w="1965"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r>
                    <w:rPr>
                      <w:rFonts w:hint="default" w:ascii="Times New Roman" w:hAnsi="Times New Roman" w:eastAsia="宋体" w:cs="Times New Roman"/>
                      <w:b/>
                      <w:bCs/>
                      <w:color w:val="auto"/>
                      <w:sz w:val="21"/>
                      <w:lang w:val="en-US" w:eastAsia="zh-CN"/>
                    </w:rPr>
                    <w:t>《城镇污水处理厂污染物排放标准》（GB18918-2002）一级A标准</w:t>
                  </w:r>
                </w:p>
              </w:tc>
              <w:tc>
                <w:tcPr>
                  <w:tcW w:w="3012" w:type="dxa"/>
                  <w:gridSpan w:val="2"/>
                  <w:tcBorders>
                    <w:tl2br w:val="nil"/>
                    <w:tr2bl w:val="nil"/>
                  </w:tcBorders>
                  <w:vAlign w:val="center"/>
                </w:tcPr>
                <w:p>
                  <w:pPr>
                    <w:adjustRightInd w:val="0"/>
                    <w:snapToGrid w:val="0"/>
                    <w:spacing w:line="240" w:lineRule="auto"/>
                    <w:jc w:val="center"/>
                    <w:rPr>
                      <w:b/>
                      <w:bCs/>
                      <w:color w:val="auto"/>
                    </w:rPr>
                  </w:pPr>
                  <w:r>
                    <w:rPr>
                      <w:rFonts w:hint="eastAsia"/>
                      <w:b/>
                      <w:bCs/>
                      <w:color w:val="auto"/>
                    </w:rPr>
                    <w:t>《城镇污水处理厂污染物排放标准》（DB32 4440-2022）表1中C标准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671"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1286"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1965" w:type="dxa"/>
                  <w:vMerge w:val="continue"/>
                  <w:tcBorders>
                    <w:tl2br w:val="nil"/>
                    <w:tr2bl w:val="nil"/>
                  </w:tcBorders>
                  <w:vAlign w:val="center"/>
                </w:tcPr>
                <w:p>
                  <w:pPr>
                    <w:adjustRightInd w:val="0"/>
                    <w:snapToGrid w:val="0"/>
                    <w:spacing w:line="240" w:lineRule="auto"/>
                    <w:jc w:val="center"/>
                    <w:rPr>
                      <w:rFonts w:hint="default" w:ascii="Times New Roman" w:hAnsi="Times New Roman" w:eastAsia="宋体" w:cs="Times New Roman"/>
                      <w:b/>
                      <w:bCs/>
                      <w:color w:val="auto"/>
                      <w:sz w:val="21"/>
                      <w:lang w:val="en-US" w:eastAsia="zh-CN"/>
                    </w:rPr>
                  </w:pP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b/>
                      <w:bCs/>
                      <w:color w:val="auto"/>
                      <w:sz w:val="21"/>
                      <w:lang w:val="en-US" w:eastAsia="zh-CN"/>
                    </w:rPr>
                  </w:pPr>
                  <w:r>
                    <w:rPr>
                      <w:rFonts w:hint="eastAsia"/>
                      <w:b/>
                      <w:bCs/>
                      <w:color w:val="auto"/>
                      <w:lang w:val="en-US" w:eastAsia="zh-CN"/>
                    </w:rPr>
                    <w:t>日均排放限值</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b/>
                      <w:bCs/>
                      <w:color w:val="auto"/>
                      <w:sz w:val="21"/>
                      <w:lang w:val="en-US" w:eastAsia="zh-CN"/>
                    </w:rPr>
                  </w:pPr>
                  <w:r>
                    <w:rPr>
                      <w:rFonts w:hint="eastAsia"/>
                      <w:b/>
                      <w:bCs/>
                      <w:color w:val="auto"/>
                      <w:lang w:val="en-US" w:eastAsia="zh-CN"/>
                    </w:rPr>
                    <w:t>一次监测排放限值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pH</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无量纲</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6~9</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6~9</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6~9</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COD</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mg/L</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500</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50</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50</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75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SS</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mg/L</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400</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10</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10</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NH</w:t>
                  </w:r>
                  <w:r>
                    <w:rPr>
                      <w:color w:val="auto"/>
                      <w:vertAlign w:val="subscript"/>
                    </w:rPr>
                    <w:t>3</w:t>
                  </w:r>
                  <w:r>
                    <w:rPr>
                      <w:color w:val="auto"/>
                    </w:rPr>
                    <w:t>-N</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mg/L</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45</w:t>
                  </w:r>
                  <w:r>
                    <w:rPr>
                      <w:color w:val="auto"/>
                      <w:vertAlign w:val="superscript"/>
                    </w:rPr>
                    <w:t>①</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5（8）</w:t>
                  </w:r>
                  <w:r>
                    <w:rPr>
                      <w:color w:val="auto"/>
                      <w:vertAlign w:val="superscript"/>
                    </w:rPr>
                    <w:t>②</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4</w:t>
                  </w:r>
                  <w:r>
                    <w:rPr>
                      <w:color w:val="auto"/>
                    </w:rPr>
                    <w:t>（</w:t>
                  </w:r>
                  <w:r>
                    <w:rPr>
                      <w:rFonts w:hint="eastAsia"/>
                      <w:color w:val="auto"/>
                      <w:lang w:val="en-US" w:eastAsia="zh-CN"/>
                    </w:rPr>
                    <w:t>6</w:t>
                  </w:r>
                  <w:r>
                    <w:rPr>
                      <w:color w:val="auto"/>
                    </w:rPr>
                    <w:t>）</w:t>
                  </w:r>
                  <w:r>
                    <w:rPr>
                      <w:rFonts w:hint="default"/>
                      <w:b w:val="0"/>
                      <w:color w:val="auto"/>
                      <w:sz w:val="20"/>
                      <w:szCs w:val="20"/>
                      <w:vertAlign w:val="superscript"/>
                      <w:lang w:val="en-US" w:eastAsia="zh-CN"/>
                    </w:rPr>
                    <w:t>③</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8</w:t>
                  </w:r>
                  <w:r>
                    <w:rPr>
                      <w:color w:val="auto"/>
                    </w:rPr>
                    <w:t>（</w:t>
                  </w:r>
                  <w:r>
                    <w:rPr>
                      <w:rFonts w:hint="eastAsia"/>
                      <w:color w:val="auto"/>
                      <w:lang w:val="en-US" w:eastAsia="zh-CN"/>
                    </w:rPr>
                    <w:t>12</w:t>
                  </w:r>
                  <w:r>
                    <w:rPr>
                      <w:color w:val="auto"/>
                    </w:rPr>
                    <w:t>）</w:t>
                  </w:r>
                  <w:r>
                    <w:rPr>
                      <w:rFonts w:hint="default"/>
                      <w:b w:val="0"/>
                      <w:color w:val="auto"/>
                      <w:sz w:val="20"/>
                      <w:szCs w:val="20"/>
                      <w:vertAlign w:val="superscript"/>
                      <w:lang w:val="en-US" w:eastAsia="zh-CN"/>
                    </w:rPr>
                    <w:t>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TN</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mg/L</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70</w:t>
                  </w:r>
                  <w:r>
                    <w:rPr>
                      <w:color w:val="auto"/>
                      <w:vertAlign w:val="superscript"/>
                    </w:rPr>
                    <w:t>①</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15</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12</w:t>
                  </w:r>
                  <w:r>
                    <w:rPr>
                      <w:color w:val="auto"/>
                    </w:rPr>
                    <w:t>（</w:t>
                  </w:r>
                  <w:r>
                    <w:rPr>
                      <w:rFonts w:hint="eastAsia"/>
                      <w:color w:val="auto"/>
                      <w:lang w:val="en-US" w:eastAsia="zh-CN"/>
                    </w:rPr>
                    <w:t>15</w:t>
                  </w:r>
                  <w:r>
                    <w:rPr>
                      <w:color w:val="auto"/>
                    </w:rPr>
                    <w:t>）</w:t>
                  </w:r>
                  <w:r>
                    <w:rPr>
                      <w:rFonts w:hint="default"/>
                      <w:b w:val="0"/>
                      <w:color w:val="auto"/>
                      <w:sz w:val="20"/>
                      <w:szCs w:val="20"/>
                      <w:vertAlign w:val="superscript"/>
                      <w:lang w:val="en-US" w:eastAsia="zh-CN"/>
                    </w:rPr>
                    <w:t>③</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15</w:t>
                  </w:r>
                  <w:r>
                    <w:rPr>
                      <w:color w:val="auto"/>
                    </w:rPr>
                    <w:t>（</w:t>
                  </w:r>
                  <w:r>
                    <w:rPr>
                      <w:rFonts w:hint="eastAsia"/>
                      <w:color w:val="auto"/>
                      <w:lang w:val="en-US" w:eastAsia="zh-CN"/>
                    </w:rPr>
                    <w:t>20</w:t>
                  </w:r>
                  <w:r>
                    <w:rPr>
                      <w:color w:val="auto"/>
                    </w:rPr>
                    <w:t>）</w:t>
                  </w:r>
                  <w:r>
                    <w:rPr>
                      <w:rFonts w:hint="default"/>
                      <w:b w:val="0"/>
                      <w:color w:val="auto"/>
                      <w:sz w:val="20"/>
                      <w:szCs w:val="20"/>
                      <w:vertAlign w:val="superscript"/>
                      <w:lang w:val="en-US" w:eastAsia="zh-CN"/>
                    </w:rPr>
                    <w:t>③</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914"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TP</w:t>
                  </w:r>
                </w:p>
              </w:tc>
              <w:tc>
                <w:tcPr>
                  <w:tcW w:w="671"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sz w:val="21"/>
                      <w:lang w:val="en-US" w:eastAsia="zh-CN"/>
                    </w:rPr>
                  </w:pPr>
                  <w:r>
                    <w:rPr>
                      <w:rFonts w:hint="default" w:ascii="Times New Roman" w:hAnsi="Times New Roman" w:eastAsia="宋体" w:cs="Times New Roman"/>
                      <w:color w:val="auto"/>
                      <w:sz w:val="21"/>
                      <w:lang w:val="en-US" w:eastAsia="zh-CN"/>
                    </w:rPr>
                    <w:t>mg/L</w:t>
                  </w:r>
                </w:p>
              </w:tc>
              <w:tc>
                <w:tcPr>
                  <w:tcW w:w="1286"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8</w:t>
                  </w:r>
                  <w:r>
                    <w:rPr>
                      <w:color w:val="auto"/>
                      <w:vertAlign w:val="superscript"/>
                    </w:rPr>
                    <w:t>①</w:t>
                  </w:r>
                </w:p>
              </w:tc>
              <w:tc>
                <w:tcPr>
                  <w:tcW w:w="196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color w:val="auto"/>
                    </w:rPr>
                    <w:t>0.5</w:t>
                  </w:r>
                </w:p>
              </w:tc>
              <w:tc>
                <w:tcPr>
                  <w:tcW w:w="1515"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0.5</w:t>
                  </w:r>
                </w:p>
              </w:tc>
              <w:tc>
                <w:tcPr>
                  <w:tcW w:w="1497" w:type="dxa"/>
                  <w:tcBorders>
                    <w:tl2br w:val="nil"/>
                    <w:tr2bl w:val="nil"/>
                  </w:tcBorders>
                  <w:vAlign w:val="center"/>
                </w:tcPr>
                <w:p>
                  <w:pPr>
                    <w:adjustRightInd w:val="0"/>
                    <w:snapToGrid w:val="0"/>
                    <w:jc w:val="center"/>
                    <w:rPr>
                      <w:rFonts w:hint="default" w:ascii="Times New Roman" w:hAnsi="Times New Roman" w:eastAsia="宋体" w:cs="Times New Roman"/>
                      <w:color w:val="auto"/>
                      <w:sz w:val="21"/>
                      <w:lang w:val="en-US" w:eastAsia="zh-CN"/>
                    </w:rPr>
                  </w:pPr>
                  <w:r>
                    <w:rPr>
                      <w:rFonts w:hint="eastAsia"/>
                      <w:color w:val="auto"/>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cantSplit/>
                <w:trHeight w:val="340" w:hRule="atLeast"/>
                <w:jc w:val="center"/>
              </w:trPr>
              <w:tc>
                <w:tcPr>
                  <w:tcW w:w="7848" w:type="dxa"/>
                  <w:gridSpan w:val="6"/>
                  <w:tcBorders>
                    <w:tl2br w:val="nil"/>
                    <w:tr2bl w:val="nil"/>
                  </w:tcBorders>
                  <w:vAlign w:val="center"/>
                </w:tcPr>
                <w:p>
                  <w:pPr>
                    <w:adjustRightInd w:val="0"/>
                    <w:snapToGrid w:val="0"/>
                    <w:rPr>
                      <w:rFonts w:ascii="Times New Roman" w:hAnsi="Times New Roman" w:eastAsia="宋体" w:cs="Times New Roman"/>
                      <w:color w:val="auto"/>
                      <w:sz w:val="18"/>
                      <w:szCs w:val="18"/>
                    </w:rPr>
                  </w:pPr>
                  <w:r>
                    <w:rPr>
                      <w:rFonts w:ascii="Times New Roman" w:hAnsi="Times New Roman" w:eastAsia="宋体" w:cs="Times New Roman"/>
                      <w:color w:val="auto"/>
                      <w:sz w:val="18"/>
                      <w:szCs w:val="18"/>
                    </w:rPr>
                    <w:t>注：①参照《污水排入城镇下水道水质标准》（GB/T31962-2015）</w:t>
                  </w:r>
                </w:p>
                <w:p>
                  <w:pPr>
                    <w:adjustRightInd w:val="0"/>
                    <w:snapToGrid w:val="0"/>
                    <w:rPr>
                      <w:rFonts w:hint="eastAsia" w:ascii="Times New Roman" w:hAnsi="Times New Roman" w:eastAsia="宋体" w:cs="Times New Roman"/>
                      <w:color w:val="auto"/>
                      <w:sz w:val="18"/>
                      <w:szCs w:val="18"/>
                    </w:rPr>
                  </w:pPr>
                  <w:r>
                    <w:rPr>
                      <w:rFonts w:ascii="Times New Roman" w:hAnsi="Times New Roman" w:eastAsia="宋体" w:cs="Times New Roman"/>
                      <w:color w:val="auto"/>
                      <w:sz w:val="18"/>
                      <w:szCs w:val="18"/>
                    </w:rPr>
                    <w:t>②括号外数值为水温＞12℃时的控制指标，括号内数值为水温≤12℃时的控制指标。</w:t>
                  </w:r>
                </w:p>
                <w:p>
                  <w:pPr>
                    <w:adjustRightInd w:val="0"/>
                    <w:snapToGrid w:val="0"/>
                    <w:rPr>
                      <w:rFonts w:hint="eastAsia"/>
                      <w:color w:val="auto"/>
                      <w:lang w:val="en-US" w:eastAsia="zh-CN"/>
                    </w:rPr>
                  </w:pPr>
                  <w:r>
                    <w:rPr>
                      <w:rFonts w:hint="default"/>
                      <w:b w:val="0"/>
                      <w:color w:val="auto"/>
                      <w:sz w:val="18"/>
                      <w:szCs w:val="18"/>
                      <w:lang w:val="en-US" w:eastAsia="zh-CN"/>
                    </w:rPr>
                    <w:t>③每年11月1日至次年3月31日执行括号内排放限值。</w:t>
                  </w:r>
                </w:p>
              </w:tc>
            </w:tr>
          </w:tbl>
          <w:p>
            <w:pPr>
              <w:adjustRightInd w:val="0"/>
              <w:snapToGrid w:val="0"/>
              <w:spacing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rPr>
              <w:t>3</w:t>
            </w:r>
            <w:r>
              <w:rPr>
                <w:rFonts w:hint="default" w:ascii="Times New Roman" w:hAnsi="Times New Roman" w:cs="Times New Roman"/>
                <w:b/>
                <w:color w:val="auto"/>
                <w:sz w:val="24"/>
                <w:szCs w:val="24"/>
                <w:highlight w:val="none"/>
                <w:lang w:eastAsia="zh-CN"/>
              </w:rPr>
              <w:t>、</w:t>
            </w:r>
            <w:r>
              <w:rPr>
                <w:rFonts w:hint="default" w:ascii="Times New Roman" w:hAnsi="Times New Roman" w:cs="Times New Roman"/>
                <w:b/>
                <w:color w:val="auto"/>
                <w:sz w:val="24"/>
                <w:szCs w:val="24"/>
                <w:highlight w:val="none"/>
              </w:rPr>
              <w:t>噪声排放标准</w:t>
            </w:r>
          </w:p>
          <w:p>
            <w:pPr>
              <w:pStyle w:val="61"/>
              <w:snapToGrid w:val="0"/>
              <w:spacing w:line="360" w:lineRule="auto"/>
              <w:ind w:firstLine="480" w:firstLineChars="200"/>
              <w:rPr>
                <w:rFonts w:hint="default" w:ascii="Times New Roman" w:hAnsi="Times New Roman" w:eastAsia="宋体" w:cs="Times New Roman"/>
                <w:color w:val="auto"/>
                <w:sz w:val="24"/>
                <w:szCs w:val="22"/>
                <w:highlight w:val="none"/>
              </w:rPr>
            </w:pPr>
            <w:r>
              <w:rPr>
                <w:rFonts w:hint="eastAsia" w:ascii="Times New Roman" w:hAnsi="Times New Roman" w:eastAsia="宋体" w:cs="Times New Roman"/>
                <w:color w:val="auto"/>
                <w:sz w:val="24"/>
                <w:szCs w:val="22"/>
                <w:highlight w:val="none"/>
              </w:rPr>
              <w:t>根据《如皋市声环境功能区和噪声敏感建筑物集中区划分方案》</w:t>
            </w:r>
            <w:r>
              <w:rPr>
                <w:rFonts w:hint="eastAsia" w:ascii="Times New Roman" w:hAnsi="Times New Roman" w:eastAsia="宋体" w:cs="Times New Roman"/>
                <w:color w:val="auto"/>
                <w:sz w:val="24"/>
                <w:szCs w:val="22"/>
                <w:highlight w:val="none"/>
                <w:lang w:eastAsia="zh-CN"/>
              </w:rPr>
              <w:t>（</w:t>
            </w:r>
            <w:r>
              <w:rPr>
                <w:rFonts w:hint="eastAsia" w:ascii="Times New Roman" w:hAnsi="Times New Roman" w:eastAsia="宋体" w:cs="Times New Roman"/>
                <w:color w:val="auto"/>
                <w:sz w:val="24"/>
                <w:szCs w:val="22"/>
                <w:highlight w:val="none"/>
              </w:rPr>
              <w:t>皋政发</w:t>
            </w:r>
            <w:r>
              <w:rPr>
                <w:rFonts w:hint="eastAsia" w:ascii="Times New Roman" w:hAnsi="Times New Roman" w:eastAsia="宋体" w:cs="Times New Roman"/>
                <w:color w:val="auto"/>
                <w:sz w:val="24"/>
                <w:szCs w:val="22"/>
                <w:highlight w:val="none"/>
                <w:lang w:val="en-US" w:eastAsia="zh-CN"/>
              </w:rPr>
              <w:t>[</w:t>
            </w:r>
            <w:r>
              <w:rPr>
                <w:rFonts w:hint="eastAsia" w:ascii="Times New Roman" w:hAnsi="Times New Roman" w:eastAsia="宋体" w:cs="Times New Roman"/>
                <w:color w:val="auto"/>
                <w:sz w:val="24"/>
                <w:szCs w:val="22"/>
                <w:highlight w:val="none"/>
              </w:rPr>
              <w:t>2025</w:t>
            </w:r>
            <w:r>
              <w:rPr>
                <w:rFonts w:hint="eastAsia" w:ascii="Times New Roman" w:hAnsi="Times New Roman" w:eastAsia="宋体" w:cs="Times New Roman"/>
                <w:color w:val="auto"/>
                <w:sz w:val="24"/>
                <w:szCs w:val="22"/>
                <w:highlight w:val="none"/>
                <w:lang w:val="en-US" w:eastAsia="zh-CN"/>
              </w:rPr>
              <w:t>]</w:t>
            </w:r>
            <w:r>
              <w:rPr>
                <w:rFonts w:hint="eastAsia" w:ascii="Times New Roman" w:hAnsi="Times New Roman" w:eastAsia="宋体" w:cs="Times New Roman"/>
                <w:color w:val="auto"/>
                <w:sz w:val="24"/>
                <w:szCs w:val="22"/>
                <w:highlight w:val="none"/>
              </w:rPr>
              <w:t>20号</w:t>
            </w:r>
            <w:r>
              <w:rPr>
                <w:rFonts w:hint="eastAsia" w:ascii="Times New Roman" w:hAnsi="Times New Roman" w:eastAsia="宋体" w:cs="Times New Roman"/>
                <w:color w:val="auto"/>
                <w:sz w:val="24"/>
                <w:szCs w:val="22"/>
                <w:highlight w:val="none"/>
                <w:lang w:eastAsia="zh-CN"/>
              </w:rPr>
              <w:t>）</w:t>
            </w:r>
            <w:r>
              <w:rPr>
                <w:rFonts w:hint="eastAsia" w:ascii="Times New Roman" w:hAnsi="Times New Roman" w:eastAsia="宋体" w:cs="Times New Roman"/>
                <w:color w:val="auto"/>
                <w:sz w:val="24"/>
                <w:szCs w:val="22"/>
                <w:highlight w:val="none"/>
              </w:rPr>
              <w:t>，本项目所属功能区为</w:t>
            </w:r>
            <w:r>
              <w:rPr>
                <w:rFonts w:hint="eastAsia" w:ascii="Times New Roman" w:hAnsi="Times New Roman" w:eastAsia="宋体" w:cs="Times New Roman"/>
                <w:color w:val="auto"/>
                <w:sz w:val="24"/>
                <w:szCs w:val="22"/>
                <w:highlight w:val="none"/>
                <w:lang w:val="en-US" w:eastAsia="zh-CN"/>
              </w:rPr>
              <w:t>3</w:t>
            </w:r>
            <w:r>
              <w:rPr>
                <w:rFonts w:hint="eastAsia" w:ascii="Times New Roman" w:hAnsi="Times New Roman" w:eastAsia="宋体" w:cs="Times New Roman"/>
                <w:color w:val="auto"/>
                <w:sz w:val="24"/>
                <w:szCs w:val="22"/>
                <w:highlight w:val="none"/>
              </w:rPr>
              <w:t>类，南侧</w:t>
            </w:r>
            <w:r>
              <w:rPr>
                <w:rFonts w:hint="eastAsia" w:ascii="Times New Roman" w:hAnsi="Times New Roman" w:eastAsia="宋体" w:cs="Times New Roman"/>
                <w:color w:val="auto"/>
                <w:sz w:val="24"/>
                <w:szCs w:val="22"/>
                <w:highlight w:val="none"/>
                <w:lang w:val="en-US" w:eastAsia="zh-CN"/>
              </w:rPr>
              <w:t>起凤西</w:t>
            </w:r>
            <w:r>
              <w:rPr>
                <w:rFonts w:hint="eastAsia" w:ascii="Times New Roman" w:hAnsi="Times New Roman" w:eastAsia="宋体" w:cs="Times New Roman"/>
                <w:color w:val="auto"/>
                <w:sz w:val="24"/>
                <w:szCs w:val="22"/>
                <w:highlight w:val="none"/>
              </w:rPr>
              <w:t>路为</w:t>
            </w:r>
            <w:r>
              <w:rPr>
                <w:rFonts w:hint="eastAsia" w:ascii="Times New Roman" w:hAnsi="Times New Roman" w:eastAsia="宋体" w:cs="Times New Roman"/>
                <w:color w:val="auto"/>
                <w:sz w:val="24"/>
                <w:szCs w:val="22"/>
                <w:highlight w:val="none"/>
                <w:lang w:val="en-US" w:eastAsia="zh-CN"/>
              </w:rPr>
              <w:t>城市次干路</w:t>
            </w:r>
            <w:r>
              <w:rPr>
                <w:rFonts w:hint="eastAsia" w:ascii="Times New Roman" w:hAnsi="Times New Roman" w:eastAsia="宋体" w:cs="Times New Roman"/>
                <w:color w:val="auto"/>
                <w:sz w:val="24"/>
                <w:szCs w:val="22"/>
                <w:highlight w:val="none"/>
              </w:rPr>
              <w:t>，</w:t>
            </w:r>
            <w:r>
              <w:rPr>
                <w:rFonts w:hint="eastAsia" w:ascii="Times New Roman" w:hAnsi="Times New Roman" w:eastAsia="宋体" w:cs="Times New Roman"/>
                <w:color w:val="auto"/>
                <w:sz w:val="24"/>
                <w:szCs w:val="22"/>
                <w:highlight w:val="none"/>
                <w:lang w:val="en-US" w:eastAsia="zh-CN"/>
              </w:rPr>
              <w:t>20</w:t>
            </w:r>
            <w:r>
              <w:rPr>
                <w:rFonts w:hint="eastAsia" w:ascii="Times New Roman" w:hAnsi="Times New Roman" w:eastAsia="宋体" w:cs="Times New Roman"/>
                <w:color w:val="auto"/>
                <w:sz w:val="24"/>
                <w:szCs w:val="22"/>
                <w:highlight w:val="none"/>
              </w:rPr>
              <w:t>米±</w:t>
            </w:r>
            <w:r>
              <w:rPr>
                <w:rFonts w:hint="eastAsia" w:ascii="Times New Roman" w:hAnsi="Times New Roman" w:eastAsia="宋体" w:cs="Times New Roman"/>
                <w:color w:val="auto"/>
                <w:sz w:val="24"/>
                <w:szCs w:val="22"/>
                <w:highlight w:val="none"/>
                <w:lang w:val="en-US" w:eastAsia="zh-CN"/>
              </w:rPr>
              <w:t>5</w:t>
            </w:r>
            <w:r>
              <w:rPr>
                <w:rFonts w:hint="eastAsia" w:ascii="Times New Roman" w:hAnsi="Times New Roman" w:eastAsia="宋体" w:cs="Times New Roman"/>
                <w:color w:val="auto"/>
                <w:sz w:val="24"/>
                <w:szCs w:val="22"/>
                <w:highlight w:val="none"/>
              </w:rPr>
              <w:t>米范围执行声质量标准的4a类，</w:t>
            </w:r>
            <w:r>
              <w:rPr>
                <w:rFonts w:hint="eastAsia" w:ascii="Times New Roman" w:cs="Times New Roman"/>
                <w:color w:val="auto"/>
                <w:sz w:val="24"/>
                <w:szCs w:val="22"/>
                <w:highlight w:val="none"/>
                <w:lang w:val="en-US" w:eastAsia="zh-CN"/>
              </w:rPr>
              <w:t>本项目南厂界距离</w:t>
            </w:r>
            <w:r>
              <w:rPr>
                <w:rFonts w:hint="eastAsia" w:ascii="Times New Roman" w:hAnsi="Times New Roman" w:eastAsia="宋体" w:cs="Times New Roman"/>
                <w:color w:val="auto"/>
                <w:sz w:val="24"/>
                <w:szCs w:val="22"/>
                <w:highlight w:val="none"/>
                <w:lang w:val="en-US" w:eastAsia="zh-CN"/>
              </w:rPr>
              <w:t>起凤西</w:t>
            </w:r>
            <w:r>
              <w:rPr>
                <w:rFonts w:hint="eastAsia" w:ascii="Times New Roman" w:hAnsi="Times New Roman" w:eastAsia="宋体" w:cs="Times New Roman"/>
                <w:color w:val="auto"/>
                <w:sz w:val="24"/>
                <w:szCs w:val="22"/>
                <w:highlight w:val="none"/>
              </w:rPr>
              <w:t>路</w:t>
            </w:r>
            <w:r>
              <w:rPr>
                <w:rFonts w:hint="eastAsia" w:ascii="Times New Roman" w:cs="Times New Roman"/>
                <w:color w:val="auto"/>
                <w:sz w:val="24"/>
                <w:szCs w:val="22"/>
                <w:highlight w:val="none"/>
                <w:lang w:val="en-US" w:eastAsia="zh-CN"/>
              </w:rPr>
              <w:t>约10m</w:t>
            </w:r>
            <w:r>
              <w:rPr>
                <w:rFonts w:hint="eastAsia" w:ascii="Times New Roman" w:cs="Times New Roman"/>
                <w:color w:val="auto"/>
                <w:sz w:val="24"/>
                <w:szCs w:val="22"/>
                <w:highlight w:val="none"/>
                <w:lang w:eastAsia="zh-CN"/>
              </w:rPr>
              <w:t>，</w:t>
            </w:r>
            <w:r>
              <w:rPr>
                <w:rFonts w:hint="eastAsia" w:ascii="Times New Roman" w:hAnsi="Times New Roman" w:eastAsia="宋体" w:cs="Times New Roman"/>
                <w:color w:val="auto"/>
                <w:sz w:val="24"/>
                <w:szCs w:val="22"/>
                <w:highlight w:val="none"/>
              </w:rPr>
              <w:t>因此南侧厂界执行4类</w:t>
            </w:r>
            <w:r>
              <w:rPr>
                <w:rFonts w:hint="eastAsia" w:ascii="Times New Roman" w:hAnsi="Times New Roman" w:eastAsia="宋体" w:cs="Times New Roman"/>
                <w:color w:val="auto"/>
                <w:sz w:val="24"/>
                <w:szCs w:val="22"/>
                <w:highlight w:val="none"/>
                <w:lang w:eastAsia="zh-CN"/>
              </w:rPr>
              <w:t>，</w:t>
            </w:r>
            <w:r>
              <w:rPr>
                <w:rFonts w:hint="eastAsia" w:ascii="Times New Roman" w:hAnsi="Times New Roman" w:eastAsia="宋体" w:cs="Times New Roman"/>
                <w:color w:val="auto"/>
                <w:sz w:val="24"/>
                <w:szCs w:val="22"/>
                <w:highlight w:val="none"/>
                <w:lang w:val="en-US" w:eastAsia="zh-CN"/>
              </w:rPr>
              <w:t>运营期</w:t>
            </w:r>
            <w:r>
              <w:rPr>
                <w:rFonts w:hint="eastAsia" w:ascii="Times New Roman" w:hAnsi="Times New Roman" w:eastAsia="宋体" w:cs="Times New Roman"/>
                <w:color w:val="auto"/>
                <w:sz w:val="24"/>
                <w:szCs w:val="22"/>
                <w:highlight w:val="none"/>
              </w:rPr>
              <w:t>厂界噪声排放执行《工业企业厂界环境噪声排放标准》（GB12348-2008）</w:t>
            </w:r>
            <w:r>
              <w:rPr>
                <w:rFonts w:hint="eastAsia" w:ascii="Times New Roman" w:hAnsi="Times New Roman" w:eastAsia="宋体" w:cs="Times New Roman"/>
                <w:color w:val="auto"/>
                <w:sz w:val="24"/>
                <w:szCs w:val="22"/>
                <w:highlight w:val="none"/>
                <w:lang w:val="en-US" w:eastAsia="zh-CN"/>
              </w:rPr>
              <w:t>3</w:t>
            </w:r>
            <w:r>
              <w:rPr>
                <w:rFonts w:hint="eastAsia" w:ascii="Times New Roman" w:hAnsi="Times New Roman" w:eastAsia="宋体" w:cs="Times New Roman"/>
                <w:color w:val="auto"/>
                <w:sz w:val="24"/>
                <w:szCs w:val="22"/>
                <w:highlight w:val="none"/>
              </w:rPr>
              <w:t>类</w:t>
            </w:r>
            <w:r>
              <w:rPr>
                <w:rFonts w:hint="eastAsia" w:ascii="Times New Roman" w:hAnsi="Times New Roman" w:eastAsia="宋体" w:cs="Times New Roman"/>
                <w:color w:val="auto"/>
                <w:sz w:val="24"/>
                <w:szCs w:val="22"/>
                <w:highlight w:val="none"/>
                <w:lang w:eastAsia="zh-CN"/>
              </w:rPr>
              <w:t>、</w:t>
            </w:r>
            <w:r>
              <w:rPr>
                <w:rFonts w:hint="eastAsia" w:ascii="Times New Roman" w:hAnsi="Times New Roman" w:eastAsia="宋体" w:cs="Times New Roman"/>
                <w:color w:val="auto"/>
                <w:sz w:val="24"/>
                <w:szCs w:val="22"/>
                <w:highlight w:val="none"/>
                <w:lang w:val="en-US" w:eastAsia="zh-CN"/>
              </w:rPr>
              <w:t>4类</w:t>
            </w:r>
            <w:r>
              <w:rPr>
                <w:rFonts w:hint="eastAsia" w:ascii="Times New Roman" w:hAnsi="Times New Roman" w:eastAsia="宋体" w:cs="Times New Roman"/>
                <w:color w:val="auto"/>
                <w:sz w:val="24"/>
                <w:szCs w:val="22"/>
                <w:highlight w:val="none"/>
              </w:rPr>
              <w:t>标准</w:t>
            </w:r>
            <w:r>
              <w:rPr>
                <w:rFonts w:hint="default" w:ascii="Times New Roman" w:hAnsi="Times New Roman" w:eastAsia="宋体" w:cs="Times New Roman"/>
                <w:color w:val="auto"/>
                <w:sz w:val="24"/>
                <w:szCs w:val="22"/>
                <w:highlight w:val="none"/>
              </w:rPr>
              <w:t>，噪声评价标准见表3-</w:t>
            </w:r>
            <w:r>
              <w:rPr>
                <w:rFonts w:hint="eastAsia" w:ascii="Times New Roman" w:hAnsi="Times New Roman" w:eastAsia="宋体" w:cs="Times New Roman"/>
                <w:color w:val="auto"/>
                <w:sz w:val="24"/>
                <w:szCs w:val="22"/>
                <w:highlight w:val="none"/>
                <w:lang w:val="en-US" w:eastAsia="zh-CN"/>
              </w:rPr>
              <w:t>6</w:t>
            </w:r>
            <w:r>
              <w:rPr>
                <w:rFonts w:hint="default" w:ascii="Times New Roman" w:hAnsi="Times New Roman" w:eastAsia="宋体" w:cs="Times New Roman"/>
                <w:color w:val="auto"/>
                <w:sz w:val="24"/>
                <w:szCs w:val="22"/>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表3-</w:t>
            </w:r>
            <w:r>
              <w:rPr>
                <w:rFonts w:hint="eastAsia" w:ascii="Times New Roman" w:hAnsi="Times New Roman" w:cs="Times New Roman"/>
                <w:b/>
                <w:bCs/>
                <w:color w:val="auto"/>
                <w:sz w:val="24"/>
                <w:szCs w:val="32"/>
                <w:highlight w:val="none"/>
                <w:lang w:val="en-US" w:eastAsia="zh-CN"/>
              </w:rPr>
              <w:t>6</w:t>
            </w:r>
            <w:r>
              <w:rPr>
                <w:rFonts w:hint="default" w:ascii="Times New Roman" w:hAnsi="Times New Roman" w:cs="Times New Roman"/>
                <w:b/>
                <w:bCs/>
                <w:color w:val="auto"/>
                <w:sz w:val="24"/>
                <w:szCs w:val="32"/>
                <w:highlight w:val="none"/>
                <w:lang w:val="en-US" w:eastAsia="zh-CN"/>
              </w:rPr>
              <w:t>噪声评价标准</w:t>
            </w:r>
          </w:p>
          <w:tbl>
            <w:tblPr>
              <w:tblStyle w:val="25"/>
              <w:tblW w:w="7872"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37"/>
              <w:gridCol w:w="1945"/>
              <w:gridCol w:w="1888"/>
              <w:gridCol w:w="230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37" w:type="dxa"/>
                  <w:vMerge w:val="restart"/>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适用区域</w:t>
                  </w:r>
                </w:p>
              </w:tc>
              <w:tc>
                <w:tcPr>
                  <w:tcW w:w="1945" w:type="dxa"/>
                  <w:vMerge w:val="restart"/>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功能区类别</w:t>
                  </w:r>
                </w:p>
              </w:tc>
              <w:tc>
                <w:tcPr>
                  <w:tcW w:w="4190" w:type="dxa"/>
                  <w:gridSpan w:val="2"/>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标准限值（dB（A））</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37" w:type="dxa"/>
                  <w:vMerge w:val="continue"/>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p>
              </w:tc>
              <w:tc>
                <w:tcPr>
                  <w:tcW w:w="1945" w:type="dxa"/>
                  <w:vMerge w:val="continue"/>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p>
              </w:tc>
              <w:tc>
                <w:tcPr>
                  <w:tcW w:w="1888" w:type="dxa"/>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昼间</w:t>
                  </w:r>
                </w:p>
              </w:tc>
              <w:tc>
                <w:tcPr>
                  <w:tcW w:w="2302" w:type="dxa"/>
                  <w:tcBorders>
                    <w:tl2br w:val="nil"/>
                    <w:tr2bl w:val="nil"/>
                  </w:tcBorders>
                  <w:vAlign w:val="center"/>
                </w:tcPr>
                <w:p>
                  <w:pPr>
                    <w:adjustRightInd w:val="0"/>
                    <w:jc w:val="center"/>
                    <w:textAlignment w:val="baseline"/>
                    <w:rPr>
                      <w:rFonts w:hint="default" w:ascii="Times New Roman" w:hAnsi="Times New Roman" w:cs="Times New Roman"/>
                      <w:b/>
                      <w:color w:val="auto"/>
                      <w:sz w:val="21"/>
                      <w:szCs w:val="21"/>
                      <w:highlight w:val="none"/>
                    </w:rPr>
                  </w:pPr>
                  <w:r>
                    <w:rPr>
                      <w:rFonts w:hint="default" w:ascii="Times New Roman" w:hAnsi="Times New Roman" w:cs="Times New Roman"/>
                      <w:b/>
                      <w:color w:val="auto"/>
                      <w:sz w:val="21"/>
                      <w:szCs w:val="21"/>
                      <w:highlight w:val="none"/>
                    </w:rPr>
                    <w:t>夜间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37" w:type="dxa"/>
                  <w:tcBorders>
                    <w:tl2br w:val="nil"/>
                    <w:tr2bl w:val="nil"/>
                  </w:tcBorders>
                  <w:vAlign w:val="center"/>
                </w:tcPr>
                <w:p>
                  <w:pPr>
                    <w:adjustRightInd w:val="0"/>
                    <w:jc w:val="center"/>
                    <w:textAlignment w:val="baseline"/>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东、西、北</w:t>
                  </w:r>
                  <w:r>
                    <w:rPr>
                      <w:rFonts w:hint="default" w:ascii="Times New Roman" w:hAnsi="Times New Roman" w:cs="Times New Roman"/>
                      <w:color w:val="auto"/>
                      <w:sz w:val="21"/>
                      <w:szCs w:val="21"/>
                      <w:highlight w:val="none"/>
                    </w:rPr>
                    <w:t>厂界</w:t>
                  </w:r>
                </w:p>
              </w:tc>
              <w:tc>
                <w:tcPr>
                  <w:tcW w:w="1945" w:type="dxa"/>
                  <w:tcBorders>
                    <w:tl2br w:val="nil"/>
                    <w:tr2bl w:val="nil"/>
                  </w:tcBorders>
                  <w:vAlign w:val="center"/>
                </w:tcPr>
                <w:p>
                  <w:pPr>
                    <w:adjustRightInd w:val="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3类</w:t>
                  </w:r>
                </w:p>
              </w:tc>
              <w:tc>
                <w:tcPr>
                  <w:tcW w:w="1888" w:type="dxa"/>
                  <w:tcBorders>
                    <w:tl2br w:val="nil"/>
                    <w:tr2bl w:val="nil"/>
                  </w:tcBorders>
                  <w:vAlign w:val="center"/>
                </w:tcPr>
                <w:p>
                  <w:pPr>
                    <w:adjustRightInd w:val="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65</w:t>
                  </w:r>
                </w:p>
              </w:tc>
              <w:tc>
                <w:tcPr>
                  <w:tcW w:w="2302" w:type="dxa"/>
                  <w:tcBorders>
                    <w:tl2br w:val="nil"/>
                    <w:tr2bl w:val="nil"/>
                  </w:tcBorders>
                  <w:vAlign w:val="center"/>
                </w:tcPr>
                <w:p>
                  <w:pPr>
                    <w:adjustRightInd w:val="0"/>
                    <w:jc w:val="center"/>
                    <w:textAlignment w:val="baseline"/>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737" w:type="dxa"/>
                  <w:tcBorders>
                    <w:tl2br w:val="nil"/>
                    <w:tr2bl w:val="nil"/>
                  </w:tcBorders>
                  <w:vAlign w:val="center"/>
                </w:tcPr>
                <w:p>
                  <w:pPr>
                    <w:adjustRightInd w:val="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南厂界</w:t>
                  </w:r>
                </w:p>
              </w:tc>
              <w:tc>
                <w:tcPr>
                  <w:tcW w:w="1945" w:type="dxa"/>
                  <w:tcBorders>
                    <w:tl2br w:val="nil"/>
                    <w:tr2bl w:val="nil"/>
                  </w:tcBorders>
                  <w:vAlign w:val="center"/>
                </w:tcPr>
                <w:p>
                  <w:pPr>
                    <w:adjustRightInd w:val="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4类</w:t>
                  </w:r>
                </w:p>
              </w:tc>
              <w:tc>
                <w:tcPr>
                  <w:tcW w:w="1888" w:type="dxa"/>
                  <w:tcBorders>
                    <w:tl2br w:val="nil"/>
                    <w:tr2bl w:val="nil"/>
                  </w:tcBorders>
                  <w:vAlign w:val="center"/>
                </w:tcPr>
                <w:p>
                  <w:pPr>
                    <w:adjustRightInd w:val="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70</w:t>
                  </w:r>
                </w:p>
              </w:tc>
              <w:tc>
                <w:tcPr>
                  <w:tcW w:w="2302" w:type="dxa"/>
                  <w:tcBorders>
                    <w:tl2br w:val="nil"/>
                    <w:tr2bl w:val="nil"/>
                  </w:tcBorders>
                  <w:vAlign w:val="center"/>
                </w:tcPr>
                <w:p>
                  <w:pPr>
                    <w:adjustRightInd w:val="0"/>
                    <w:jc w:val="center"/>
                    <w:textAlignment w:val="baseline"/>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55</w:t>
                  </w:r>
                </w:p>
              </w:tc>
            </w:tr>
          </w:tbl>
          <w:p>
            <w:pPr>
              <w:adjustRightInd w:val="0"/>
              <w:snapToGrid w:val="0"/>
              <w:spacing w:beforeLines="50" w:line="360" w:lineRule="auto"/>
              <w:ind w:firstLine="482" w:firstLineChars="200"/>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4、</w:t>
            </w:r>
            <w:r>
              <w:rPr>
                <w:rFonts w:hint="default" w:ascii="Times New Roman" w:hAnsi="Times New Roman" w:cs="Times New Roman"/>
                <w:b/>
                <w:color w:val="auto"/>
                <w:sz w:val="24"/>
                <w:szCs w:val="24"/>
                <w:highlight w:val="none"/>
              </w:rPr>
              <w:t>固体废物排放标准</w:t>
            </w:r>
          </w:p>
          <w:p>
            <w:pPr>
              <w:tabs>
                <w:tab w:val="left" w:pos="5142"/>
              </w:tabs>
              <w:snapToGrid w:val="0"/>
              <w:spacing w:line="360" w:lineRule="auto"/>
              <w:ind w:firstLine="480"/>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一般固废在厂内储存执行《一般工业固体废物贮存和填埋污染控制标准》（GB18599-2020）、《环境保护图形标志—固体废物贮存（处置）场》（GB15562.2-1995）及修改单中相关规定。</w:t>
            </w:r>
          </w:p>
          <w:p>
            <w:pPr>
              <w:tabs>
                <w:tab w:val="left" w:pos="5142"/>
              </w:tabs>
              <w:snapToGrid w:val="0"/>
              <w:spacing w:line="360" w:lineRule="auto"/>
              <w:ind w:firstLine="480"/>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危险固废的暂存场所执行《危险废物贮存污染控制标准》（GB18597-2023）中相关规定。</w:t>
            </w:r>
          </w:p>
          <w:p>
            <w:pPr>
              <w:tabs>
                <w:tab w:val="left" w:pos="5142"/>
              </w:tabs>
              <w:snapToGrid w:val="0"/>
              <w:spacing w:line="360" w:lineRule="auto"/>
              <w:ind w:firstLine="480"/>
              <w:rPr>
                <w:rFonts w:hint="eastAsia" w:ascii="Times New Roman" w:hAnsi="Times New Roman" w:cs="Times New Roman"/>
                <w:color w:val="auto"/>
                <w:sz w:val="24"/>
                <w:szCs w:val="32"/>
                <w:highlight w:val="none"/>
                <w:lang w:val="en-US" w:eastAsia="zh-CN"/>
              </w:rPr>
            </w:pPr>
            <w:r>
              <w:rPr>
                <w:rFonts w:hint="eastAsia" w:ascii="Times New Roman" w:hAnsi="Times New Roman" w:cs="Times New Roman"/>
                <w:color w:val="auto"/>
                <w:sz w:val="24"/>
                <w:szCs w:val="32"/>
                <w:highlight w:val="none"/>
                <w:lang w:val="en-US" w:eastAsia="zh-CN"/>
              </w:rPr>
              <w:t>按照《危险废物收集储存运输技术规范》（HJ2025-2012）、《危险废物识别标志设置技术规范》（HJ1276-2022）、《关于开展工业固体废物排污许可管理工作的通知》（环办环评〔2021〕26号）、省生态环境厅关于印发《江苏省固体废物全过程环境监管工作意见》的通知（苏环办[2024]16号）等相关规定要求进行危险废物的包装、标识、贮存设施的选址、设计、运行、安全防护、监测开展危险固废全过程管理。</w:t>
            </w:r>
          </w:p>
          <w:p>
            <w:pPr>
              <w:tabs>
                <w:tab w:val="left" w:pos="5142"/>
              </w:tabs>
              <w:snapToGrid w:val="0"/>
              <w:spacing w:line="360" w:lineRule="auto"/>
              <w:ind w:firstLine="480"/>
              <w:rPr>
                <w:rFonts w:hint="default" w:ascii="Times New Roman" w:hAnsi="Times New Roman" w:cs="Times New Roman"/>
                <w:color w:val="auto"/>
                <w:sz w:val="24"/>
                <w:szCs w:val="32"/>
                <w:highlight w:val="none"/>
              </w:rPr>
            </w:pPr>
            <w:r>
              <w:rPr>
                <w:rFonts w:hint="eastAsia" w:ascii="Times New Roman" w:hAnsi="Times New Roman" w:cs="Times New Roman"/>
                <w:color w:val="auto"/>
                <w:sz w:val="24"/>
                <w:szCs w:val="32"/>
                <w:highlight w:val="none"/>
                <w:lang w:val="en-US" w:eastAsia="zh-CN"/>
              </w:rPr>
              <w:t>生活垃圾处理执行《城市生活垃圾处理及污染防治技术政策》（建城[2000]120号）和《生活垃圾处理技术指南》（建城[2010]61号）以及国家、省市关于固体废物污染环境防治的法律法规。</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313" w:hRule="atLeast"/>
          <w:jc w:val="center"/>
        </w:trPr>
        <w:tc>
          <w:tcPr>
            <w:tcW w:w="431" w:type="dxa"/>
            <w:vAlign w:val="center"/>
          </w:tcPr>
          <w:p>
            <w:pPr>
              <w:adjustRightInd w:val="0"/>
              <w:snapToGrid w:val="0"/>
              <w:jc w:val="center"/>
              <w:rPr>
                <w:rFonts w:hint="default" w:ascii="Times New Roman" w:hAnsi="Times New Roman" w:cs="Times New Roman" w:eastAsiaTheme="minorEastAsia"/>
                <w:snapToGrid w:val="0"/>
                <w:color w:val="auto"/>
                <w:sz w:val="24"/>
                <w:szCs w:val="24"/>
                <w:highlight w:val="none"/>
              </w:rPr>
            </w:pPr>
            <w:bookmarkStart w:id="5" w:name="_Toc77165975"/>
            <w:r>
              <w:rPr>
                <w:rFonts w:hint="default" w:ascii="Times New Roman" w:hAnsi="Times New Roman" w:cs="Times New Roman" w:eastAsiaTheme="minorEastAsia"/>
                <w:snapToGrid w:val="0"/>
                <w:color w:val="auto"/>
                <w:sz w:val="24"/>
                <w:szCs w:val="24"/>
                <w:highlight w:val="none"/>
              </w:rPr>
              <w:t>总量控制指标</w:t>
            </w:r>
            <w:bookmarkEnd w:id="5"/>
          </w:p>
        </w:tc>
        <w:tc>
          <w:tcPr>
            <w:tcW w:w="8089" w:type="dxa"/>
          </w:tcPr>
          <w:p>
            <w:pPr>
              <w:pStyle w:val="67"/>
              <w:adjustRightInd w:val="0"/>
              <w:snapToGrid w:val="0"/>
              <w:ind w:firstLine="422"/>
              <w:jc w:val="left"/>
              <w:rPr>
                <w:rFonts w:hint="default" w:ascii="Times New Roman" w:hAnsi="Times New Roman" w:cs="Times New Roman"/>
                <w:b/>
                <w:color w:val="auto"/>
                <w:sz w:val="24"/>
                <w:szCs w:val="24"/>
                <w:highlight w:val="none"/>
              </w:rPr>
            </w:pPr>
            <w:r>
              <w:rPr>
                <w:rFonts w:hint="default" w:ascii="Times New Roman" w:hAnsi="Times New Roman" w:cs="Times New Roman"/>
                <w:b/>
                <w:color w:val="auto"/>
                <w:sz w:val="24"/>
                <w:szCs w:val="24"/>
                <w:highlight w:val="none"/>
                <w:lang w:val="en-US" w:eastAsia="zh-CN"/>
              </w:rPr>
              <w:t>1、</w:t>
            </w:r>
            <w:r>
              <w:rPr>
                <w:rFonts w:hint="default" w:ascii="Times New Roman" w:hAnsi="Times New Roman" w:cs="Times New Roman"/>
                <w:b/>
                <w:color w:val="auto"/>
                <w:sz w:val="24"/>
                <w:szCs w:val="24"/>
                <w:highlight w:val="none"/>
              </w:rPr>
              <w:t>总量控制指标</w:t>
            </w:r>
          </w:p>
          <w:p>
            <w:pPr>
              <w:pStyle w:val="13"/>
              <w:spacing w:after="0"/>
              <w:ind w:left="0" w:leftChars="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表3-</w:t>
            </w:r>
            <w:r>
              <w:rPr>
                <w:rFonts w:hint="eastAsia" w:cs="Times New Roman"/>
                <w:b/>
                <w:bCs/>
                <w:color w:val="auto"/>
                <w:sz w:val="24"/>
                <w:szCs w:val="24"/>
                <w:highlight w:val="none"/>
                <w:lang w:val="en-US" w:eastAsia="zh-CN"/>
              </w:rPr>
              <w:t>7</w:t>
            </w:r>
            <w:r>
              <w:rPr>
                <w:rFonts w:hint="default" w:ascii="Times New Roman" w:hAnsi="Times New Roman" w:cs="Times New Roman"/>
                <w:b/>
                <w:bCs/>
                <w:color w:val="auto"/>
                <w:sz w:val="24"/>
                <w:szCs w:val="24"/>
                <w:highlight w:val="none"/>
              </w:rPr>
              <w:t>建设项目总量控制指标（单位：t/a）</w:t>
            </w:r>
          </w:p>
          <w:tbl>
            <w:tblPr>
              <w:tblStyle w:val="25"/>
              <w:tblpPr w:leftFromText="180" w:rightFromText="180" w:vertAnchor="text" w:horzAnchor="page" w:tblpX="112" w:tblpY="71"/>
              <w:tblOverlap w:val="never"/>
              <w:tblW w:w="7870"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5"/>
              <w:gridCol w:w="428"/>
              <w:gridCol w:w="1423"/>
              <w:gridCol w:w="816"/>
              <w:gridCol w:w="882"/>
              <w:gridCol w:w="920"/>
              <w:gridCol w:w="953"/>
              <w:gridCol w:w="1017"/>
              <w:gridCol w:w="100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0" w:hRule="atLeast"/>
              </w:trPr>
              <w:tc>
                <w:tcPr>
                  <w:tcW w:w="2276" w:type="dxa"/>
                  <w:gridSpan w:val="3"/>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default" w:ascii="Times New Roman" w:hAnsi="Times New Roman" w:cs="Times New Roman"/>
                      <w:b/>
                      <w:bCs/>
                      <w:color w:val="auto"/>
                      <w:sz w:val="21"/>
                      <w:szCs w:val="21"/>
                      <w:highlight w:val="none"/>
                    </w:rPr>
                    <w:t>项目</w:t>
                  </w:r>
                </w:p>
              </w:tc>
              <w:tc>
                <w:tcPr>
                  <w:tcW w:w="816" w:type="dxa"/>
                  <w:tcBorders>
                    <w:tl2br w:val="nil"/>
                    <w:tr2bl w:val="nil"/>
                  </w:tcBorders>
                  <w:vAlign w:val="center"/>
                </w:tcPr>
                <w:p>
                  <w:pPr>
                    <w:adjustRightInd w:val="0"/>
                    <w:snapToGrid w:val="0"/>
                    <w:jc w:val="center"/>
                    <w:rPr>
                      <w:rFonts w:hint="default" w:ascii="Times New Roman" w:hAnsi="Times New Roman" w:eastAsia="宋体"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现有项目总量</w:t>
                  </w:r>
                </w:p>
              </w:tc>
              <w:tc>
                <w:tcPr>
                  <w:tcW w:w="882"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lang w:val="en-US"/>
                    </w:rPr>
                  </w:pPr>
                  <w:r>
                    <w:rPr>
                      <w:rFonts w:hint="eastAsia" w:cs="Times New Roman"/>
                      <w:b/>
                      <w:bCs/>
                      <w:color w:val="auto"/>
                      <w:sz w:val="21"/>
                      <w:szCs w:val="21"/>
                      <w:highlight w:val="none"/>
                      <w:lang w:val="en-US" w:eastAsia="zh-CN"/>
                    </w:rPr>
                    <w:t>以新带老削减量</w:t>
                  </w:r>
                </w:p>
              </w:tc>
              <w:tc>
                <w:tcPr>
                  <w:tcW w:w="920" w:type="dxa"/>
                  <w:tcBorders>
                    <w:tl2br w:val="nil"/>
                    <w:tr2bl w:val="nil"/>
                  </w:tcBorders>
                  <w:vAlign w:val="center"/>
                </w:tcPr>
                <w:p>
                  <w:pPr>
                    <w:adjustRightInd w:val="0"/>
                    <w:snapToGrid w:val="0"/>
                    <w:jc w:val="center"/>
                    <w:rPr>
                      <w:rFonts w:hint="eastAsia" w:ascii="Times New Roman" w:hAnsi="Times New Roman" w:eastAsia="宋体" w:cs="Times New Roman"/>
                      <w:b/>
                      <w:bCs/>
                      <w:color w:val="auto"/>
                      <w:sz w:val="21"/>
                      <w:szCs w:val="21"/>
                      <w:highlight w:val="none"/>
                      <w:lang w:eastAsia="zh-CN"/>
                    </w:rPr>
                  </w:pPr>
                  <w:r>
                    <w:rPr>
                      <w:rFonts w:hint="eastAsia" w:cs="Times New Roman"/>
                      <w:b/>
                      <w:bCs/>
                      <w:color w:val="auto"/>
                      <w:sz w:val="21"/>
                      <w:szCs w:val="21"/>
                      <w:highlight w:val="none"/>
                      <w:lang w:val="en-US" w:eastAsia="zh-CN"/>
                    </w:rPr>
                    <w:t>本项目排放量</w:t>
                  </w:r>
                </w:p>
              </w:tc>
              <w:tc>
                <w:tcPr>
                  <w:tcW w:w="953"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lang w:val="en-US"/>
                    </w:rPr>
                  </w:pPr>
                  <w:r>
                    <w:rPr>
                      <w:rFonts w:hint="eastAsia" w:cs="Times New Roman"/>
                      <w:b/>
                      <w:bCs/>
                      <w:color w:val="auto"/>
                      <w:sz w:val="21"/>
                      <w:szCs w:val="21"/>
                      <w:highlight w:val="none"/>
                      <w:lang w:val="en-US" w:eastAsia="zh-CN"/>
                    </w:rPr>
                    <w:t>全厂排放量</w:t>
                  </w:r>
                </w:p>
              </w:tc>
              <w:tc>
                <w:tcPr>
                  <w:tcW w:w="1017" w:type="dxa"/>
                  <w:tcBorders>
                    <w:tl2br w:val="nil"/>
                    <w:tr2bl w:val="nil"/>
                  </w:tcBorders>
                  <w:vAlign w:val="center"/>
                </w:tcPr>
                <w:p>
                  <w:pPr>
                    <w:adjustRightInd w:val="0"/>
                    <w:snapToGrid w:val="0"/>
                    <w:jc w:val="center"/>
                    <w:rPr>
                      <w:rFonts w:hint="default" w:ascii="Times New Roman" w:hAnsi="Times New Roman" w:cs="Times New Roman"/>
                      <w:b/>
                      <w:bCs/>
                      <w:color w:val="auto"/>
                      <w:sz w:val="21"/>
                      <w:szCs w:val="21"/>
                      <w:highlight w:val="none"/>
                    </w:rPr>
                  </w:pPr>
                  <w:r>
                    <w:rPr>
                      <w:rFonts w:hint="eastAsia" w:cs="Times New Roman"/>
                      <w:b/>
                      <w:bCs/>
                      <w:color w:val="auto"/>
                      <w:sz w:val="21"/>
                      <w:szCs w:val="21"/>
                      <w:highlight w:val="none"/>
                      <w:lang w:val="en-US" w:eastAsia="zh-CN"/>
                    </w:rPr>
                    <w:t>变化量</w:t>
                  </w:r>
                </w:p>
              </w:tc>
              <w:tc>
                <w:tcPr>
                  <w:tcW w:w="1006" w:type="dxa"/>
                  <w:tcBorders>
                    <w:tl2br w:val="nil"/>
                    <w:tr2bl w:val="nil"/>
                  </w:tcBorders>
                  <w:vAlign w:val="center"/>
                </w:tcPr>
                <w:p>
                  <w:pPr>
                    <w:adjustRightInd w:val="0"/>
                    <w:snapToGrid w:val="0"/>
                    <w:jc w:val="center"/>
                    <w:rPr>
                      <w:rFonts w:hint="default" w:cs="Times New Roman"/>
                      <w:b/>
                      <w:bCs/>
                      <w:color w:val="auto"/>
                      <w:sz w:val="21"/>
                      <w:szCs w:val="21"/>
                      <w:highlight w:val="none"/>
                      <w:lang w:val="en-US" w:eastAsia="zh-CN"/>
                    </w:rPr>
                  </w:pPr>
                  <w:r>
                    <w:rPr>
                      <w:rFonts w:hint="eastAsia" w:cs="Times New Roman"/>
                      <w:b/>
                      <w:bCs/>
                      <w:color w:val="auto"/>
                      <w:sz w:val="21"/>
                      <w:szCs w:val="21"/>
                      <w:highlight w:val="none"/>
                      <w:lang w:val="en-US" w:eastAsia="zh-CN"/>
                    </w:rPr>
                    <w:t>全厂外排环境量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restart"/>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废气</w:t>
                  </w:r>
                </w:p>
              </w:tc>
              <w:tc>
                <w:tcPr>
                  <w:tcW w:w="428" w:type="dxa"/>
                  <w:vMerge w:val="restart"/>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有组织</w:t>
                  </w: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0.02604</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0.02604</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0.135</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0.135</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+0.10896</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0.135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428"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0.00424</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0.00424</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 xml:space="preserve">0.0957 </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 xml:space="preserve">0.0957 </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+0.09146</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 xml:space="preserve">0.0957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428"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428" w:type="dxa"/>
                  <w:vMerge w:val="restart"/>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无组织</w:t>
                  </w: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0.24</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0.24</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1.5010</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1.5010</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+1.2605</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1.5010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428"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0.011</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0.011</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0.1171</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0.1171</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+0.1061</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0.1171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5"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428" w:type="dxa"/>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953" w:type="dxa"/>
                  <w:tcBorders>
                    <w:tl2br w:val="nil"/>
                    <w:tr2bl w:val="nil"/>
                  </w:tcBorders>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1017" w:type="dxa"/>
                  <w:tcBorders>
                    <w:tl2br w:val="nil"/>
                    <w:tr2bl w:val="nil"/>
                  </w:tcBorders>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1006" w:type="dxa"/>
                  <w:tcBorders>
                    <w:tl2br w:val="nil"/>
                    <w:tr2bl w:val="nil"/>
                  </w:tcBorders>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853" w:type="dxa"/>
                  <w:gridSpan w:val="2"/>
                  <w:vMerge w:val="restart"/>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w:t>
                  </w:r>
                </w:p>
              </w:tc>
              <w:tc>
                <w:tcPr>
                  <w:tcW w:w="1423"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废水量</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1374</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1080</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2454</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+1080</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2454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COD</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0.24512</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0.2754 </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0.52052</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w:t>
                  </w:r>
                  <w:r>
                    <w:rPr>
                      <w:rFonts w:hint="eastAsia"/>
                      <w:color w:val="auto"/>
                      <w:kern w:val="0"/>
                      <w:sz w:val="21"/>
                      <w:lang w:val="en-US" w:eastAsia="zh-CN" w:bidi="ar"/>
                    </w:rPr>
                    <w:t>+</w:t>
                  </w:r>
                  <w:r>
                    <w:rPr>
                      <w:rFonts w:hint="default"/>
                      <w:color w:val="auto"/>
                      <w:kern w:val="0"/>
                      <w:sz w:val="21"/>
                      <w:lang w:val="en-US" w:eastAsia="zh-CN" w:bidi="ar"/>
                    </w:rPr>
                    <w:t xml:space="preserve">0.2754 </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0.1227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SS</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0.0795</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0.1296 </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0.2091</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0.1296 </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0.0245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氨氮</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0.02785</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0.0352 </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0.06305</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0.0352 </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0.0196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TN</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0.0484 </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0.09649</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0.0484 </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0.0368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TP</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0.00433</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920"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0.0046 </w:t>
                  </w:r>
                </w:p>
              </w:tc>
              <w:tc>
                <w:tcPr>
                  <w:tcW w:w="953"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0.00893</w:t>
                  </w:r>
                </w:p>
              </w:tc>
              <w:tc>
                <w:tcPr>
                  <w:tcW w:w="1017"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0.0046 </w:t>
                  </w:r>
                </w:p>
              </w:tc>
              <w:tc>
                <w:tcPr>
                  <w:tcW w:w="1006" w:type="dxa"/>
                  <w:tcBorders>
                    <w:tl2br w:val="nil"/>
                    <w:tr2bl w:val="nil"/>
                  </w:tcBorders>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0.0012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853" w:type="dxa"/>
                  <w:gridSpan w:val="2"/>
                  <w:vMerge w:val="restart"/>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固废</w:t>
                  </w:r>
                </w:p>
              </w:tc>
              <w:tc>
                <w:tcPr>
                  <w:tcW w:w="1423"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一般固废</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7"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危险固废</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cs="Times New Roman"/>
                      <w:snapToGrid w:val="0"/>
                      <w:color w:val="auto"/>
                      <w:kern w:val="21"/>
                      <w:szCs w:val="21"/>
                      <w:highlight w:val="none"/>
                      <w:lang w:val="en-US" w:eastAsia="zh-CN"/>
                    </w:rPr>
                    <w:t>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55" w:hRule="atLeast"/>
              </w:trPr>
              <w:tc>
                <w:tcPr>
                  <w:tcW w:w="853" w:type="dxa"/>
                  <w:gridSpan w:val="2"/>
                  <w:vMerge w:val="continue"/>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p>
              </w:tc>
              <w:tc>
                <w:tcPr>
                  <w:tcW w:w="1423" w:type="dxa"/>
                  <w:tcBorders>
                    <w:tl2br w:val="nil"/>
                    <w:tr2bl w:val="nil"/>
                  </w:tcBorders>
                  <w:vAlign w:val="center"/>
                </w:tcPr>
                <w:p>
                  <w:pPr>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生活垃圾</w:t>
                  </w:r>
                </w:p>
              </w:tc>
              <w:tc>
                <w:tcPr>
                  <w:tcW w:w="816"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882"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920" w:type="dxa"/>
                  <w:tcBorders>
                    <w:tl2br w:val="nil"/>
                    <w:tr2bl w:val="nil"/>
                  </w:tcBorders>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snapToGrid w:val="0"/>
                      <w:color w:val="auto"/>
                      <w:kern w:val="21"/>
                      <w:szCs w:val="21"/>
                      <w:highlight w:val="none"/>
                      <w:lang w:val="en-US" w:eastAsia="zh-CN"/>
                    </w:rPr>
                    <w:t>0</w:t>
                  </w:r>
                </w:p>
              </w:tc>
              <w:tc>
                <w:tcPr>
                  <w:tcW w:w="953"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c>
                <w:tcPr>
                  <w:tcW w:w="1017"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c>
                <w:tcPr>
                  <w:tcW w:w="1006" w:type="dxa"/>
                  <w:tcBorders>
                    <w:tl2br w:val="nil"/>
                    <w:tr2bl w:val="nil"/>
                  </w:tcBorders>
                  <w:vAlign w:val="center"/>
                </w:tcPr>
                <w:p>
                  <w:pPr>
                    <w:pStyle w:val="58"/>
                    <w:spacing w:beforeLines="0" w:afterLines="0" w:line="240" w:lineRule="auto"/>
                    <w:jc w:val="center"/>
                    <w:rPr>
                      <w:rFonts w:hint="default" w:ascii="Times New Roman" w:hAnsi="Times New Roman" w:cs="Times New Roman"/>
                      <w:color w:val="auto"/>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w:t>
                  </w:r>
                </w:p>
              </w:tc>
            </w:tr>
          </w:tbl>
          <w:p>
            <w:pPr>
              <w:pStyle w:val="13"/>
              <w:spacing w:after="0"/>
              <w:ind w:left="0" w:leftChars="0"/>
              <w:jc w:val="center"/>
              <w:rPr>
                <w:rFonts w:hint="default" w:ascii="Times New Roman" w:hAnsi="Times New Roman" w:cs="Times New Roman"/>
                <w:b/>
                <w:bCs/>
                <w:color w:val="auto"/>
                <w:sz w:val="24"/>
                <w:szCs w:val="24"/>
                <w:highlight w:val="none"/>
              </w:rPr>
            </w:pPr>
          </w:p>
          <w:p>
            <w:pPr>
              <w:adjustRightInd w:val="0"/>
              <w:snapToGrid w:val="0"/>
              <w:spacing w:beforeLines="50" w:line="360" w:lineRule="auto"/>
              <w:ind w:firstLine="482"/>
              <w:rPr>
                <w:rFonts w:hint="default" w:ascii="Times New Roman" w:hAnsi="Times New Roman" w:eastAsia="宋体" w:cs="Times New Roman"/>
                <w:b/>
                <w:bCs/>
                <w:color w:val="auto"/>
                <w:sz w:val="24"/>
                <w:szCs w:val="24"/>
                <w:highlight w:val="none"/>
                <w:lang w:val="en-US" w:eastAsia="zh-CN"/>
              </w:rPr>
            </w:pPr>
            <w:r>
              <w:rPr>
                <w:rFonts w:hint="default" w:ascii="Times New Roman" w:hAnsi="Times New Roman" w:cs="Times New Roman"/>
                <w:b/>
                <w:bCs/>
                <w:color w:val="auto"/>
                <w:sz w:val="24"/>
                <w:szCs w:val="24"/>
                <w:highlight w:val="none"/>
              </w:rPr>
              <w:t>2、</w:t>
            </w:r>
            <w:r>
              <w:rPr>
                <w:rFonts w:hint="eastAsia" w:cs="Times New Roman"/>
                <w:b/>
                <w:bCs/>
                <w:color w:val="auto"/>
                <w:sz w:val="24"/>
                <w:szCs w:val="24"/>
                <w:highlight w:val="none"/>
                <w:lang w:val="en-US" w:eastAsia="zh-CN"/>
              </w:rPr>
              <w:t>本项目污染物总量控制指标</w:t>
            </w:r>
          </w:p>
          <w:p>
            <w:pPr>
              <w:adjustRightInd w:val="0"/>
              <w:snapToGrid w:val="0"/>
              <w:spacing w:line="360" w:lineRule="auto"/>
              <w:ind w:firstLine="480" w:firstLine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本项目污染物排放总量控制指标如下：</w:t>
            </w:r>
          </w:p>
          <w:p>
            <w:pPr>
              <w:numPr>
                <w:ilvl w:val="0"/>
                <w:numId w:val="6"/>
              </w:numPr>
              <w:adjustRightInd w:val="0"/>
              <w:snapToGrid w:val="0"/>
              <w:spacing w:line="360" w:lineRule="auto"/>
              <w:ind w:firstLine="480" w:firstLine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大气污染物</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eastAsiaTheme="minorEastAsia"/>
                <w:color w:val="auto"/>
                <w:sz w:val="24"/>
                <w:szCs w:val="24"/>
                <w:highlight w:val="none"/>
                <w:lang w:val="en-US" w:eastAsia="zh-CN"/>
              </w:rPr>
            </w:pPr>
            <w:r>
              <w:rPr>
                <w:rFonts w:hint="eastAsia" w:cs="Times New Roman" w:eastAsiaTheme="minorEastAsia"/>
                <w:color w:val="auto"/>
                <w:sz w:val="24"/>
                <w:szCs w:val="24"/>
                <w:highlight w:val="none"/>
                <w:lang w:val="en-US" w:eastAsia="zh-CN"/>
              </w:rPr>
              <w:t>全厂</w:t>
            </w:r>
            <w:r>
              <w:rPr>
                <w:rFonts w:hint="default" w:ascii="Times New Roman" w:hAnsi="Times New Roman" w:cs="Times New Roman" w:eastAsiaTheme="minorEastAsia"/>
                <w:color w:val="auto"/>
                <w:sz w:val="24"/>
                <w:szCs w:val="24"/>
                <w:highlight w:val="none"/>
              </w:rPr>
              <w:t>废气有组织排放量：颗粒物</w:t>
            </w:r>
            <w:r>
              <w:rPr>
                <w:rFonts w:hint="eastAsia" w:cs="Times New Roman" w:eastAsiaTheme="minorEastAsia"/>
                <w:color w:val="auto"/>
                <w:sz w:val="24"/>
                <w:szCs w:val="24"/>
                <w:highlight w:val="none"/>
                <w:lang w:val="en-US" w:eastAsia="zh-CN"/>
              </w:rPr>
              <w:t>0.135</w:t>
            </w:r>
            <w:r>
              <w:rPr>
                <w:rFonts w:hint="default" w:ascii="Times New Roman" w:hAnsi="Times New Roman" w:cs="Times New Roman" w:eastAsiaTheme="minorEastAsia"/>
                <w:color w:val="auto"/>
                <w:sz w:val="24"/>
                <w:szCs w:val="24"/>
                <w:highlight w:val="none"/>
              </w:rPr>
              <w:t>t/a、</w:t>
            </w:r>
            <w:r>
              <w:rPr>
                <w:rFonts w:hint="eastAsia" w:cs="Times New Roman" w:eastAsiaTheme="minorEastAsia"/>
                <w:color w:val="auto"/>
                <w:sz w:val="24"/>
                <w:szCs w:val="24"/>
                <w:highlight w:val="none"/>
                <w:lang w:val="en-US" w:eastAsia="zh-CN"/>
              </w:rPr>
              <w:t>非甲烷总烃0.0957</w:t>
            </w:r>
            <w:r>
              <w:rPr>
                <w:rFonts w:hint="eastAsia" w:ascii="Times New Roman" w:hAnsi="Times New Roman" w:cs="Times New Roman" w:eastAsiaTheme="minorEastAsia"/>
                <w:color w:val="auto"/>
                <w:sz w:val="24"/>
                <w:szCs w:val="24"/>
                <w:highlight w:val="none"/>
                <w:lang w:val="en-US" w:eastAsia="zh-CN"/>
              </w:rPr>
              <w:t>t/a</w:t>
            </w:r>
            <w:r>
              <w:rPr>
                <w:rFonts w:hint="eastAsia" w:cs="Times New Roman" w:eastAsiaTheme="minorEastAsia"/>
                <w:color w:val="auto"/>
                <w:sz w:val="24"/>
                <w:szCs w:val="24"/>
                <w:highlight w:val="none"/>
                <w:lang w:val="en-US" w:eastAsia="zh-CN"/>
              </w:rPr>
              <w:t>、MDI 0.00005t/a</w:t>
            </w:r>
            <w:r>
              <w:rPr>
                <w:rFonts w:hint="eastAsia" w:ascii="Times New Roman" w:hAnsi="Times New Roman" w:cs="Times New Roman" w:eastAsiaTheme="minorEastAsia"/>
                <w:color w:val="auto"/>
                <w:sz w:val="24"/>
                <w:szCs w:val="24"/>
                <w:highlight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eastAsiaTheme="minorEastAsia"/>
                <w:color w:val="auto"/>
                <w:sz w:val="24"/>
                <w:szCs w:val="24"/>
                <w:highlight w:val="none"/>
                <w:lang w:val="en-US" w:eastAsia="zh-CN"/>
              </w:rPr>
            </w:pPr>
            <w:r>
              <w:rPr>
                <w:rFonts w:hint="eastAsia" w:cs="Times New Roman" w:eastAsiaTheme="minorEastAsia"/>
                <w:color w:val="auto"/>
                <w:sz w:val="24"/>
                <w:szCs w:val="24"/>
                <w:highlight w:val="none"/>
                <w:lang w:val="en-US" w:eastAsia="zh-CN"/>
              </w:rPr>
              <w:t>全厂</w:t>
            </w:r>
            <w:r>
              <w:rPr>
                <w:rFonts w:hint="eastAsia" w:ascii="Times New Roman" w:hAnsi="Times New Roman" w:cs="Times New Roman" w:eastAsiaTheme="minorEastAsia"/>
                <w:color w:val="auto"/>
                <w:sz w:val="24"/>
                <w:szCs w:val="24"/>
                <w:highlight w:val="none"/>
                <w:lang w:val="en-US" w:eastAsia="zh-CN"/>
              </w:rPr>
              <w:t>废气无组织排放量：</w:t>
            </w:r>
            <w:r>
              <w:rPr>
                <w:rFonts w:hint="default" w:ascii="Times New Roman" w:hAnsi="Times New Roman" w:cs="Times New Roman" w:eastAsiaTheme="minorEastAsia"/>
                <w:color w:val="auto"/>
                <w:sz w:val="24"/>
                <w:szCs w:val="24"/>
                <w:highlight w:val="none"/>
              </w:rPr>
              <w:t>颗粒物</w:t>
            </w:r>
            <w:r>
              <w:rPr>
                <w:rFonts w:hint="eastAsia" w:cs="Times New Roman" w:eastAsiaTheme="minorEastAsia"/>
                <w:color w:val="auto"/>
                <w:sz w:val="24"/>
                <w:szCs w:val="24"/>
                <w:highlight w:val="none"/>
                <w:lang w:val="en-US" w:eastAsia="zh-CN"/>
              </w:rPr>
              <w:t>1.5010</w:t>
            </w:r>
            <w:r>
              <w:rPr>
                <w:rFonts w:hint="default" w:ascii="Times New Roman" w:hAnsi="Times New Roman" w:cs="Times New Roman" w:eastAsiaTheme="minorEastAsia"/>
                <w:color w:val="auto"/>
                <w:sz w:val="24"/>
                <w:szCs w:val="24"/>
                <w:highlight w:val="none"/>
              </w:rPr>
              <w:t>t/</w:t>
            </w:r>
            <w:r>
              <w:rPr>
                <w:rFonts w:hint="eastAsia" w:ascii="Times New Roman" w:hAnsi="Times New Roman" w:cs="Times New Roman" w:eastAsiaTheme="minorEastAsia"/>
                <w:color w:val="auto"/>
                <w:sz w:val="24"/>
                <w:szCs w:val="24"/>
                <w:highlight w:val="none"/>
                <w:lang w:val="en-US" w:eastAsia="zh-CN"/>
              </w:rPr>
              <w:t>、</w:t>
            </w:r>
            <w:r>
              <w:rPr>
                <w:rFonts w:hint="eastAsia" w:cs="Times New Roman" w:eastAsiaTheme="minorEastAsia"/>
                <w:color w:val="auto"/>
                <w:sz w:val="24"/>
                <w:szCs w:val="24"/>
                <w:highlight w:val="none"/>
                <w:lang w:val="en-US" w:eastAsia="zh-CN"/>
              </w:rPr>
              <w:t>非甲烷总烃0.1171</w:t>
            </w:r>
            <w:r>
              <w:rPr>
                <w:rFonts w:hint="eastAsia" w:ascii="Times New Roman" w:hAnsi="Times New Roman" w:cs="Times New Roman" w:eastAsiaTheme="minorEastAsia"/>
                <w:color w:val="auto"/>
                <w:sz w:val="24"/>
                <w:szCs w:val="24"/>
                <w:highlight w:val="none"/>
                <w:lang w:val="en-US" w:eastAsia="zh-CN"/>
              </w:rPr>
              <w:t>t/a</w:t>
            </w:r>
            <w:r>
              <w:rPr>
                <w:rFonts w:hint="eastAsia" w:cs="Times New Roman" w:eastAsiaTheme="minorEastAsia"/>
                <w:color w:val="auto"/>
                <w:sz w:val="24"/>
                <w:szCs w:val="24"/>
                <w:highlight w:val="none"/>
                <w:lang w:val="en-US" w:eastAsia="zh-CN"/>
              </w:rPr>
              <w:t>、MDI 0.00005t/a</w:t>
            </w:r>
            <w:r>
              <w:rPr>
                <w:rFonts w:hint="eastAsia" w:ascii="Times New Roman" w:hAnsi="Times New Roman" w:cs="Times New Roman" w:eastAsiaTheme="minorEastAsia"/>
                <w:color w:val="auto"/>
                <w:sz w:val="24"/>
                <w:szCs w:val="24"/>
                <w:highlight w:val="none"/>
                <w:lang w:val="en-US" w:eastAsia="zh-CN"/>
              </w:rPr>
              <w:t>；</w:t>
            </w:r>
          </w:p>
          <w:p>
            <w:pPr>
              <w:numPr>
                <w:ilvl w:val="0"/>
                <w:numId w:val="6"/>
              </w:numPr>
              <w:adjustRightInd w:val="0"/>
              <w:snapToGrid w:val="0"/>
              <w:spacing w:line="360" w:lineRule="auto"/>
              <w:ind w:firstLine="480" w:firstLine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水污染物</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cs="Times New Roman" w:eastAsiaTheme="minorEastAsia"/>
                <w:color w:val="auto"/>
                <w:sz w:val="24"/>
                <w:szCs w:val="24"/>
                <w:highlight w:val="none"/>
                <w:lang w:val="en-US" w:eastAsia="zh-CN"/>
              </w:rPr>
            </w:pPr>
            <w:r>
              <w:rPr>
                <w:rFonts w:hint="eastAsia" w:cs="Times New Roman" w:eastAsiaTheme="minorEastAsia"/>
                <w:color w:val="auto"/>
                <w:sz w:val="24"/>
                <w:szCs w:val="24"/>
                <w:highlight w:val="none"/>
                <w:lang w:val="en-US" w:eastAsia="zh-CN"/>
              </w:rPr>
              <w:t>新增</w:t>
            </w:r>
            <w:r>
              <w:rPr>
                <w:rFonts w:hint="eastAsia" w:ascii="Times New Roman" w:hAnsi="Times New Roman" w:cs="Times New Roman" w:eastAsiaTheme="minorEastAsia"/>
                <w:color w:val="auto"/>
                <w:sz w:val="24"/>
                <w:szCs w:val="24"/>
                <w:highlight w:val="none"/>
                <w:lang w:val="en-US" w:eastAsia="zh-CN"/>
              </w:rPr>
              <w:t>水污染物总量控制指标（接管量）：废水量</w:t>
            </w:r>
            <w:r>
              <w:rPr>
                <w:rFonts w:hint="eastAsia" w:cs="Times New Roman" w:eastAsiaTheme="minorEastAsia"/>
                <w:color w:val="auto"/>
                <w:sz w:val="24"/>
                <w:szCs w:val="24"/>
                <w:highlight w:val="none"/>
                <w:lang w:val="en-US" w:eastAsia="zh-CN"/>
              </w:rPr>
              <w:t>1080</w:t>
            </w:r>
            <w:r>
              <w:rPr>
                <w:rFonts w:hint="eastAsia" w:ascii="Times New Roman" w:hAnsi="Times New Roman" w:cs="Times New Roman" w:eastAsiaTheme="minorEastAsia"/>
                <w:color w:val="auto"/>
                <w:sz w:val="24"/>
                <w:szCs w:val="24"/>
                <w:highlight w:val="none"/>
                <w:lang w:val="en-US" w:eastAsia="zh-CN"/>
              </w:rPr>
              <w:t>t/a，COD</w:t>
            </w:r>
            <w:r>
              <w:rPr>
                <w:rFonts w:hint="eastAsia" w:cs="Times New Roman"/>
                <w:i w:val="0"/>
                <w:iCs w:val="0"/>
                <w:color w:val="auto"/>
                <w:kern w:val="0"/>
                <w:sz w:val="24"/>
                <w:szCs w:val="24"/>
                <w:highlight w:val="none"/>
                <w:u w:val="none"/>
                <w:lang w:val="en-US" w:eastAsia="zh-CN" w:bidi="ar"/>
              </w:rPr>
              <w:t>0.2754</w:t>
            </w:r>
            <w:r>
              <w:rPr>
                <w:rFonts w:hint="eastAsia" w:ascii="Times New Roman" w:hAnsi="Times New Roman" w:cs="Times New Roman" w:eastAsiaTheme="minorEastAsia"/>
                <w:color w:val="auto"/>
                <w:sz w:val="24"/>
                <w:szCs w:val="24"/>
                <w:highlight w:val="none"/>
                <w:lang w:val="en-US" w:eastAsia="zh-CN"/>
              </w:rPr>
              <w:t>t/a、SS</w:t>
            </w:r>
            <w:r>
              <w:rPr>
                <w:rFonts w:hint="default" w:cs="Times New Roman"/>
                <w:i w:val="0"/>
                <w:iCs w:val="0"/>
                <w:color w:val="auto"/>
                <w:kern w:val="0"/>
                <w:sz w:val="24"/>
                <w:szCs w:val="24"/>
                <w:highlight w:val="none"/>
                <w:u w:val="none"/>
                <w:lang w:val="en-US" w:eastAsia="zh-CN" w:bidi="ar"/>
              </w:rPr>
              <w:t>0.12</w:t>
            </w:r>
            <w:r>
              <w:rPr>
                <w:rFonts w:hint="eastAsia" w:cs="Times New Roman"/>
                <w:i w:val="0"/>
                <w:iCs w:val="0"/>
                <w:color w:val="auto"/>
                <w:kern w:val="0"/>
                <w:sz w:val="24"/>
                <w:szCs w:val="24"/>
                <w:highlight w:val="none"/>
                <w:u w:val="none"/>
                <w:lang w:val="en-US" w:eastAsia="zh-CN" w:bidi="ar"/>
              </w:rPr>
              <w:t>9</w:t>
            </w:r>
            <w:r>
              <w:rPr>
                <w:rFonts w:hint="default" w:cs="Times New Roman"/>
                <w:i w:val="0"/>
                <w:iCs w:val="0"/>
                <w:color w:val="auto"/>
                <w:kern w:val="0"/>
                <w:sz w:val="24"/>
                <w:szCs w:val="24"/>
                <w:highlight w:val="none"/>
                <w:u w:val="none"/>
                <w:lang w:val="en-US" w:eastAsia="zh-CN" w:bidi="ar"/>
              </w:rPr>
              <w:t>6</w:t>
            </w:r>
            <w:r>
              <w:rPr>
                <w:rFonts w:hint="eastAsia" w:ascii="Times New Roman" w:hAnsi="Times New Roman" w:cs="Times New Roman" w:eastAsiaTheme="minorEastAsia"/>
                <w:color w:val="auto"/>
                <w:sz w:val="24"/>
                <w:szCs w:val="24"/>
                <w:highlight w:val="none"/>
                <w:lang w:val="en-US" w:eastAsia="zh-CN"/>
              </w:rPr>
              <w:t>t/a、氨氮</w:t>
            </w:r>
            <w:r>
              <w:rPr>
                <w:rFonts w:hint="default" w:cs="Times New Roman"/>
                <w:i w:val="0"/>
                <w:iCs w:val="0"/>
                <w:color w:val="auto"/>
                <w:kern w:val="0"/>
                <w:sz w:val="24"/>
                <w:szCs w:val="24"/>
                <w:highlight w:val="none"/>
                <w:u w:val="none"/>
                <w:lang w:val="en-US" w:eastAsia="zh-CN" w:bidi="ar"/>
              </w:rPr>
              <w:t>0.0</w:t>
            </w:r>
            <w:r>
              <w:rPr>
                <w:rFonts w:hint="eastAsia" w:cs="Times New Roman"/>
                <w:i w:val="0"/>
                <w:iCs w:val="0"/>
                <w:color w:val="auto"/>
                <w:kern w:val="0"/>
                <w:sz w:val="24"/>
                <w:szCs w:val="24"/>
                <w:highlight w:val="none"/>
                <w:u w:val="none"/>
                <w:lang w:val="en-US" w:eastAsia="zh-CN" w:bidi="ar"/>
              </w:rPr>
              <w:t>352</w:t>
            </w:r>
            <w:r>
              <w:rPr>
                <w:rFonts w:hint="eastAsia" w:ascii="Times New Roman" w:hAnsi="Times New Roman" w:cs="Times New Roman" w:eastAsiaTheme="minorEastAsia"/>
                <w:color w:val="auto"/>
                <w:sz w:val="24"/>
                <w:szCs w:val="24"/>
                <w:highlight w:val="none"/>
                <w:lang w:val="en-US" w:eastAsia="zh-CN"/>
              </w:rPr>
              <w:t>t/a、TN</w:t>
            </w:r>
            <w:r>
              <w:rPr>
                <w:rFonts w:hint="default" w:cs="Times New Roman"/>
                <w:i w:val="0"/>
                <w:iCs w:val="0"/>
                <w:color w:val="auto"/>
                <w:kern w:val="0"/>
                <w:sz w:val="24"/>
                <w:szCs w:val="24"/>
                <w:highlight w:val="none"/>
                <w:u w:val="none"/>
                <w:lang w:val="en-US" w:eastAsia="zh-CN" w:bidi="ar"/>
              </w:rPr>
              <w:t>0.0</w:t>
            </w:r>
            <w:r>
              <w:rPr>
                <w:rFonts w:hint="eastAsia" w:cs="Times New Roman"/>
                <w:i w:val="0"/>
                <w:iCs w:val="0"/>
                <w:color w:val="auto"/>
                <w:kern w:val="0"/>
                <w:sz w:val="24"/>
                <w:szCs w:val="24"/>
                <w:highlight w:val="none"/>
                <w:u w:val="none"/>
                <w:lang w:val="en-US" w:eastAsia="zh-CN" w:bidi="ar"/>
              </w:rPr>
              <w:t>484</w:t>
            </w:r>
            <w:r>
              <w:rPr>
                <w:rFonts w:hint="eastAsia" w:ascii="Times New Roman" w:hAnsi="Times New Roman" w:cs="Times New Roman" w:eastAsiaTheme="minorEastAsia"/>
                <w:color w:val="auto"/>
                <w:sz w:val="24"/>
                <w:szCs w:val="24"/>
                <w:highlight w:val="none"/>
                <w:lang w:val="en-US" w:eastAsia="zh-CN"/>
              </w:rPr>
              <w:t>t/a、TP</w:t>
            </w:r>
            <w:r>
              <w:rPr>
                <w:rFonts w:hint="default" w:cs="Times New Roman"/>
                <w:i w:val="0"/>
                <w:iCs w:val="0"/>
                <w:color w:val="auto"/>
                <w:kern w:val="0"/>
                <w:sz w:val="24"/>
                <w:szCs w:val="24"/>
                <w:highlight w:val="none"/>
                <w:u w:val="none"/>
                <w:lang w:val="en-US" w:eastAsia="zh-CN" w:bidi="ar"/>
              </w:rPr>
              <w:t>0.00</w:t>
            </w:r>
            <w:r>
              <w:rPr>
                <w:rFonts w:hint="eastAsia" w:cs="Times New Roman"/>
                <w:i w:val="0"/>
                <w:iCs w:val="0"/>
                <w:color w:val="auto"/>
                <w:kern w:val="0"/>
                <w:sz w:val="24"/>
                <w:szCs w:val="24"/>
                <w:highlight w:val="none"/>
                <w:u w:val="none"/>
                <w:lang w:val="en-US" w:eastAsia="zh-CN" w:bidi="ar"/>
              </w:rPr>
              <w:t>46</w:t>
            </w:r>
            <w:r>
              <w:rPr>
                <w:rFonts w:hint="eastAsia" w:ascii="Times New Roman" w:hAnsi="Times New Roman" w:cs="Times New Roman" w:eastAsiaTheme="minorEastAsia"/>
                <w:color w:val="auto"/>
                <w:sz w:val="24"/>
                <w:szCs w:val="24"/>
                <w:highlight w:val="none"/>
                <w:lang w:val="en-US" w:eastAsia="zh-CN"/>
              </w:rPr>
              <w:t>t/a；</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eastAsiaTheme="minorEastAsia"/>
                <w:color w:val="auto"/>
                <w:sz w:val="24"/>
                <w:szCs w:val="24"/>
                <w:highlight w:val="none"/>
                <w:lang w:val="en-US" w:eastAsia="zh-CN"/>
              </w:rPr>
            </w:pPr>
            <w:r>
              <w:rPr>
                <w:rFonts w:hint="eastAsia" w:cs="Times New Roman" w:eastAsiaTheme="minorEastAsia"/>
                <w:color w:val="auto"/>
                <w:sz w:val="24"/>
                <w:szCs w:val="24"/>
                <w:highlight w:val="none"/>
                <w:lang w:val="en-US" w:eastAsia="zh-CN"/>
              </w:rPr>
              <w:t>新增</w:t>
            </w:r>
            <w:r>
              <w:rPr>
                <w:rFonts w:hint="eastAsia" w:ascii="Times New Roman" w:hAnsi="Times New Roman" w:cs="Times New Roman" w:eastAsiaTheme="minorEastAsia"/>
                <w:color w:val="auto"/>
                <w:sz w:val="24"/>
                <w:szCs w:val="24"/>
                <w:highlight w:val="none"/>
                <w:lang w:val="en-US" w:eastAsia="zh-CN"/>
              </w:rPr>
              <w:t>水污染物总量控制指标（外排量）：废水量</w:t>
            </w:r>
            <w:r>
              <w:rPr>
                <w:rFonts w:hint="eastAsia" w:cs="Times New Roman" w:eastAsiaTheme="minorEastAsia"/>
                <w:color w:val="auto"/>
                <w:sz w:val="24"/>
                <w:szCs w:val="24"/>
                <w:highlight w:val="none"/>
                <w:lang w:val="en-US" w:eastAsia="zh-CN"/>
              </w:rPr>
              <w:t>1080</w:t>
            </w:r>
            <w:r>
              <w:rPr>
                <w:rFonts w:hint="eastAsia" w:ascii="Times New Roman" w:hAnsi="Times New Roman" w:cs="Times New Roman" w:eastAsiaTheme="minorEastAsia"/>
                <w:color w:val="auto"/>
                <w:sz w:val="24"/>
                <w:szCs w:val="24"/>
                <w:highlight w:val="none"/>
                <w:lang w:val="en-US" w:eastAsia="zh-CN"/>
              </w:rPr>
              <w:t>t/a，COD</w:t>
            </w:r>
            <w:r>
              <w:rPr>
                <w:rFonts w:hint="eastAsia" w:cs="Times New Roman" w:eastAsiaTheme="minorEastAsia"/>
                <w:color w:val="auto"/>
                <w:sz w:val="24"/>
                <w:szCs w:val="24"/>
                <w:highlight w:val="none"/>
                <w:lang w:val="en-US" w:eastAsia="zh-CN"/>
              </w:rPr>
              <w:t>0.054</w:t>
            </w:r>
            <w:r>
              <w:rPr>
                <w:rFonts w:hint="eastAsia" w:ascii="Times New Roman" w:hAnsi="Times New Roman" w:cs="Times New Roman" w:eastAsiaTheme="minorEastAsia"/>
                <w:color w:val="auto"/>
                <w:sz w:val="24"/>
                <w:szCs w:val="24"/>
                <w:highlight w:val="none"/>
                <w:lang w:val="en-US" w:eastAsia="zh-CN"/>
              </w:rPr>
              <w:t>t/a、SS</w:t>
            </w:r>
            <w:r>
              <w:rPr>
                <w:rFonts w:hint="eastAsia" w:cs="Times New Roman" w:eastAsiaTheme="minorEastAsia"/>
                <w:color w:val="auto"/>
                <w:sz w:val="24"/>
                <w:szCs w:val="24"/>
                <w:highlight w:val="none"/>
                <w:lang w:val="en-US" w:eastAsia="zh-CN"/>
              </w:rPr>
              <w:t>0.0108</w:t>
            </w:r>
            <w:r>
              <w:rPr>
                <w:rFonts w:hint="eastAsia" w:ascii="Times New Roman" w:hAnsi="Times New Roman" w:cs="Times New Roman" w:eastAsiaTheme="minorEastAsia"/>
                <w:color w:val="auto"/>
                <w:sz w:val="24"/>
                <w:szCs w:val="24"/>
                <w:highlight w:val="none"/>
                <w:lang w:val="en-US" w:eastAsia="zh-CN"/>
              </w:rPr>
              <w:t>t/a、氨氮</w:t>
            </w:r>
            <w:r>
              <w:rPr>
                <w:rFonts w:hint="eastAsia" w:cs="Times New Roman" w:eastAsiaTheme="minorEastAsia"/>
                <w:color w:val="auto"/>
                <w:sz w:val="24"/>
                <w:szCs w:val="24"/>
                <w:highlight w:val="none"/>
                <w:lang w:val="en-US" w:eastAsia="zh-CN"/>
              </w:rPr>
              <w:t>0.00864</w:t>
            </w:r>
            <w:r>
              <w:rPr>
                <w:rFonts w:hint="eastAsia" w:ascii="Times New Roman" w:hAnsi="Times New Roman" w:cs="Times New Roman" w:eastAsiaTheme="minorEastAsia"/>
                <w:color w:val="auto"/>
                <w:sz w:val="24"/>
                <w:szCs w:val="24"/>
                <w:highlight w:val="none"/>
                <w:lang w:val="en-US" w:eastAsia="zh-CN"/>
              </w:rPr>
              <w:t>t/a、TN</w:t>
            </w:r>
            <w:r>
              <w:rPr>
                <w:rFonts w:hint="eastAsia" w:cs="Times New Roman" w:eastAsiaTheme="minorEastAsia"/>
                <w:color w:val="auto"/>
                <w:sz w:val="24"/>
                <w:szCs w:val="24"/>
                <w:highlight w:val="none"/>
                <w:lang w:val="en-US" w:eastAsia="zh-CN"/>
              </w:rPr>
              <w:t>0.00162</w:t>
            </w:r>
            <w:r>
              <w:rPr>
                <w:rFonts w:hint="eastAsia" w:ascii="Times New Roman" w:hAnsi="Times New Roman" w:cs="Times New Roman" w:eastAsiaTheme="minorEastAsia"/>
                <w:color w:val="auto"/>
                <w:sz w:val="24"/>
                <w:szCs w:val="24"/>
                <w:highlight w:val="none"/>
                <w:lang w:val="en-US" w:eastAsia="zh-CN"/>
              </w:rPr>
              <w:t>t/a、TP</w:t>
            </w:r>
            <w:r>
              <w:rPr>
                <w:rFonts w:hint="eastAsia" w:cs="Times New Roman" w:eastAsiaTheme="minorEastAsia"/>
                <w:color w:val="auto"/>
                <w:sz w:val="24"/>
                <w:szCs w:val="24"/>
                <w:highlight w:val="none"/>
                <w:lang w:val="en-US" w:eastAsia="zh-CN"/>
              </w:rPr>
              <w:t>0.00054</w:t>
            </w:r>
            <w:r>
              <w:rPr>
                <w:rFonts w:hint="eastAsia" w:ascii="Times New Roman" w:hAnsi="Times New Roman" w:cs="Times New Roman" w:eastAsiaTheme="minorEastAsia"/>
                <w:color w:val="auto"/>
                <w:sz w:val="24"/>
                <w:szCs w:val="24"/>
                <w:highlight w:val="none"/>
                <w:lang w:val="en-US" w:eastAsia="zh-CN"/>
              </w:rPr>
              <w:t>t/a；</w:t>
            </w:r>
          </w:p>
          <w:p>
            <w:pPr>
              <w:widowControl/>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lang w:eastAsia="zh-CN"/>
              </w:rPr>
              <w:t>（</w:t>
            </w:r>
            <w:r>
              <w:rPr>
                <w:rFonts w:hint="eastAsia" w:ascii="Times New Roman" w:hAnsi="Times New Roman" w:cs="Times New Roman" w:eastAsiaTheme="minorEastAsia"/>
                <w:color w:val="auto"/>
                <w:sz w:val="24"/>
                <w:szCs w:val="24"/>
                <w:highlight w:val="none"/>
                <w:lang w:val="en-US" w:eastAsia="zh-CN"/>
              </w:rPr>
              <w:t>3</w:t>
            </w:r>
            <w:r>
              <w:rPr>
                <w:rFonts w:hint="eastAsia" w:ascii="Times New Roman" w:hAnsi="Times New Roman" w:cs="Times New Roman" w:eastAsiaTheme="minorEastAsia"/>
                <w:color w:val="auto"/>
                <w:sz w:val="24"/>
                <w:szCs w:val="24"/>
                <w:highlight w:val="none"/>
                <w:lang w:eastAsia="zh-CN"/>
              </w:rPr>
              <w:t>）</w:t>
            </w:r>
            <w:r>
              <w:rPr>
                <w:rFonts w:hint="default" w:ascii="Times New Roman" w:hAnsi="Times New Roman" w:cs="Times New Roman" w:eastAsiaTheme="minorEastAsia"/>
                <w:color w:val="auto"/>
                <w:sz w:val="24"/>
                <w:szCs w:val="24"/>
                <w:highlight w:val="none"/>
              </w:rPr>
              <w:t>固体废物：本项目工程所有工业固废均进行合理处理处置，固体废弃物排放量为零，无需申请总量。</w:t>
            </w:r>
          </w:p>
          <w:p>
            <w:pPr>
              <w:numPr>
                <w:ilvl w:val="0"/>
                <w:numId w:val="0"/>
              </w:numPr>
              <w:autoSpaceDE w:val="0"/>
              <w:autoSpaceDN w:val="0"/>
              <w:adjustRightInd w:val="0"/>
              <w:spacing w:line="360" w:lineRule="auto"/>
              <w:ind w:firstLine="482" w:firstLineChars="200"/>
              <w:jc w:val="left"/>
              <w:rPr>
                <w:rFonts w:hint="eastAsia" w:ascii="Times New Roman" w:hAnsi="Times New Roman" w:eastAsia="宋体" w:cs="Times New Roman"/>
                <w:b/>
                <w:bCs/>
                <w:color w:val="auto"/>
                <w:kern w:val="0"/>
                <w:sz w:val="24"/>
                <w:szCs w:val="24"/>
                <w:lang w:val="en-US" w:eastAsia="zh-CN"/>
              </w:rPr>
            </w:pPr>
            <w:r>
              <w:rPr>
                <w:rFonts w:hint="eastAsia" w:ascii="Times New Roman" w:hAnsi="Times New Roman" w:eastAsia="宋体" w:cs="Times New Roman"/>
                <w:b/>
                <w:bCs/>
                <w:color w:val="auto"/>
                <w:kern w:val="0"/>
                <w:sz w:val="24"/>
                <w:szCs w:val="24"/>
                <w:lang w:val="en-US" w:eastAsia="zh-CN" w:bidi="ar-SA"/>
              </w:rPr>
              <w:t>3</w:t>
            </w:r>
            <w:r>
              <w:rPr>
                <w:rFonts w:hint="eastAsia" w:ascii="Times New Roman" w:hAnsi="Times New Roman" w:eastAsia="宋体" w:cs="Times New Roman"/>
                <w:b/>
                <w:bCs/>
                <w:color w:val="auto"/>
                <w:kern w:val="0"/>
                <w:sz w:val="24"/>
                <w:szCs w:val="24"/>
                <w:lang w:val="en-US" w:eastAsia="zh-CN"/>
              </w:rPr>
              <w:t>、排污许可技术规范核算许可排放量</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 xml:space="preserve">根据关于印发《关于进一步优化建设项目排污总量指标管理提升环评审批效能的意见（试行）》的通知（通环办〔2023〕132号），“排污单位需交易获得的排污总量指标，以及排污许可证核增的许可排放量，应与环评批复的新增排污总量（包括有组织、无组织）保持一致。环境影响报告书（表）编制时，应按照相关规定选择适用可行的核算方法确定建设项目污染物排放量，且不得大于对应行业《排污许可申请与核发技术规范》中规定方法所测算的污染物排放量。” </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根据《南通市如皋生态环境局关于优化和完善项目环评总量预报与审批流程的会议纪要》中“1.进一步完善源强核算。（1）新、改、扩建项目根据《关于印发&lt;南通市关于推进固定污染源排污总量数据统一的工作方案＞的通知》（通环办〔2024〕50号）需在排污许可证中对企业进行全赋量，因此源强核算应对照排污许可技术规范进行全面核算，与环评核算对比取严，并在环评文本中提供计算过程，执行标准等。即，无论排污许可技术规范是否明确该排口是否需要许可排放量，均应参照行业技术规范、通用工序技术规范、技术规范总则等，选择合适的核算方法（应注意本排放口在所选核算方法的适用范围内）对各排放口许可排放量进行全面核算。”</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①有组织废气核算</w:t>
            </w:r>
          </w:p>
          <w:p>
            <w:pPr>
              <w:numPr>
                <w:ilvl w:val="0"/>
                <w:numId w:val="0"/>
              </w:numPr>
              <w:autoSpaceDE w:val="0"/>
              <w:autoSpaceDN w:val="0"/>
              <w:adjustRightInd w:val="0"/>
              <w:spacing w:line="360" w:lineRule="auto"/>
              <w:ind w:firstLine="480" w:firstLineChars="200"/>
              <w:jc w:val="left"/>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本项目有组织废气主要为颗粒物、非甲烷总烃。本项目排放口为一般排放口。</w:t>
            </w:r>
          </w:p>
          <w:p>
            <w:pPr>
              <w:numPr>
                <w:ilvl w:val="0"/>
                <w:numId w:val="0"/>
              </w:numPr>
              <w:autoSpaceDE w:val="0"/>
              <w:autoSpaceDN w:val="0"/>
              <w:adjustRightInd w:val="0"/>
              <w:spacing w:line="360" w:lineRule="auto"/>
              <w:ind w:firstLine="480" w:firstLineChars="200"/>
              <w:jc w:val="left"/>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本项目为C4111鬃毛加工、制刷及清扫工具制造，参照《排污许可证申请与核发技术规范</w:t>
            </w:r>
            <w:r>
              <w:rPr>
                <w:rFonts w:hint="default" w:ascii="Times New Roman" w:hAnsi="Times New Roman" w:eastAsia="宋体" w:cs="Times New Roman"/>
                <w:color w:val="auto"/>
                <w:kern w:val="0"/>
                <w:sz w:val="24"/>
                <w:szCs w:val="24"/>
                <w:lang w:val="en-US" w:eastAsia="zh-CN" w:bidi="ar-SA"/>
              </w:rPr>
              <w:t xml:space="preserve"> </w:t>
            </w:r>
            <w:r>
              <w:rPr>
                <w:rFonts w:hint="eastAsia" w:ascii="Times New Roman" w:hAnsi="Times New Roman" w:eastAsia="宋体" w:cs="Times New Roman"/>
                <w:color w:val="auto"/>
                <w:kern w:val="0"/>
                <w:sz w:val="24"/>
                <w:szCs w:val="24"/>
                <w:lang w:val="en-US" w:eastAsia="zh-CN" w:bidi="ar-SA"/>
              </w:rPr>
              <w:t>总则》（HJ-2018）中按照排放许可浓度、风量、年生产时间确定计算</w:t>
            </w:r>
          </w:p>
          <w:p>
            <w:pPr>
              <w:numPr>
                <w:ilvl w:val="0"/>
                <w:numId w:val="0"/>
              </w:numPr>
              <w:autoSpaceDE w:val="0"/>
              <w:autoSpaceDN w:val="0"/>
              <w:adjustRightInd w:val="0"/>
              <w:spacing w:line="360" w:lineRule="auto"/>
              <w:jc w:val="center"/>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Mi=Qi×C×Ti×10</w:t>
            </w:r>
            <w:r>
              <w:rPr>
                <w:rFonts w:hint="eastAsia" w:ascii="Times New Roman" w:hAnsi="Times New Roman" w:eastAsia="宋体" w:cs="Times New Roman"/>
                <w:color w:val="auto"/>
                <w:kern w:val="0"/>
                <w:sz w:val="24"/>
                <w:szCs w:val="24"/>
                <w:vertAlign w:val="superscript"/>
                <w:lang w:val="en-US" w:eastAsia="zh-CN" w:bidi="ar-SA"/>
              </w:rPr>
              <w:t>-9</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 xml:space="preserve">M </w:t>
            </w:r>
            <w:r>
              <w:rPr>
                <w:rFonts w:hint="default" w:ascii="Times New Roman" w:hAnsi="Times New Roman" w:eastAsia="宋体" w:cs="Times New Roman"/>
                <w:color w:val="auto"/>
                <w:kern w:val="0"/>
                <w:sz w:val="24"/>
                <w:szCs w:val="24"/>
                <w:lang w:val="en-US" w:eastAsia="zh-CN" w:bidi="ar-SA"/>
              </w:rPr>
              <w:t>i ——</w:t>
            </w:r>
            <w:r>
              <w:rPr>
                <w:rFonts w:hint="eastAsia" w:ascii="Times New Roman" w:hAnsi="Times New Roman" w:eastAsia="宋体" w:cs="Times New Roman"/>
                <w:color w:val="auto"/>
                <w:kern w:val="0"/>
                <w:sz w:val="24"/>
                <w:szCs w:val="24"/>
                <w:lang w:val="en-US" w:eastAsia="zh-CN" w:bidi="ar-SA"/>
              </w:rPr>
              <w:t xml:space="preserve">第 </w:t>
            </w:r>
            <w:r>
              <w:rPr>
                <w:rFonts w:hint="default" w:ascii="Times New Roman" w:hAnsi="Times New Roman" w:eastAsia="宋体" w:cs="Times New Roman"/>
                <w:color w:val="auto"/>
                <w:kern w:val="0"/>
                <w:sz w:val="24"/>
                <w:szCs w:val="24"/>
                <w:lang w:val="en-US" w:eastAsia="zh-CN" w:bidi="ar-SA"/>
              </w:rPr>
              <w:t xml:space="preserve">i </w:t>
            </w:r>
            <w:r>
              <w:rPr>
                <w:rFonts w:hint="eastAsia" w:ascii="Times New Roman" w:hAnsi="Times New Roman" w:eastAsia="宋体" w:cs="Times New Roman"/>
                <w:color w:val="auto"/>
                <w:kern w:val="0"/>
                <w:sz w:val="24"/>
                <w:szCs w:val="24"/>
                <w:lang w:val="en-US" w:eastAsia="zh-CN" w:bidi="ar-SA"/>
              </w:rPr>
              <w:t>个主要排放口污染物年许可排放量，</w:t>
            </w:r>
            <w:r>
              <w:rPr>
                <w:rFonts w:hint="default" w:ascii="Times New Roman" w:hAnsi="Times New Roman" w:eastAsia="宋体" w:cs="Times New Roman"/>
                <w:color w:val="auto"/>
                <w:kern w:val="0"/>
                <w:sz w:val="24"/>
                <w:szCs w:val="24"/>
                <w:lang w:val="en-US" w:eastAsia="zh-CN" w:bidi="ar-SA"/>
              </w:rPr>
              <w:t>t</w:t>
            </w:r>
            <w:r>
              <w:rPr>
                <w:rFonts w:hint="eastAsia" w:ascii="Times New Roman" w:hAnsi="Times New Roman" w:eastAsia="宋体" w:cs="Times New Roman"/>
                <w:color w:val="auto"/>
                <w:kern w:val="0"/>
                <w:sz w:val="24"/>
                <w:szCs w:val="24"/>
                <w:lang w:val="en-US" w:eastAsia="zh-CN" w:bidi="ar-SA"/>
              </w:rPr>
              <w:t xml:space="preserve">； </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Q——</w:t>
            </w:r>
            <w:r>
              <w:rPr>
                <w:rFonts w:hint="eastAsia" w:ascii="Times New Roman" w:hAnsi="Times New Roman" w:eastAsia="宋体" w:cs="Times New Roman"/>
                <w:color w:val="auto"/>
                <w:kern w:val="0"/>
                <w:sz w:val="24"/>
                <w:szCs w:val="24"/>
                <w:lang w:val="en-US" w:eastAsia="zh-CN" w:bidi="ar-SA"/>
              </w:rPr>
              <w:t xml:space="preserve">第 </w:t>
            </w:r>
            <w:r>
              <w:rPr>
                <w:rFonts w:hint="default" w:ascii="Times New Roman" w:hAnsi="Times New Roman" w:eastAsia="宋体" w:cs="Times New Roman"/>
                <w:color w:val="auto"/>
                <w:kern w:val="0"/>
                <w:sz w:val="24"/>
                <w:szCs w:val="24"/>
                <w:lang w:val="en-US" w:eastAsia="zh-CN" w:bidi="ar-SA"/>
              </w:rPr>
              <w:t xml:space="preserve">i </w:t>
            </w:r>
            <w:r>
              <w:rPr>
                <w:rFonts w:hint="eastAsia" w:ascii="Times New Roman" w:hAnsi="Times New Roman" w:eastAsia="宋体" w:cs="Times New Roman"/>
                <w:color w:val="auto"/>
                <w:kern w:val="0"/>
                <w:sz w:val="24"/>
                <w:szCs w:val="24"/>
                <w:lang w:val="en-US" w:eastAsia="zh-CN" w:bidi="ar-SA"/>
              </w:rPr>
              <w:t>个主要排放口风量（标态），</w:t>
            </w:r>
            <w:r>
              <w:rPr>
                <w:rFonts w:hint="default" w:ascii="Times New Roman" w:hAnsi="Times New Roman" w:eastAsia="宋体" w:cs="Times New Roman"/>
                <w:color w:val="auto"/>
                <w:kern w:val="0"/>
                <w:sz w:val="24"/>
                <w:szCs w:val="24"/>
                <w:lang w:val="en-US" w:eastAsia="zh-CN" w:bidi="ar-SA"/>
              </w:rPr>
              <w:t>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lang w:val="en-US" w:eastAsia="zh-CN" w:bidi="ar-SA"/>
              </w:rPr>
              <w:t xml:space="preserve"> /h</w:t>
            </w:r>
            <w:r>
              <w:rPr>
                <w:rFonts w:hint="eastAsia" w:ascii="Times New Roman" w:hAnsi="Times New Roman" w:eastAsia="宋体" w:cs="Times New Roman"/>
                <w:color w:val="auto"/>
                <w:kern w:val="0"/>
                <w:sz w:val="24"/>
                <w:szCs w:val="24"/>
                <w:lang w:val="en-US" w:eastAsia="zh-CN" w:bidi="ar-SA"/>
              </w:rPr>
              <w:t xml:space="preserve">； </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C ——</w:t>
            </w:r>
            <w:r>
              <w:rPr>
                <w:rFonts w:hint="eastAsia" w:ascii="Times New Roman" w:hAnsi="Times New Roman" w:eastAsia="宋体" w:cs="Times New Roman"/>
                <w:color w:val="auto"/>
                <w:kern w:val="0"/>
                <w:sz w:val="24"/>
                <w:szCs w:val="24"/>
                <w:lang w:val="en-US" w:eastAsia="zh-CN" w:bidi="ar-SA"/>
              </w:rPr>
              <w:t>污染物许可排放浓度限值（标态），</w:t>
            </w:r>
            <w:r>
              <w:rPr>
                <w:rFonts w:hint="default" w:ascii="Times New Roman" w:hAnsi="Times New Roman" w:eastAsia="宋体" w:cs="Times New Roman"/>
                <w:color w:val="auto"/>
                <w:kern w:val="0"/>
                <w:sz w:val="24"/>
                <w:szCs w:val="24"/>
                <w:lang w:val="en-US" w:eastAsia="zh-CN" w:bidi="ar-SA"/>
              </w:rPr>
              <w:t>mg</w:t>
            </w:r>
            <w:r>
              <w:rPr>
                <w:rFonts w:hint="eastAsia" w:ascii="Times New Roman" w:hAnsi="Times New Roman" w:eastAsia="宋体" w:cs="Times New Roman"/>
                <w:color w:val="auto"/>
                <w:kern w:val="0"/>
                <w:sz w:val="24"/>
                <w:szCs w:val="24"/>
                <w:lang w:val="en-US" w:eastAsia="zh-CN" w:bidi="ar-SA"/>
              </w:rPr>
              <w:t>/</w:t>
            </w:r>
            <w:r>
              <w:rPr>
                <w:rFonts w:hint="default" w:ascii="Times New Roman" w:hAnsi="Times New Roman" w:eastAsia="宋体" w:cs="Times New Roman"/>
                <w:color w:val="auto"/>
                <w:kern w:val="0"/>
                <w:sz w:val="24"/>
                <w:szCs w:val="24"/>
                <w:lang w:val="en-US" w:eastAsia="zh-CN" w:bidi="ar-SA"/>
              </w:rPr>
              <w:t>m</w:t>
            </w:r>
            <w:r>
              <w:rPr>
                <w:rFonts w:hint="default" w:ascii="Times New Roman" w:hAnsi="Times New Roman" w:eastAsia="宋体" w:cs="Times New Roman"/>
                <w:color w:val="auto"/>
                <w:kern w:val="0"/>
                <w:sz w:val="24"/>
                <w:szCs w:val="24"/>
                <w:vertAlign w:val="superscript"/>
                <w:lang w:val="en-US" w:eastAsia="zh-CN" w:bidi="ar-SA"/>
              </w:rPr>
              <w:t>3</w:t>
            </w:r>
            <w:r>
              <w:rPr>
                <w:rFonts w:hint="default" w:ascii="Times New Roman" w:hAnsi="Times New Roman" w:eastAsia="宋体" w:cs="Times New Roman"/>
                <w:color w:val="auto"/>
                <w:kern w:val="0"/>
                <w:sz w:val="24"/>
                <w:szCs w:val="24"/>
                <w:lang w:val="en-US" w:eastAsia="zh-CN" w:bidi="ar-SA"/>
              </w:rPr>
              <w:t xml:space="preserve"> </w:t>
            </w:r>
            <w:r>
              <w:rPr>
                <w:rFonts w:hint="eastAsia" w:ascii="Times New Roman" w:hAnsi="Times New Roman" w:eastAsia="宋体" w:cs="Times New Roman"/>
                <w:color w:val="auto"/>
                <w:kern w:val="0"/>
                <w:sz w:val="24"/>
                <w:szCs w:val="24"/>
                <w:lang w:val="en-US" w:eastAsia="zh-CN" w:bidi="ar-SA"/>
              </w:rPr>
              <w:t xml:space="preserve">； </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default" w:ascii="Times New Roman" w:hAnsi="Times New Roman" w:eastAsia="宋体" w:cs="Times New Roman"/>
                <w:color w:val="auto"/>
                <w:kern w:val="0"/>
                <w:sz w:val="24"/>
                <w:szCs w:val="24"/>
                <w:lang w:val="en-US" w:eastAsia="zh-CN" w:bidi="ar-SA"/>
              </w:rPr>
              <w:t>T——</w:t>
            </w:r>
            <w:r>
              <w:rPr>
                <w:rFonts w:hint="eastAsia" w:ascii="Times New Roman" w:hAnsi="Times New Roman" w:eastAsia="宋体" w:cs="Times New Roman"/>
                <w:color w:val="auto"/>
                <w:kern w:val="0"/>
                <w:sz w:val="24"/>
                <w:szCs w:val="24"/>
                <w:lang w:val="en-US" w:eastAsia="zh-CN" w:bidi="ar-SA"/>
              </w:rPr>
              <w:t xml:space="preserve">第 </w:t>
            </w:r>
            <w:r>
              <w:rPr>
                <w:rFonts w:hint="default" w:ascii="Times New Roman" w:hAnsi="Times New Roman" w:eastAsia="宋体" w:cs="Times New Roman"/>
                <w:color w:val="auto"/>
                <w:kern w:val="0"/>
                <w:sz w:val="24"/>
                <w:szCs w:val="24"/>
                <w:lang w:val="en-US" w:eastAsia="zh-CN" w:bidi="ar-SA"/>
              </w:rPr>
              <w:t xml:space="preserve">i </w:t>
            </w:r>
            <w:r>
              <w:rPr>
                <w:rFonts w:hint="eastAsia" w:ascii="Times New Roman" w:hAnsi="Times New Roman" w:eastAsia="宋体" w:cs="Times New Roman"/>
                <w:color w:val="auto"/>
                <w:kern w:val="0"/>
                <w:sz w:val="24"/>
                <w:szCs w:val="24"/>
                <w:lang w:val="en-US" w:eastAsia="zh-CN" w:bidi="ar-SA"/>
              </w:rPr>
              <w:t>个主要排放口对应装置设计年生产时间，h；</w:t>
            </w:r>
          </w:p>
          <w:tbl>
            <w:tblPr>
              <w:tblStyle w:val="26"/>
              <w:tblW w:w="78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9"/>
              <w:gridCol w:w="1310"/>
              <w:gridCol w:w="1311"/>
              <w:gridCol w:w="1311"/>
              <w:gridCol w:w="1311"/>
              <w:gridCol w:w="1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9"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污染物类型</w:t>
                  </w:r>
                </w:p>
              </w:tc>
              <w:tc>
                <w:tcPr>
                  <w:tcW w:w="1310"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污染物</w:t>
                  </w:r>
                </w:p>
              </w:tc>
              <w:tc>
                <w:tcPr>
                  <w:tcW w:w="1311"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Q（</w:t>
                  </w:r>
                  <w:r>
                    <w:rPr>
                      <w:rFonts w:hint="default" w:ascii="Times New Roman" w:hAnsi="Times New Roman" w:eastAsia="宋体" w:cs="Times New Roman"/>
                      <w:b/>
                      <w:bCs/>
                      <w:color w:val="auto"/>
                      <w:kern w:val="0"/>
                      <w:sz w:val="21"/>
                      <w:szCs w:val="21"/>
                      <w:lang w:val="en-US" w:eastAsia="zh-CN" w:bidi="ar-SA"/>
                    </w:rPr>
                    <w:t>m</w:t>
                  </w:r>
                  <w:r>
                    <w:rPr>
                      <w:rFonts w:hint="default" w:ascii="Times New Roman" w:hAnsi="Times New Roman" w:eastAsia="宋体" w:cs="Times New Roman"/>
                      <w:b/>
                      <w:bCs/>
                      <w:color w:val="auto"/>
                      <w:kern w:val="0"/>
                      <w:sz w:val="21"/>
                      <w:szCs w:val="21"/>
                      <w:vertAlign w:val="superscript"/>
                      <w:lang w:val="en-US" w:eastAsia="zh-CN" w:bidi="ar-SA"/>
                    </w:rPr>
                    <w:t>3</w:t>
                  </w:r>
                  <w:r>
                    <w:rPr>
                      <w:rFonts w:hint="default" w:ascii="Times New Roman" w:hAnsi="Times New Roman" w:eastAsia="宋体" w:cs="Times New Roman"/>
                      <w:b/>
                      <w:bCs/>
                      <w:color w:val="auto"/>
                      <w:kern w:val="0"/>
                      <w:sz w:val="21"/>
                      <w:szCs w:val="21"/>
                      <w:lang w:val="en-US" w:eastAsia="zh-CN" w:bidi="ar-SA"/>
                    </w:rPr>
                    <w:t xml:space="preserve"> /h</w:t>
                  </w:r>
                  <w:r>
                    <w:rPr>
                      <w:rFonts w:hint="eastAsia" w:ascii="Times New Roman" w:hAnsi="Times New Roman" w:eastAsia="宋体" w:cs="Times New Roman"/>
                      <w:b/>
                      <w:bCs/>
                      <w:color w:val="auto"/>
                      <w:kern w:val="0"/>
                      <w:sz w:val="21"/>
                      <w:szCs w:val="21"/>
                      <w:vertAlign w:val="baseline"/>
                      <w:lang w:val="en-US" w:eastAsia="zh-CN" w:bidi="ar-SA"/>
                    </w:rPr>
                    <w:t>）</w:t>
                  </w:r>
                </w:p>
              </w:tc>
              <w:tc>
                <w:tcPr>
                  <w:tcW w:w="1311"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C（</w:t>
                  </w:r>
                  <w:r>
                    <w:rPr>
                      <w:rFonts w:hint="default" w:ascii="Times New Roman" w:hAnsi="Times New Roman" w:eastAsia="宋体" w:cs="Times New Roman"/>
                      <w:b/>
                      <w:bCs/>
                      <w:color w:val="auto"/>
                      <w:kern w:val="0"/>
                      <w:sz w:val="21"/>
                      <w:szCs w:val="21"/>
                      <w:lang w:val="en-US" w:eastAsia="zh-CN" w:bidi="ar-SA"/>
                    </w:rPr>
                    <w:t>mg</w:t>
                  </w:r>
                  <w:r>
                    <w:rPr>
                      <w:rFonts w:hint="eastAsia" w:ascii="Times New Roman" w:hAnsi="Times New Roman" w:eastAsia="宋体" w:cs="Times New Roman"/>
                      <w:b/>
                      <w:bCs/>
                      <w:color w:val="auto"/>
                      <w:kern w:val="0"/>
                      <w:sz w:val="21"/>
                      <w:szCs w:val="21"/>
                      <w:lang w:val="en-US" w:eastAsia="zh-CN" w:bidi="ar-SA"/>
                    </w:rPr>
                    <w:t>/</w:t>
                  </w:r>
                  <w:r>
                    <w:rPr>
                      <w:rFonts w:hint="default" w:ascii="Times New Roman" w:hAnsi="Times New Roman" w:eastAsia="宋体" w:cs="Times New Roman"/>
                      <w:b/>
                      <w:bCs/>
                      <w:color w:val="auto"/>
                      <w:kern w:val="0"/>
                      <w:sz w:val="21"/>
                      <w:szCs w:val="21"/>
                      <w:lang w:val="en-US" w:eastAsia="zh-CN" w:bidi="ar-SA"/>
                    </w:rPr>
                    <w:t>m</w:t>
                  </w:r>
                  <w:r>
                    <w:rPr>
                      <w:rFonts w:hint="default" w:ascii="Times New Roman" w:hAnsi="Times New Roman" w:eastAsia="宋体" w:cs="Times New Roman"/>
                      <w:b/>
                      <w:bCs/>
                      <w:color w:val="auto"/>
                      <w:kern w:val="0"/>
                      <w:sz w:val="21"/>
                      <w:szCs w:val="21"/>
                      <w:vertAlign w:val="superscript"/>
                      <w:lang w:val="en-US" w:eastAsia="zh-CN" w:bidi="ar-SA"/>
                    </w:rPr>
                    <w:t>3</w:t>
                  </w:r>
                  <w:r>
                    <w:rPr>
                      <w:rFonts w:hint="eastAsia" w:ascii="Times New Roman" w:hAnsi="Times New Roman" w:eastAsia="宋体" w:cs="Times New Roman"/>
                      <w:b/>
                      <w:bCs/>
                      <w:color w:val="auto"/>
                      <w:kern w:val="0"/>
                      <w:sz w:val="21"/>
                      <w:szCs w:val="21"/>
                      <w:vertAlign w:val="baseline"/>
                      <w:lang w:val="en-US" w:eastAsia="zh-CN" w:bidi="ar-SA"/>
                    </w:rPr>
                    <w:t>）</w:t>
                  </w:r>
                </w:p>
              </w:tc>
              <w:tc>
                <w:tcPr>
                  <w:tcW w:w="1311"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T（</w:t>
                  </w:r>
                  <w:r>
                    <w:rPr>
                      <w:rFonts w:hint="eastAsia" w:ascii="Times New Roman" w:hAnsi="Times New Roman" w:eastAsia="宋体" w:cs="Times New Roman"/>
                      <w:b/>
                      <w:bCs/>
                      <w:color w:val="auto"/>
                      <w:kern w:val="0"/>
                      <w:sz w:val="21"/>
                      <w:szCs w:val="21"/>
                      <w:lang w:val="en-US" w:eastAsia="zh-CN" w:bidi="ar-SA"/>
                    </w:rPr>
                    <w:t>h</w:t>
                  </w:r>
                  <w:r>
                    <w:rPr>
                      <w:rFonts w:hint="eastAsia" w:ascii="Times New Roman" w:hAnsi="Times New Roman" w:eastAsia="宋体" w:cs="Times New Roman"/>
                      <w:b/>
                      <w:bCs/>
                      <w:color w:val="auto"/>
                      <w:kern w:val="0"/>
                      <w:sz w:val="21"/>
                      <w:szCs w:val="21"/>
                      <w:vertAlign w:val="baseline"/>
                      <w:lang w:val="en-US" w:eastAsia="zh-CN" w:bidi="ar-SA"/>
                    </w:rPr>
                    <w:t>）</w:t>
                  </w:r>
                </w:p>
              </w:tc>
              <w:tc>
                <w:tcPr>
                  <w:tcW w:w="1311" w:type="dxa"/>
                  <w:noWrap w:val="0"/>
                  <w:vAlign w:val="center"/>
                </w:tcPr>
                <w:p>
                  <w:pPr>
                    <w:jc w:val="center"/>
                    <w:rPr>
                      <w:rFonts w:hint="default" w:ascii="Times New Roman" w:hAnsi="Times New Roman" w:eastAsia="宋体" w:cs="Times New Roman"/>
                      <w:b/>
                      <w:bCs/>
                      <w:color w:val="auto"/>
                      <w:kern w:val="0"/>
                      <w:sz w:val="21"/>
                      <w:szCs w:val="21"/>
                      <w:vertAlign w:val="baseline"/>
                      <w:lang w:val="en-US" w:eastAsia="zh-CN" w:bidi="ar-SA"/>
                    </w:rPr>
                  </w:pPr>
                  <w:r>
                    <w:rPr>
                      <w:rFonts w:hint="eastAsia" w:ascii="Times New Roman" w:hAnsi="Times New Roman" w:eastAsia="宋体" w:cs="Times New Roman"/>
                      <w:b/>
                      <w:bCs/>
                      <w:color w:val="auto"/>
                      <w:kern w:val="0"/>
                      <w:sz w:val="21"/>
                      <w:szCs w:val="21"/>
                      <w:vertAlign w:val="baseline"/>
                      <w:lang w:val="en-US" w:eastAsia="zh-CN" w:bidi="ar-SA"/>
                    </w:rPr>
                    <w:t>M（</w:t>
                  </w:r>
                  <w:r>
                    <w:rPr>
                      <w:rFonts w:hint="eastAsia" w:ascii="Times New Roman" w:hAnsi="Times New Roman" w:eastAsia="宋体" w:cs="Times New Roman"/>
                      <w:b/>
                      <w:bCs/>
                      <w:color w:val="auto"/>
                      <w:kern w:val="0"/>
                      <w:sz w:val="21"/>
                      <w:szCs w:val="21"/>
                      <w:lang w:val="en-US" w:eastAsia="zh-CN" w:bidi="ar-SA"/>
                    </w:rPr>
                    <w:t>t</w:t>
                  </w:r>
                  <w:r>
                    <w:rPr>
                      <w:rFonts w:hint="eastAsia" w:ascii="Times New Roman" w:hAnsi="Times New Roman" w:eastAsia="宋体" w:cs="Times New Roman"/>
                      <w:b/>
                      <w:bCs/>
                      <w:color w:val="auto"/>
                      <w:kern w:val="0"/>
                      <w:sz w:val="21"/>
                      <w:szCs w:val="21"/>
                      <w:vertAlign w:val="baseli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9" w:type="dxa"/>
                  <w:vMerge w:val="restart"/>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olor w:val="auto"/>
                      <w:szCs w:val="21"/>
                      <w:lang w:val="en-US" w:eastAsia="zh-CN"/>
                    </w:rPr>
                    <w:t>DA001</w:t>
                  </w:r>
                </w:p>
              </w:tc>
              <w:tc>
                <w:tcPr>
                  <w:tcW w:w="1310"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颗粒物</w:t>
                  </w:r>
                </w:p>
              </w:tc>
              <w:tc>
                <w:tcPr>
                  <w:tcW w:w="1311" w:type="dxa"/>
                  <w:vMerge w:val="restart"/>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17800</w:t>
                  </w: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20</w:t>
                  </w: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2400</w:t>
                  </w:r>
                </w:p>
              </w:tc>
              <w:tc>
                <w:tcPr>
                  <w:tcW w:w="1311"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0.8544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9" w:type="dxa"/>
                  <w:vMerge w:val="continue"/>
                  <w:noWrap w:val="0"/>
                  <w:vAlign w:val="center"/>
                </w:tcPr>
                <w:p>
                  <w:pPr>
                    <w:jc w:val="center"/>
                    <w:rPr>
                      <w:rFonts w:hint="eastAsia" w:ascii="Times New Roman" w:hAnsi="Times New Roman" w:eastAsia="宋体"/>
                      <w:color w:val="auto"/>
                      <w:szCs w:val="21"/>
                      <w:lang w:val="en-US" w:eastAsia="zh-CN"/>
                    </w:rPr>
                  </w:pPr>
                </w:p>
              </w:tc>
              <w:tc>
                <w:tcPr>
                  <w:tcW w:w="1310"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非甲烷总烃</w:t>
                  </w:r>
                </w:p>
              </w:tc>
              <w:tc>
                <w:tcPr>
                  <w:tcW w:w="1311" w:type="dxa"/>
                  <w:vMerge w:val="continue"/>
                  <w:noWrap w:val="0"/>
                  <w:vAlign w:val="center"/>
                </w:tcPr>
                <w:p>
                  <w:pPr>
                    <w:jc w:val="center"/>
                    <w:rPr>
                      <w:rFonts w:hint="eastAsia" w:ascii="Times New Roman" w:hAnsi="Times New Roman" w:eastAsia="宋体" w:cs="Times New Roman"/>
                      <w:color w:val="auto"/>
                      <w:kern w:val="0"/>
                      <w:sz w:val="21"/>
                      <w:szCs w:val="21"/>
                      <w:vertAlign w:val="baseline"/>
                      <w:lang w:val="en-US" w:eastAsia="zh-CN" w:bidi="ar-SA"/>
                    </w:rPr>
                  </w:pP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60</w:t>
                  </w:r>
                </w:p>
              </w:tc>
              <w:tc>
                <w:tcPr>
                  <w:tcW w:w="1311" w:type="dxa"/>
                  <w:noWrap w:val="0"/>
                  <w:vAlign w:val="center"/>
                </w:tcPr>
                <w:p>
                  <w:pPr>
                    <w:jc w:val="center"/>
                    <w:rPr>
                      <w:rFonts w:hint="eastAsia"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2400</w:t>
                  </w:r>
                </w:p>
              </w:tc>
              <w:tc>
                <w:tcPr>
                  <w:tcW w:w="1311"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2.5632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9" w:type="dxa"/>
                  <w:vMerge w:val="continue"/>
                  <w:noWrap w:val="0"/>
                  <w:vAlign w:val="center"/>
                </w:tcPr>
                <w:p>
                  <w:pPr>
                    <w:jc w:val="center"/>
                    <w:rPr>
                      <w:rFonts w:hint="eastAsia" w:ascii="Times New Roman" w:hAnsi="Times New Roman" w:eastAsia="宋体"/>
                      <w:color w:val="auto"/>
                      <w:szCs w:val="21"/>
                      <w:lang w:val="en-US" w:eastAsia="zh-CN"/>
                    </w:rPr>
                  </w:pPr>
                </w:p>
              </w:tc>
              <w:tc>
                <w:tcPr>
                  <w:tcW w:w="1310"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MDI</w:t>
                  </w:r>
                </w:p>
              </w:tc>
              <w:tc>
                <w:tcPr>
                  <w:tcW w:w="1311" w:type="dxa"/>
                  <w:vMerge w:val="continue"/>
                  <w:noWrap w:val="0"/>
                  <w:vAlign w:val="center"/>
                </w:tcPr>
                <w:p>
                  <w:pPr>
                    <w:jc w:val="center"/>
                    <w:rPr>
                      <w:rFonts w:hint="eastAsia" w:ascii="Times New Roman" w:hAnsi="Times New Roman" w:eastAsia="宋体" w:cs="Times New Roman"/>
                      <w:color w:val="auto"/>
                      <w:kern w:val="0"/>
                      <w:sz w:val="21"/>
                      <w:szCs w:val="21"/>
                      <w:vertAlign w:val="baseline"/>
                      <w:lang w:val="en-US" w:eastAsia="zh-CN" w:bidi="ar-SA"/>
                    </w:rPr>
                  </w:pP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1</w:t>
                  </w:r>
                </w:p>
              </w:tc>
              <w:tc>
                <w:tcPr>
                  <w:tcW w:w="1311" w:type="dxa"/>
                  <w:noWrap w:val="0"/>
                  <w:vAlign w:val="center"/>
                </w:tcPr>
                <w:p>
                  <w:pPr>
                    <w:jc w:val="center"/>
                    <w:rPr>
                      <w:rFonts w:hint="eastAsia"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2400</w:t>
                  </w:r>
                </w:p>
              </w:tc>
              <w:tc>
                <w:tcPr>
                  <w:tcW w:w="1311"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0.0427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309" w:type="dxa"/>
                  <w:noWrap w:val="0"/>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DA002</w:t>
                  </w:r>
                </w:p>
              </w:tc>
              <w:tc>
                <w:tcPr>
                  <w:tcW w:w="1310"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非甲烷总烃</w:t>
                  </w: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22000</w:t>
                  </w: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50</w:t>
                  </w:r>
                </w:p>
              </w:tc>
              <w:tc>
                <w:tcPr>
                  <w:tcW w:w="1311" w:type="dxa"/>
                  <w:noWrap w:val="0"/>
                  <w:vAlign w:val="center"/>
                </w:tcPr>
                <w:p>
                  <w:pPr>
                    <w:jc w:val="center"/>
                    <w:rPr>
                      <w:rFonts w:hint="default" w:ascii="Times New Roman" w:hAnsi="Times New Roman" w:eastAsia="宋体" w:cs="Times New Roman"/>
                      <w:color w:val="auto"/>
                      <w:kern w:val="0"/>
                      <w:sz w:val="21"/>
                      <w:szCs w:val="21"/>
                      <w:vertAlign w:val="baseline"/>
                      <w:lang w:val="en-US" w:eastAsia="zh-CN" w:bidi="ar-SA"/>
                    </w:rPr>
                  </w:pPr>
                  <w:r>
                    <w:rPr>
                      <w:rFonts w:hint="eastAsia" w:ascii="Times New Roman" w:hAnsi="Times New Roman" w:eastAsia="宋体" w:cs="Times New Roman"/>
                      <w:color w:val="auto"/>
                      <w:kern w:val="0"/>
                      <w:sz w:val="21"/>
                      <w:szCs w:val="21"/>
                      <w:vertAlign w:val="baseline"/>
                      <w:lang w:val="en-US" w:eastAsia="zh-CN" w:bidi="ar-SA"/>
                    </w:rPr>
                    <w:t>2400</w:t>
                  </w:r>
                </w:p>
              </w:tc>
              <w:tc>
                <w:tcPr>
                  <w:tcW w:w="1311"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kern w:val="0"/>
                      <w:sz w:val="21"/>
                      <w:szCs w:val="21"/>
                      <w:vertAlign w:val="baseli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2.6400 </w:t>
                  </w:r>
                </w:p>
              </w:tc>
            </w:tr>
          </w:tbl>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②废水核算标准</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根据《排污许可证申请与核发技术规范 总则》（HJ942-2018）中无规定的基准排水量，也可按照许可排放浓度、排水量、年生产时间确定，核算方法按下列公式计算。</w:t>
            </w:r>
          </w:p>
          <w:p>
            <w:pPr>
              <w:numPr>
                <w:ilvl w:val="0"/>
                <w:numId w:val="0"/>
              </w:numPr>
              <w:autoSpaceDE w:val="0"/>
              <w:autoSpaceDN w:val="0"/>
              <w:adjustRightInd w:val="0"/>
              <w:spacing w:line="360" w:lineRule="auto"/>
              <w:jc w:val="center"/>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E</w:t>
            </w:r>
            <w:r>
              <w:rPr>
                <w:rFonts w:hint="eastAsia" w:ascii="Times New Roman" w:hAnsi="Times New Roman" w:eastAsia="宋体" w:cs="Times New Roman"/>
                <w:color w:val="auto"/>
                <w:kern w:val="0"/>
                <w:sz w:val="24"/>
                <w:szCs w:val="24"/>
                <w:vertAlign w:val="subscript"/>
                <w:lang w:val="en-US" w:eastAsia="zh-CN" w:bidi="ar-SA"/>
              </w:rPr>
              <w:t>年许可</w:t>
            </w:r>
            <w:r>
              <w:rPr>
                <w:rFonts w:hint="eastAsia" w:ascii="Times New Roman" w:hAnsi="Times New Roman" w:eastAsia="宋体" w:cs="Times New Roman"/>
                <w:color w:val="auto"/>
                <w:kern w:val="0"/>
                <w:sz w:val="24"/>
                <w:szCs w:val="24"/>
                <w:lang w:val="en-US" w:eastAsia="zh-CN" w:bidi="ar-SA"/>
              </w:rPr>
              <w:t>=Q×C×T×10</w:t>
            </w:r>
            <w:r>
              <w:rPr>
                <w:rFonts w:hint="eastAsia" w:ascii="Times New Roman" w:hAnsi="Times New Roman" w:eastAsia="宋体" w:cs="Times New Roman"/>
                <w:color w:val="auto"/>
                <w:kern w:val="0"/>
                <w:sz w:val="24"/>
                <w:szCs w:val="24"/>
                <w:vertAlign w:val="superscript"/>
                <w:lang w:val="en-US" w:eastAsia="zh-CN" w:bidi="ar-SA"/>
              </w:rPr>
              <w:t>-6</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式中：E</w:t>
            </w:r>
            <w:r>
              <w:rPr>
                <w:rFonts w:hint="eastAsia" w:ascii="Times New Roman" w:hAnsi="Times New Roman" w:eastAsia="宋体" w:cs="Times New Roman"/>
                <w:color w:val="auto"/>
                <w:kern w:val="0"/>
                <w:sz w:val="24"/>
                <w:szCs w:val="24"/>
                <w:vertAlign w:val="subscript"/>
                <w:lang w:val="en-US" w:eastAsia="zh-CN" w:bidi="ar-SA"/>
              </w:rPr>
              <w:t>年许可</w:t>
            </w:r>
            <w:r>
              <w:rPr>
                <w:rFonts w:hint="eastAsia" w:ascii="Times New Roman" w:hAnsi="Times New Roman" w:eastAsia="宋体" w:cs="Times New Roman"/>
                <w:color w:val="auto"/>
                <w:kern w:val="0"/>
                <w:sz w:val="24"/>
                <w:szCs w:val="24"/>
                <w:lang w:val="en-US" w:eastAsia="zh-CN" w:bidi="ar-SA"/>
              </w:rPr>
              <w:t xml:space="preserve">=污染物年许可排放量，t/a； </w:t>
            </w:r>
          </w:p>
          <w:p>
            <w:pPr>
              <w:numPr>
                <w:ilvl w:val="0"/>
                <w:numId w:val="0"/>
              </w:numPr>
              <w:autoSpaceDE w:val="0"/>
              <w:autoSpaceDN w:val="0"/>
              <w:adjustRightInd w:val="0"/>
              <w:spacing w:line="360" w:lineRule="auto"/>
              <w:ind w:firstLine="1200" w:firstLineChars="5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Q--排水量，m</w:t>
            </w:r>
            <w:r>
              <w:rPr>
                <w:rFonts w:hint="eastAsia" w:ascii="Times New Roman" w:hAnsi="Times New Roman" w:eastAsia="宋体" w:cs="Times New Roman"/>
                <w:color w:val="auto"/>
                <w:kern w:val="0"/>
                <w:sz w:val="24"/>
                <w:szCs w:val="24"/>
                <w:vertAlign w:val="superscript"/>
                <w:lang w:val="en-US" w:eastAsia="zh-CN" w:bidi="ar-SA"/>
              </w:rPr>
              <w:t>3</w:t>
            </w:r>
            <w:r>
              <w:rPr>
                <w:rFonts w:hint="eastAsia" w:ascii="Times New Roman" w:hAnsi="Times New Roman" w:eastAsia="宋体" w:cs="Times New Roman"/>
                <w:color w:val="auto"/>
                <w:kern w:val="0"/>
                <w:sz w:val="24"/>
                <w:szCs w:val="24"/>
                <w:lang w:val="en-US" w:eastAsia="zh-CN" w:bidi="ar-SA"/>
              </w:rPr>
              <w:t xml:space="preserve">/d； </w:t>
            </w:r>
          </w:p>
          <w:p>
            <w:pPr>
              <w:numPr>
                <w:ilvl w:val="0"/>
                <w:numId w:val="0"/>
              </w:numPr>
              <w:autoSpaceDE w:val="0"/>
              <w:autoSpaceDN w:val="0"/>
              <w:adjustRightInd w:val="0"/>
              <w:spacing w:line="360" w:lineRule="auto"/>
              <w:ind w:firstLine="1200" w:firstLineChars="5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 xml:space="preserve">C--污染物许可排放浓度，mg/L； </w:t>
            </w:r>
          </w:p>
          <w:p>
            <w:pPr>
              <w:numPr>
                <w:ilvl w:val="0"/>
                <w:numId w:val="0"/>
              </w:numPr>
              <w:autoSpaceDE w:val="0"/>
              <w:autoSpaceDN w:val="0"/>
              <w:adjustRightInd w:val="0"/>
              <w:spacing w:line="360" w:lineRule="auto"/>
              <w:ind w:firstLine="1200" w:firstLineChars="5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T--设计年生产时间，d。</w:t>
            </w:r>
          </w:p>
          <w:tbl>
            <w:tblPr>
              <w:tblStyle w:val="26"/>
              <w:tblW w:w="78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572"/>
              <w:gridCol w:w="1573"/>
              <w:gridCol w:w="1573"/>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污染因子</w:t>
                  </w:r>
                </w:p>
              </w:tc>
              <w:tc>
                <w:tcPr>
                  <w:tcW w:w="1572" w:type="dxa"/>
                  <w:noWrap w:val="0"/>
                  <w:vAlign w:val="top"/>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Q（</w:t>
                  </w:r>
                  <w:r>
                    <w:rPr>
                      <w:rFonts w:hint="eastAsia" w:ascii="Times New Roman" w:hAnsi="Times New Roman" w:eastAsia="宋体" w:cs="Times New Roman"/>
                      <w:b/>
                      <w:bCs/>
                      <w:color w:val="auto"/>
                      <w:kern w:val="0"/>
                      <w:sz w:val="21"/>
                      <w:szCs w:val="21"/>
                      <w:lang w:val="en-US" w:eastAsia="zh-CN" w:bidi="ar-SA"/>
                    </w:rPr>
                    <w:t>m</w:t>
                  </w:r>
                  <w:r>
                    <w:rPr>
                      <w:rFonts w:hint="eastAsia" w:ascii="Times New Roman" w:hAnsi="Times New Roman" w:eastAsia="宋体" w:cs="Times New Roman"/>
                      <w:b/>
                      <w:bCs/>
                      <w:color w:val="auto"/>
                      <w:kern w:val="0"/>
                      <w:sz w:val="21"/>
                      <w:szCs w:val="21"/>
                      <w:vertAlign w:val="superscript"/>
                      <w:lang w:val="en-US" w:eastAsia="zh-CN" w:bidi="ar-SA"/>
                    </w:rPr>
                    <w:t>3</w:t>
                  </w:r>
                  <w:r>
                    <w:rPr>
                      <w:rFonts w:hint="eastAsia" w:ascii="Times New Roman" w:hAnsi="Times New Roman" w:eastAsia="宋体" w:cs="Times New Roman"/>
                      <w:b/>
                      <w:bCs/>
                      <w:color w:val="auto"/>
                      <w:kern w:val="0"/>
                      <w:sz w:val="21"/>
                      <w:szCs w:val="21"/>
                      <w:lang w:val="en-US" w:eastAsia="zh-CN" w:bidi="ar-SA"/>
                    </w:rPr>
                    <w:t>/d</w:t>
                  </w:r>
                  <w:r>
                    <w:rPr>
                      <w:rFonts w:hint="eastAsia" w:ascii="Times New Roman" w:hAnsi="Times New Roman" w:eastAsia="宋体" w:cs="Times New Roman"/>
                      <w:b/>
                      <w:bCs/>
                      <w:color w:val="auto"/>
                      <w:szCs w:val="21"/>
                      <w:lang w:val="en-US" w:eastAsia="zh-CN"/>
                    </w:rPr>
                    <w:t>）</w:t>
                  </w:r>
                </w:p>
              </w:tc>
              <w:tc>
                <w:tcPr>
                  <w:tcW w:w="1573" w:type="dxa"/>
                  <w:noWrap w:val="0"/>
                  <w:vAlign w:val="top"/>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C（</w:t>
                  </w:r>
                  <w:r>
                    <w:rPr>
                      <w:rFonts w:hint="eastAsia" w:ascii="Times New Roman" w:hAnsi="Times New Roman" w:eastAsia="宋体" w:cs="Times New Roman"/>
                      <w:b/>
                      <w:bCs/>
                      <w:color w:val="auto"/>
                      <w:kern w:val="0"/>
                      <w:sz w:val="21"/>
                      <w:szCs w:val="21"/>
                      <w:lang w:val="en-US" w:eastAsia="zh-CN" w:bidi="ar-SA"/>
                    </w:rPr>
                    <w:t>mg/L</w:t>
                  </w:r>
                  <w:r>
                    <w:rPr>
                      <w:rFonts w:hint="eastAsia" w:ascii="Times New Roman" w:hAnsi="Times New Roman" w:eastAsia="宋体" w:cs="Times New Roman"/>
                      <w:b/>
                      <w:bCs/>
                      <w:color w:val="auto"/>
                      <w:szCs w:val="21"/>
                      <w:lang w:val="en-US" w:eastAsia="zh-CN"/>
                    </w:rPr>
                    <w:t>）</w:t>
                  </w:r>
                </w:p>
              </w:tc>
              <w:tc>
                <w:tcPr>
                  <w:tcW w:w="1573" w:type="dxa"/>
                  <w:noWrap w:val="0"/>
                  <w:vAlign w:val="top"/>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T（</w:t>
                  </w:r>
                  <w:r>
                    <w:rPr>
                      <w:rFonts w:hint="eastAsia" w:ascii="Times New Roman" w:hAnsi="Times New Roman" w:eastAsia="宋体" w:cs="Times New Roman"/>
                      <w:b/>
                      <w:bCs/>
                      <w:color w:val="auto"/>
                      <w:kern w:val="0"/>
                      <w:sz w:val="21"/>
                      <w:szCs w:val="21"/>
                      <w:lang w:val="en-US" w:eastAsia="zh-CN" w:bidi="ar-SA"/>
                    </w:rPr>
                    <w:t>d</w:t>
                  </w:r>
                  <w:r>
                    <w:rPr>
                      <w:rFonts w:hint="eastAsia" w:ascii="Times New Roman" w:hAnsi="Times New Roman" w:eastAsia="宋体" w:cs="Times New Roman"/>
                      <w:b/>
                      <w:bCs/>
                      <w:color w:val="auto"/>
                      <w:szCs w:val="21"/>
                      <w:lang w:val="en-US" w:eastAsia="zh-CN"/>
                    </w:rPr>
                    <w:t>）</w:t>
                  </w:r>
                </w:p>
              </w:tc>
              <w:tc>
                <w:tcPr>
                  <w:tcW w:w="1573" w:type="dxa"/>
                  <w:noWrap w:val="0"/>
                  <w:vAlign w:val="top"/>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E</w:t>
                  </w:r>
                  <w:r>
                    <w:rPr>
                      <w:rFonts w:hint="eastAsia" w:ascii="Times New Roman" w:hAnsi="Times New Roman" w:eastAsia="宋体" w:cs="Times New Roman"/>
                      <w:b/>
                      <w:bCs/>
                      <w:color w:val="auto"/>
                      <w:kern w:val="0"/>
                      <w:sz w:val="21"/>
                      <w:szCs w:val="21"/>
                      <w:vertAlign w:val="subscript"/>
                      <w:lang w:val="en-US" w:eastAsia="zh-CN" w:bidi="ar-SA"/>
                    </w:rPr>
                    <w:t>年许可</w:t>
                  </w:r>
                  <w:r>
                    <w:rPr>
                      <w:rFonts w:hint="eastAsia" w:ascii="Times New Roman" w:hAnsi="Times New Roman" w:eastAsia="宋体" w:cs="Times New Roman"/>
                      <w:b/>
                      <w:bCs/>
                      <w:color w:val="auto"/>
                      <w:szCs w:val="21"/>
                      <w:lang w:val="en-US" w:eastAsia="zh-CN"/>
                    </w:rPr>
                    <w:t>（t/a）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COD</w:t>
                  </w:r>
                </w:p>
              </w:tc>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8.18</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500</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1.227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SS</w:t>
                  </w: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8.18</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400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0.9816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NH</w:t>
                  </w:r>
                  <w:r>
                    <w:rPr>
                      <w:rFonts w:hint="eastAsia" w:ascii="Times New Roman" w:hAnsi="Times New Roman" w:eastAsia="宋体" w:cs="Times New Roman"/>
                      <w:color w:val="auto"/>
                      <w:szCs w:val="21"/>
                      <w:vertAlign w:val="subscript"/>
                      <w:lang w:val="en-US" w:eastAsia="zh-CN"/>
                    </w:rPr>
                    <w:t>3</w:t>
                  </w:r>
                  <w:r>
                    <w:rPr>
                      <w:rFonts w:hint="eastAsia" w:ascii="Times New Roman" w:hAnsi="Times New Roman" w:eastAsia="宋体" w:cs="Times New Roman"/>
                      <w:color w:val="auto"/>
                      <w:szCs w:val="21"/>
                      <w:lang w:val="en-US" w:eastAsia="zh-CN"/>
                    </w:rPr>
                    <w:t>-N</w:t>
                  </w: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8.18</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45</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0.11043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TP</w:t>
                  </w: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8.18</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0.019632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TN</w:t>
                  </w: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8.18</w:t>
                  </w:r>
                </w:p>
              </w:tc>
              <w:tc>
                <w:tcPr>
                  <w:tcW w:w="1573" w:type="dxa"/>
                  <w:noWrap w:val="0"/>
                  <w:vAlign w:val="top"/>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70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300</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0.17178</w:t>
                  </w:r>
                </w:p>
              </w:tc>
            </w:tr>
          </w:tbl>
          <w:p>
            <w:pPr>
              <w:numPr>
                <w:ilvl w:val="0"/>
                <w:numId w:val="0"/>
              </w:numPr>
              <w:autoSpaceDE w:val="0"/>
              <w:autoSpaceDN w:val="0"/>
              <w:adjustRightInd w:val="0"/>
              <w:spacing w:line="360" w:lineRule="auto"/>
              <w:ind w:firstLine="480" w:firstLineChars="200"/>
              <w:jc w:val="left"/>
              <w:rPr>
                <w:rFonts w:hint="default"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③总量核算对比</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本项目为C4111鬃毛加工、制刷及清扫工具制造</w:t>
            </w:r>
          </w:p>
          <w:p>
            <w:pPr>
              <w:numPr>
                <w:ilvl w:val="0"/>
                <w:numId w:val="0"/>
              </w:numPr>
              <w:autoSpaceDE w:val="0"/>
              <w:autoSpaceDN w:val="0"/>
              <w:adjustRightInd w:val="0"/>
              <w:spacing w:line="360" w:lineRule="auto"/>
              <w:ind w:firstLine="480" w:firstLineChars="200"/>
              <w:jc w:val="left"/>
              <w:rPr>
                <w:rFonts w:hint="eastAsia" w:ascii="Times New Roman" w:hAnsi="Times New Roman" w:eastAsia="宋体" w:cs="Times New Roman"/>
                <w:color w:val="auto"/>
                <w:kern w:val="0"/>
                <w:sz w:val="24"/>
                <w:szCs w:val="24"/>
                <w:lang w:val="en-US" w:eastAsia="zh-CN" w:bidi="ar-SA"/>
              </w:rPr>
            </w:pPr>
            <w:r>
              <w:rPr>
                <w:rFonts w:hint="eastAsia" w:ascii="Times New Roman" w:hAnsi="Times New Roman" w:eastAsia="宋体" w:cs="Times New Roman"/>
                <w:color w:val="auto"/>
                <w:kern w:val="0"/>
                <w:sz w:val="24"/>
                <w:szCs w:val="24"/>
                <w:lang w:val="en-US" w:eastAsia="zh-CN" w:bidi="ar-SA"/>
              </w:rPr>
              <w:t>本项目总量申请与按照技术规范计算许可排放量对比见表3-12，总量申请指标按照计算方式取严。</w:t>
            </w:r>
          </w:p>
          <w:p>
            <w:pPr>
              <w:spacing w:line="276" w:lineRule="auto"/>
              <w:jc w:val="center"/>
              <w:rPr>
                <w:rFonts w:hint="eastAsia" w:ascii="Times New Roman" w:hAnsi="Times New Roman" w:eastAsia="宋体" w:cs="Times New Roman"/>
                <w:b/>
                <w:color w:val="auto"/>
                <w:sz w:val="24"/>
                <w:szCs w:val="32"/>
                <w:lang w:val="en-US" w:eastAsia="zh-CN"/>
              </w:rPr>
            </w:pPr>
            <w:r>
              <w:rPr>
                <w:rFonts w:hint="eastAsia" w:ascii="Times New Roman" w:hAnsi="Times New Roman" w:eastAsia="宋体" w:cs="Times New Roman"/>
                <w:b/>
                <w:color w:val="auto"/>
                <w:sz w:val="24"/>
                <w:szCs w:val="32"/>
                <w:lang w:val="en-US" w:eastAsia="zh-CN"/>
              </w:rPr>
              <w:t>表3-12 本项目主要污染物申报总量核算统计（t/a）</w:t>
            </w:r>
          </w:p>
          <w:tbl>
            <w:tblPr>
              <w:tblStyle w:val="26"/>
              <w:tblW w:w="7863"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72"/>
              <w:gridCol w:w="1572"/>
              <w:gridCol w:w="1573"/>
              <w:gridCol w:w="1573"/>
              <w:gridCol w:w="15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center"/>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污染物类型</w:t>
                  </w:r>
                </w:p>
              </w:tc>
              <w:tc>
                <w:tcPr>
                  <w:tcW w:w="1572" w:type="dxa"/>
                  <w:noWrap w:val="0"/>
                  <w:vAlign w:val="center"/>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污染物</w:t>
                  </w:r>
                </w:p>
              </w:tc>
              <w:tc>
                <w:tcPr>
                  <w:tcW w:w="1573" w:type="dxa"/>
                  <w:noWrap w:val="0"/>
                  <w:vAlign w:val="center"/>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报告表核算排放量</w:t>
                  </w:r>
                </w:p>
              </w:tc>
              <w:tc>
                <w:tcPr>
                  <w:tcW w:w="1573" w:type="dxa"/>
                  <w:noWrap w:val="0"/>
                  <w:vAlign w:val="center"/>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按技术规划核算许可总量</w:t>
                  </w:r>
                </w:p>
              </w:tc>
              <w:tc>
                <w:tcPr>
                  <w:tcW w:w="1573" w:type="dxa"/>
                  <w:noWrap w:val="0"/>
                  <w:vAlign w:val="center"/>
                </w:tcPr>
                <w:p>
                  <w:pPr>
                    <w:jc w:val="center"/>
                    <w:rPr>
                      <w:rFonts w:hint="default" w:ascii="Times New Roman" w:hAnsi="Times New Roman" w:eastAsia="宋体" w:cs="Times New Roman"/>
                      <w:b/>
                      <w:bCs/>
                      <w:color w:val="auto"/>
                      <w:szCs w:val="21"/>
                      <w:lang w:val="en-US" w:eastAsia="zh-CN"/>
                    </w:rPr>
                  </w:pPr>
                  <w:r>
                    <w:rPr>
                      <w:rFonts w:hint="eastAsia" w:ascii="Times New Roman" w:hAnsi="Times New Roman" w:eastAsia="宋体" w:cs="Times New Roman"/>
                      <w:b/>
                      <w:bCs/>
                      <w:color w:val="auto"/>
                      <w:szCs w:val="21"/>
                      <w:lang w:val="en-US" w:eastAsia="zh-CN"/>
                    </w:rPr>
                    <w:t>申报总量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restart"/>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DA001</w:t>
                  </w:r>
                </w:p>
              </w:tc>
              <w:tc>
                <w:tcPr>
                  <w:tcW w:w="1572"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颗粒物</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0.135</w:t>
                  </w:r>
                </w:p>
              </w:tc>
              <w:tc>
                <w:tcPr>
                  <w:tcW w:w="1573"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0.8544 </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olor w:val="auto"/>
                      <w:szCs w:val="21"/>
                    </w:rPr>
                  </w:pPr>
                </w:p>
              </w:tc>
              <w:tc>
                <w:tcPr>
                  <w:tcW w:w="1572" w:type="dxa"/>
                  <w:noWrap w:val="0"/>
                  <w:vAlign w:val="center"/>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非甲烷总烃</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0.0149</w:t>
                  </w:r>
                </w:p>
              </w:tc>
              <w:tc>
                <w:tcPr>
                  <w:tcW w:w="1573"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2.5632 </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0.0149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olor w:val="auto"/>
                      <w:szCs w:val="21"/>
                    </w:rPr>
                  </w:pPr>
                </w:p>
              </w:tc>
              <w:tc>
                <w:tcPr>
                  <w:tcW w:w="1572" w:type="dxa"/>
                  <w:noWrap w:val="0"/>
                  <w:vAlign w:val="center"/>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MDI</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0.00005</w:t>
                  </w:r>
                </w:p>
              </w:tc>
              <w:tc>
                <w:tcPr>
                  <w:tcW w:w="1573"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0.0427 </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noWrap w:val="0"/>
                  <w:vAlign w:val="center"/>
                </w:tcPr>
                <w:p>
                  <w:pPr>
                    <w:jc w:val="center"/>
                    <w:rPr>
                      <w:rFonts w:hint="default" w:ascii="Times New Roman" w:hAnsi="Times New Roman" w:eastAsia="宋体"/>
                      <w:color w:val="auto"/>
                      <w:szCs w:val="21"/>
                      <w:lang w:val="en-US" w:eastAsia="zh-CN"/>
                    </w:rPr>
                  </w:pPr>
                  <w:r>
                    <w:rPr>
                      <w:rFonts w:hint="eastAsia" w:ascii="Times New Roman" w:hAnsi="Times New Roman" w:eastAsia="宋体"/>
                      <w:color w:val="auto"/>
                      <w:szCs w:val="21"/>
                      <w:lang w:val="en-US" w:eastAsia="zh-CN"/>
                    </w:rPr>
                    <w:t>DA002</w:t>
                  </w:r>
                </w:p>
              </w:tc>
              <w:tc>
                <w:tcPr>
                  <w:tcW w:w="1572" w:type="dxa"/>
                  <w:noWrap w:val="0"/>
                  <w:vAlign w:val="center"/>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非甲烷总烃</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0.0808</w:t>
                  </w:r>
                </w:p>
              </w:tc>
              <w:tc>
                <w:tcPr>
                  <w:tcW w:w="1573" w:type="dxa"/>
                  <w:noWrap w:val="0"/>
                  <w:vAlign w:val="center"/>
                </w:tcPr>
                <w:p>
                  <w:pPr>
                    <w:keepNext w:val="0"/>
                    <w:keepLines w:val="0"/>
                    <w:widowControl/>
                    <w:suppressLineNumbers w:val="0"/>
                    <w:jc w:val="center"/>
                    <w:textAlignment w:val="center"/>
                    <w:rPr>
                      <w:rFonts w:hint="eastAsia" w:ascii="Times New Roman" w:hAnsi="Times New Roman" w:eastAsia="宋体" w:cs="Times New Roman"/>
                      <w:color w:val="auto"/>
                      <w:szCs w:val="21"/>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2.6400 </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0.0808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restart"/>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无组织</w:t>
                  </w:r>
                </w:p>
              </w:tc>
              <w:tc>
                <w:tcPr>
                  <w:tcW w:w="1572"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颗粒物</w:t>
                  </w:r>
                </w:p>
              </w:tc>
              <w:tc>
                <w:tcPr>
                  <w:tcW w:w="1573" w:type="dxa"/>
                  <w:noWrap w:val="0"/>
                  <w:vAlign w:val="center"/>
                </w:tcPr>
                <w:p>
                  <w:pPr>
                    <w:pStyle w:val="58"/>
                    <w:spacing w:beforeLines="0" w:afterLines="0"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1.5010</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w:t>
                  </w:r>
                </w:p>
              </w:tc>
              <w:tc>
                <w:tcPr>
                  <w:tcW w:w="1573" w:type="dxa"/>
                  <w:noWrap w:val="0"/>
                  <w:vAlign w:val="center"/>
                </w:tcPr>
                <w:p>
                  <w:pPr>
                    <w:pStyle w:val="58"/>
                    <w:spacing w:beforeLines="0" w:afterLines="0"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1.5010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非甲烷总烃</w:t>
                  </w:r>
                </w:p>
              </w:tc>
              <w:tc>
                <w:tcPr>
                  <w:tcW w:w="1573" w:type="dxa"/>
                  <w:noWrap w:val="0"/>
                  <w:vAlign w:val="center"/>
                </w:tcPr>
                <w:p>
                  <w:pPr>
                    <w:pStyle w:val="58"/>
                    <w:spacing w:beforeLines="0" w:afterLines="0"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0.1171</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w:t>
                  </w:r>
                </w:p>
              </w:tc>
              <w:tc>
                <w:tcPr>
                  <w:tcW w:w="1573" w:type="dxa"/>
                  <w:noWrap w:val="0"/>
                  <w:vAlign w:val="center"/>
                </w:tcPr>
                <w:p>
                  <w:pPr>
                    <w:pStyle w:val="58"/>
                    <w:spacing w:beforeLines="0" w:afterLines="0" w:line="240" w:lineRule="auto"/>
                    <w:jc w:val="center"/>
                    <w:rPr>
                      <w:rFonts w:hint="default"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0.1171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center"/>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kern w:val="0"/>
                      <w:sz w:val="21"/>
                      <w:szCs w:val="21"/>
                      <w:vertAlign w:val="baseline"/>
                      <w:lang w:val="en-US" w:eastAsia="zh-CN" w:bidi="ar-SA"/>
                    </w:rPr>
                    <w:t>MDI</w:t>
                  </w:r>
                </w:p>
              </w:tc>
              <w:tc>
                <w:tcPr>
                  <w:tcW w:w="1573" w:type="dxa"/>
                  <w:noWrap w:val="0"/>
                  <w:vAlign w:val="center"/>
                </w:tcPr>
                <w:p>
                  <w:pPr>
                    <w:pStyle w:val="58"/>
                    <w:spacing w:beforeLines="0" w:afterLines="0" w:line="240" w:lineRule="auto"/>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0.00005</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w:t>
                  </w:r>
                </w:p>
              </w:tc>
              <w:tc>
                <w:tcPr>
                  <w:tcW w:w="1573" w:type="dxa"/>
                  <w:noWrap w:val="0"/>
                  <w:vAlign w:val="center"/>
                </w:tcPr>
                <w:p>
                  <w:pPr>
                    <w:pStyle w:val="58"/>
                    <w:spacing w:beforeLines="0" w:afterLines="0" w:line="240" w:lineRule="auto"/>
                    <w:jc w:val="center"/>
                    <w:rPr>
                      <w:rFonts w:hint="eastAsia" w:ascii="Times New Roman" w:hAnsi="Times New Roman" w:eastAsia="宋体" w:cs="Times New Roman"/>
                      <w:color w:val="auto"/>
                      <w:szCs w:val="21"/>
                      <w:lang w:val="en-US" w:eastAsia="zh-CN"/>
                    </w:rPr>
                  </w:pPr>
                  <w:r>
                    <w:rPr>
                      <w:rFonts w:hint="eastAsia" w:ascii="Times New Roman" w:hAnsi="Times New Roman" w:cs="Times New Roman"/>
                      <w:snapToGrid w:val="0"/>
                      <w:color w:val="auto"/>
                      <w:kern w:val="21"/>
                      <w:szCs w:val="21"/>
                      <w:highlight w:val="none"/>
                      <w:lang w:val="en-US" w:eastAsia="zh-CN"/>
                    </w:rPr>
                    <w:t>0.00005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restart"/>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废水接管量</w:t>
                  </w:r>
                </w:p>
              </w:tc>
              <w:tc>
                <w:tcPr>
                  <w:tcW w:w="1572"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废水量</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default"/>
                      <w:color w:val="auto"/>
                      <w:kern w:val="0"/>
                      <w:sz w:val="21"/>
                      <w:lang w:val="en-US" w:eastAsia="zh-CN" w:bidi="ar"/>
                    </w:rPr>
                    <w:t>2454</w:t>
                  </w:r>
                </w:p>
              </w:tc>
              <w:tc>
                <w:tcPr>
                  <w:tcW w:w="1573" w:type="dxa"/>
                  <w:noWrap w:val="0"/>
                  <w:vAlign w:val="center"/>
                </w:tcPr>
                <w:p>
                  <w:pPr>
                    <w:jc w:val="center"/>
                    <w:rPr>
                      <w:rFonts w:hint="default"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2454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COD</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0.52052</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1.227</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0.52052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SS</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0.2091</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0.9816</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0.2091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NH</w:t>
                  </w:r>
                  <w:r>
                    <w:rPr>
                      <w:rFonts w:hint="eastAsia" w:ascii="Times New Roman" w:hAnsi="Times New Roman" w:eastAsia="宋体" w:cs="Times New Roman"/>
                      <w:color w:val="auto"/>
                      <w:szCs w:val="21"/>
                      <w:vertAlign w:val="subscript"/>
                      <w:lang w:val="en-US" w:eastAsia="zh-CN"/>
                    </w:rPr>
                    <w:t>3</w:t>
                  </w:r>
                  <w:r>
                    <w:rPr>
                      <w:rFonts w:hint="eastAsia" w:ascii="Times New Roman" w:hAnsi="Times New Roman" w:eastAsia="宋体" w:cs="Times New Roman"/>
                      <w:color w:val="auto"/>
                      <w:szCs w:val="21"/>
                      <w:lang w:val="en-US" w:eastAsia="zh-CN"/>
                    </w:rPr>
                    <w:t>-N</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0.06305</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0.11043</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0.06305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TP</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0.00893</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0.019632</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0.00893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572" w:type="dxa"/>
                  <w:vMerge w:val="continue"/>
                  <w:noWrap w:val="0"/>
                  <w:vAlign w:val="center"/>
                </w:tcPr>
                <w:p>
                  <w:pPr>
                    <w:jc w:val="center"/>
                    <w:rPr>
                      <w:rFonts w:hint="eastAsia" w:ascii="Times New Roman" w:hAnsi="Times New Roman" w:eastAsia="宋体" w:cs="Times New Roman"/>
                      <w:color w:val="auto"/>
                      <w:szCs w:val="21"/>
                      <w:lang w:val="en-US" w:eastAsia="zh-CN"/>
                    </w:rPr>
                  </w:pPr>
                </w:p>
              </w:tc>
              <w:tc>
                <w:tcPr>
                  <w:tcW w:w="1572"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TN</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0.09649</w:t>
                  </w:r>
                </w:p>
              </w:tc>
              <w:tc>
                <w:tcPr>
                  <w:tcW w:w="1573" w:type="dxa"/>
                  <w:noWrap w:val="0"/>
                  <w:vAlign w:val="top"/>
                </w:tcPr>
                <w:p>
                  <w:pPr>
                    <w:jc w:val="center"/>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Cs w:val="21"/>
                      <w:lang w:val="en-US" w:eastAsia="zh-CN"/>
                    </w:rPr>
                    <w:t>0.17178</w:t>
                  </w:r>
                </w:p>
              </w:tc>
              <w:tc>
                <w:tcPr>
                  <w:tcW w:w="1573" w:type="dxa"/>
                  <w:noWrap w:val="0"/>
                  <w:vAlign w:val="center"/>
                </w:tcPr>
                <w:p>
                  <w:pPr>
                    <w:widowControl/>
                    <w:jc w:val="center"/>
                    <w:textAlignment w:val="center"/>
                    <w:rPr>
                      <w:rFonts w:hint="eastAsia" w:ascii="Times New Roman" w:hAnsi="Times New Roman" w:eastAsia="宋体" w:cs="Times New Roman"/>
                      <w:color w:val="auto"/>
                      <w:szCs w:val="21"/>
                      <w:lang w:val="en-US" w:eastAsia="zh-CN"/>
                    </w:rPr>
                  </w:pPr>
                  <w:r>
                    <w:rPr>
                      <w:rFonts w:hint="default"/>
                      <w:color w:val="auto"/>
                      <w:kern w:val="0"/>
                      <w:sz w:val="21"/>
                      <w:lang w:val="en-US" w:eastAsia="zh-CN" w:bidi="ar"/>
                    </w:rPr>
                    <w:t>0.09649</w:t>
                  </w:r>
                </w:p>
              </w:tc>
            </w:tr>
          </w:tbl>
          <w:p>
            <w:pPr>
              <w:widowControl/>
              <w:adjustRightInd w:val="0"/>
              <w:snapToGrid w:val="0"/>
              <w:spacing w:line="360" w:lineRule="auto"/>
              <w:ind w:firstLine="482" w:firstLineChars="200"/>
              <w:jc w:val="left"/>
              <w:rPr>
                <w:rFonts w:hint="default" w:cs="Times New Roman" w:eastAsiaTheme="minorEastAsia"/>
                <w:b/>
                <w:bCs/>
                <w:color w:val="auto"/>
                <w:sz w:val="24"/>
                <w:szCs w:val="24"/>
                <w:highlight w:val="none"/>
                <w:lang w:val="en-US" w:eastAsia="zh-CN"/>
              </w:rPr>
            </w:pPr>
            <w:r>
              <w:rPr>
                <w:rFonts w:hint="eastAsia" w:cs="Times New Roman" w:eastAsiaTheme="minorEastAsia"/>
                <w:b/>
                <w:bCs/>
                <w:color w:val="auto"/>
                <w:sz w:val="24"/>
                <w:szCs w:val="24"/>
                <w:highlight w:val="none"/>
                <w:lang w:val="en-US" w:eastAsia="zh-CN"/>
              </w:rPr>
              <w:t>4、总量平衡方案</w:t>
            </w:r>
          </w:p>
          <w:p>
            <w:pPr>
              <w:adjustRightInd w:val="0"/>
              <w:snapToGrid w:val="0"/>
              <w:spacing w:line="360" w:lineRule="auto"/>
              <w:ind w:firstLine="480" w:firstLineChars="200"/>
              <w:rPr>
                <w:rFonts w:hint="default" w:ascii="Times New Roman" w:hAnsi="Times New Roman" w:cs="Times New Roman"/>
                <w:b/>
                <w:color w:val="auto"/>
                <w:sz w:val="24"/>
                <w:szCs w:val="24"/>
                <w:highlight w:val="none"/>
              </w:rPr>
            </w:pPr>
            <w:r>
              <w:rPr>
                <w:rFonts w:hint="eastAsia" w:ascii="Times New Roman" w:hAnsi="Times New Roman" w:cs="Times New Roman" w:eastAsiaTheme="minorEastAsia"/>
                <w:color w:val="auto"/>
                <w:sz w:val="24"/>
                <w:szCs w:val="24"/>
                <w:highlight w:val="none"/>
                <w:lang w:val="en-US" w:eastAsia="zh-CN"/>
              </w:rPr>
              <w:t>根据《国民经济行业分类》，本项目属于</w:t>
            </w:r>
            <w:r>
              <w:rPr>
                <w:rFonts w:hint="eastAsia" w:cs="Times New Roman"/>
                <w:color w:val="auto"/>
                <w:sz w:val="24"/>
                <w:szCs w:val="24"/>
                <w:highlight w:val="none"/>
                <w:lang w:val="en-US" w:eastAsia="zh-CN"/>
              </w:rPr>
              <w:t>C4111鬃毛加工、制刷及清扫工具制造</w:t>
            </w:r>
            <w:r>
              <w:rPr>
                <w:rFonts w:hint="eastAsia" w:ascii="Times New Roman" w:hAnsi="Times New Roman" w:cs="Times New Roman" w:eastAsiaTheme="minorEastAsia"/>
                <w:color w:val="auto"/>
                <w:sz w:val="24"/>
                <w:szCs w:val="24"/>
                <w:highlight w:val="none"/>
                <w:lang w:val="en-US" w:eastAsia="zh-CN"/>
              </w:rPr>
              <w:t>，对照《固定污染源排污许可分类管理名录》（2019版），本项目属于“三十六、其他制造业41”“90、日用杂品制造411”中“其他”，排污类别为登记管理。对照《关于进一步优化建设项目排污总量指标管理提升环评审批效能的意见（试行）》（通环办[2023]132号），根据“《固定污染源排污许可分类管理名录》（2019版），对实施登记管理的建设项目不再实施总量平衡”。因此本项目无需实施总量平衡。</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2"/>
        <w:keepNext w:val="0"/>
        <w:keepLines w:val="0"/>
        <w:pageBreakBefore w:val="0"/>
        <w:widowControl/>
        <w:kinsoku/>
        <w:wordWrap/>
        <w:overflowPunct/>
        <w:topLinePunct w:val="0"/>
        <w:autoSpaceDE/>
        <w:autoSpaceDN/>
        <w:bidi w:val="0"/>
        <w:adjustRightInd/>
        <w:snapToGrid/>
        <w:jc w:val="center"/>
        <w:textAlignment w:val="auto"/>
        <w:outlineLvl w:val="0"/>
        <w:rPr>
          <w:rFonts w:hint="default" w:ascii="Times New Roman" w:hAnsi="Times New Roman" w:cs="Times New Roman"/>
          <w:b/>
          <w:snapToGrid w:val="0"/>
          <w:color w:val="auto"/>
          <w:sz w:val="30"/>
          <w:szCs w:val="30"/>
          <w:highlight w:val="none"/>
        </w:rPr>
      </w:pPr>
      <w:r>
        <w:rPr>
          <w:rFonts w:hint="default" w:ascii="Times New Roman" w:hAnsi="Times New Roman" w:cs="Times New Roman"/>
          <w:b/>
          <w:snapToGrid w:val="0"/>
          <w:color w:val="auto"/>
          <w:sz w:val="30"/>
          <w:szCs w:val="30"/>
          <w:highlight w:val="none"/>
        </w:rPr>
        <w:t>四、主要环境影响和保护措施</w:t>
      </w:r>
    </w:p>
    <w:tbl>
      <w:tblPr>
        <w:tblStyle w:val="2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8"/>
        <w:gridCol w:w="80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0" w:hRule="atLeast"/>
        </w:trPr>
        <w:tc>
          <w:tcPr>
            <w:tcW w:w="498" w:type="dxa"/>
            <w:vAlign w:val="center"/>
          </w:tcPr>
          <w:p>
            <w:pPr>
              <w:pStyle w:val="22"/>
              <w:adjustRightInd w:val="0"/>
              <w:snapToGrid w:val="0"/>
              <w:spacing w:before="0" w:beforeAutospacing="0" w:after="0" w:afterAutospacing="0"/>
              <w:ind w:left="105" w:leftChars="50" w:right="210" w:rightChars="100"/>
              <w:jc w:val="center"/>
              <w:rPr>
                <w:rFonts w:hint="default" w:ascii="Times New Roman" w:hAnsi="Times New Roman" w:cs="Times New Roman"/>
                <w:b/>
                <w:snapToGrid w:val="0"/>
                <w:color w:val="auto"/>
                <w:sz w:val="24"/>
                <w:szCs w:val="24"/>
                <w:highlight w:val="none"/>
              </w:rPr>
            </w:pPr>
            <w:r>
              <w:rPr>
                <w:rFonts w:hint="default" w:ascii="Times New Roman" w:hAnsi="Times New Roman" w:cs="Times New Roman"/>
                <w:color w:val="auto"/>
                <w:kern w:val="2"/>
                <w:sz w:val="24"/>
                <w:szCs w:val="24"/>
                <w:highlight w:val="none"/>
              </w:rPr>
              <w:t>施工期环境保护措施</w:t>
            </w:r>
          </w:p>
        </w:tc>
        <w:tc>
          <w:tcPr>
            <w:tcW w:w="8024" w:type="dxa"/>
            <w:vAlign w:val="center"/>
          </w:tcPr>
          <w:p>
            <w:pPr>
              <w:adjustRightInd w:val="0"/>
              <w:snapToGrid w:val="0"/>
              <w:spacing w:line="360" w:lineRule="auto"/>
              <w:ind w:firstLine="480" w:firstLineChars="200"/>
              <w:jc w:val="both"/>
              <w:rPr>
                <w:rFonts w:hint="default" w:ascii="Times New Roman" w:hAnsi="Times New Roman" w:cs="Times New Roman"/>
                <w:color w:val="auto"/>
                <w:kern w:val="0"/>
                <w:sz w:val="21"/>
                <w:szCs w:val="21"/>
                <w:highlight w:val="none"/>
              </w:rPr>
            </w:pPr>
            <w:r>
              <w:rPr>
                <w:rFonts w:hint="default" w:ascii="Times New Roman" w:hAnsi="Times New Roman" w:eastAsia="宋体" w:cs="Times New Roman"/>
                <w:b w:val="0"/>
                <w:bCs/>
                <w:color w:val="auto"/>
                <w:kern w:val="2"/>
                <w:sz w:val="24"/>
                <w:szCs w:val="24"/>
                <w:lang w:val="en-US" w:eastAsia="zh-CN" w:bidi="ar-SA"/>
              </w:rPr>
              <w:t>本项目</w:t>
            </w:r>
            <w:r>
              <w:rPr>
                <w:rFonts w:hint="eastAsia" w:cs="Times New Roman"/>
                <w:b w:val="0"/>
                <w:bCs/>
                <w:color w:val="auto"/>
                <w:kern w:val="2"/>
                <w:sz w:val="24"/>
                <w:szCs w:val="24"/>
                <w:lang w:val="en-US" w:eastAsia="zh-CN" w:bidi="ar-SA"/>
              </w:rPr>
              <w:t>利用</w:t>
            </w:r>
            <w:r>
              <w:rPr>
                <w:rFonts w:hint="default" w:ascii="Times New Roman" w:hAnsi="Times New Roman" w:eastAsia="宋体" w:cs="Times New Roman"/>
                <w:b w:val="0"/>
                <w:bCs/>
                <w:color w:val="auto"/>
                <w:kern w:val="2"/>
                <w:sz w:val="24"/>
                <w:szCs w:val="24"/>
                <w:lang w:val="en-US" w:eastAsia="zh-CN" w:bidi="ar-SA"/>
              </w:rPr>
              <w:t>现有厂房，施工期影响主要为后续设备安装产生的噪声，对环境影响较小，本项目不作具体分析。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98" w:type="dxa"/>
            <w:vAlign w:val="center"/>
          </w:tcPr>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运</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营</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期</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环</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境</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影</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响</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和</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保</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护</w:t>
            </w:r>
          </w:p>
          <w:p>
            <w:pPr>
              <w:adjustRightInd w:val="0"/>
              <w:snapToGrid w:val="0"/>
              <w:jc w:val="center"/>
              <w:rPr>
                <w:rFonts w:hint="default" w:ascii="Times New Roman" w:hAnsi="Times New Roman" w:cs="Times New Roman"/>
                <w:bCs/>
                <w:color w:val="auto"/>
                <w:kern w:val="0"/>
                <w:sz w:val="24"/>
                <w:szCs w:val="24"/>
                <w:highlight w:val="none"/>
              </w:rPr>
            </w:pPr>
            <w:r>
              <w:rPr>
                <w:rFonts w:hint="default" w:ascii="Times New Roman" w:hAnsi="Times New Roman" w:cs="Times New Roman"/>
                <w:bCs/>
                <w:color w:val="auto"/>
                <w:kern w:val="0"/>
                <w:sz w:val="24"/>
                <w:szCs w:val="24"/>
                <w:highlight w:val="none"/>
              </w:rPr>
              <w:t>措</w:t>
            </w:r>
          </w:p>
          <w:p>
            <w:pPr>
              <w:adjustRightInd w:val="0"/>
              <w:snapToGrid w:val="0"/>
              <w:jc w:val="center"/>
              <w:rPr>
                <w:rFonts w:hint="default" w:ascii="Times New Roman" w:hAnsi="Times New Roman" w:cs="Times New Roman"/>
                <w:b/>
                <w:snapToGrid w:val="0"/>
                <w:color w:val="auto"/>
                <w:kern w:val="0"/>
                <w:sz w:val="24"/>
                <w:szCs w:val="24"/>
                <w:highlight w:val="none"/>
              </w:rPr>
            </w:pPr>
            <w:r>
              <w:rPr>
                <w:rFonts w:hint="default" w:ascii="Times New Roman" w:hAnsi="Times New Roman" w:cs="Times New Roman"/>
                <w:bCs/>
                <w:color w:val="auto"/>
                <w:kern w:val="0"/>
                <w:sz w:val="24"/>
                <w:szCs w:val="24"/>
                <w:highlight w:val="none"/>
              </w:rPr>
              <w:t>施</w:t>
            </w:r>
          </w:p>
        </w:tc>
        <w:tc>
          <w:tcPr>
            <w:tcW w:w="8024" w:type="dxa"/>
          </w:tcPr>
          <w:p>
            <w:pPr>
              <w:pStyle w:val="14"/>
              <w:adjustRightInd w:val="0"/>
              <w:snapToGrid w:val="0"/>
              <w:spacing w:line="360" w:lineRule="auto"/>
              <w:ind w:firstLine="482" w:firstLineChars="200"/>
              <w:rPr>
                <w:rFonts w:hint="default" w:ascii="Times New Roman" w:hAnsi="Times New Roman" w:eastAsia="宋体" w:cs="Times New Roman"/>
                <w:b/>
                <w:color w:val="auto"/>
                <w:kern w:val="0"/>
                <w:sz w:val="24"/>
                <w:szCs w:val="24"/>
                <w:highlight w:val="none"/>
                <w:lang w:val="en-US" w:eastAsia="zh-CN"/>
              </w:rPr>
            </w:pPr>
            <w:r>
              <w:rPr>
                <w:rFonts w:hint="default" w:ascii="Times New Roman" w:hAnsi="Times New Roman" w:cs="Times New Roman"/>
                <w:b/>
                <w:color w:val="auto"/>
                <w:kern w:val="0"/>
                <w:sz w:val="24"/>
                <w:szCs w:val="24"/>
                <w:highlight w:val="none"/>
                <w:lang w:val="en-US" w:eastAsia="zh-CN"/>
              </w:rPr>
              <w:t>一、废气</w:t>
            </w:r>
          </w:p>
          <w:p>
            <w:pPr>
              <w:pStyle w:val="14"/>
              <w:adjustRightInd w:val="0"/>
              <w:snapToGrid w:val="0"/>
              <w:spacing w:line="360" w:lineRule="auto"/>
              <w:ind w:firstLine="480" w:firstLineChars="200"/>
              <w:rPr>
                <w:rFonts w:hint="default" w:ascii="Times New Roman" w:hAnsi="Times New Roman" w:cs="Times New Roman"/>
                <w:b/>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本项目为技改扩建项目，对现有项目工艺进行技改并扩建，建成后全厂产品产能为</w:t>
            </w:r>
            <w:r>
              <w:rPr>
                <w:rFonts w:hint="eastAsia" w:ascii="Times New Roman" w:hAnsi="Times New Roman" w:cs="Times New Roman"/>
                <w:color w:val="auto"/>
                <w:kern w:val="0"/>
                <w:sz w:val="24"/>
                <w:szCs w:val="24"/>
                <w:highlight w:val="none"/>
                <w:lang w:val="en-US" w:eastAsia="zh-CN"/>
              </w:rPr>
              <w:t>年产5000万个滚筒刷、5000万个板刷、5000万个漆刷</w:t>
            </w:r>
            <w:r>
              <w:rPr>
                <w:rFonts w:hint="eastAsia" w:ascii="Times New Roman" w:hAnsi="Times New Roman" w:eastAsia="宋体" w:cs="Times New Roman"/>
                <w:color w:val="auto"/>
                <w:kern w:val="0"/>
                <w:sz w:val="24"/>
                <w:szCs w:val="24"/>
                <w:highlight w:val="none"/>
                <w:lang w:val="en-US" w:eastAsia="zh-CN"/>
              </w:rPr>
              <w:t>，技改后对全厂废</w:t>
            </w:r>
            <w:r>
              <w:rPr>
                <w:rFonts w:hint="eastAsia" w:ascii="Times New Roman" w:hAnsi="Times New Roman" w:cs="Times New Roman"/>
                <w:color w:val="auto"/>
                <w:kern w:val="0"/>
                <w:sz w:val="24"/>
                <w:szCs w:val="24"/>
                <w:highlight w:val="none"/>
                <w:lang w:val="en-US" w:eastAsia="zh-CN"/>
              </w:rPr>
              <w:t>气</w:t>
            </w:r>
            <w:r>
              <w:rPr>
                <w:rFonts w:hint="eastAsia" w:ascii="Times New Roman" w:hAnsi="Times New Roman" w:eastAsia="宋体" w:cs="Times New Roman"/>
                <w:color w:val="auto"/>
                <w:kern w:val="0"/>
                <w:sz w:val="24"/>
                <w:szCs w:val="24"/>
                <w:highlight w:val="none"/>
                <w:lang w:val="en-US" w:eastAsia="zh-CN"/>
              </w:rPr>
              <w:t>重新核算：</w:t>
            </w:r>
          </w:p>
          <w:p>
            <w:pPr>
              <w:pStyle w:val="14"/>
              <w:adjustRightInd w:val="0"/>
              <w:snapToGrid w:val="0"/>
              <w:spacing w:line="360" w:lineRule="auto"/>
              <w:ind w:firstLine="482" w:firstLineChars="200"/>
              <w:rPr>
                <w:rFonts w:hint="default" w:ascii="Times New Roman" w:hAnsi="Times New Roman" w:cs="Times New Roman"/>
                <w:b/>
                <w:color w:val="auto"/>
                <w:kern w:val="0"/>
                <w:sz w:val="24"/>
                <w:szCs w:val="24"/>
                <w:highlight w:val="none"/>
                <w:lang w:val="en-US" w:eastAsia="zh-CN"/>
              </w:rPr>
            </w:pPr>
            <w:r>
              <w:rPr>
                <w:rFonts w:hint="default" w:ascii="Times New Roman" w:hAnsi="Times New Roman" w:cs="Times New Roman"/>
                <w:b/>
                <w:color w:val="auto"/>
                <w:kern w:val="0"/>
                <w:sz w:val="24"/>
                <w:szCs w:val="24"/>
                <w:highlight w:val="none"/>
                <w:lang w:val="en-US" w:eastAsia="zh-CN"/>
              </w:rPr>
              <w:t>1、废气污染源排放情况</w:t>
            </w:r>
          </w:p>
          <w:p>
            <w:pPr>
              <w:pStyle w:val="14"/>
              <w:adjustRightInd w:val="0"/>
              <w:snapToGrid w:val="0"/>
              <w:spacing w:line="360" w:lineRule="auto"/>
              <w:ind w:firstLine="482" w:firstLineChars="200"/>
              <w:rPr>
                <w:rFonts w:hint="default" w:ascii="Times New Roman" w:hAnsi="Times New Roman" w:cs="Times New Roman"/>
                <w:b/>
                <w:color w:val="auto"/>
                <w:kern w:val="0"/>
                <w:sz w:val="24"/>
                <w:szCs w:val="24"/>
                <w:highlight w:val="none"/>
                <w:lang w:val="en-US" w:eastAsia="zh-CN"/>
              </w:rPr>
            </w:pPr>
            <w:r>
              <w:rPr>
                <w:rFonts w:hint="eastAsia" w:ascii="Times New Roman" w:hAnsi="Times New Roman" w:cs="Times New Roman"/>
                <w:b/>
                <w:color w:val="auto"/>
                <w:kern w:val="0"/>
                <w:sz w:val="24"/>
                <w:szCs w:val="24"/>
                <w:highlight w:val="none"/>
                <w:lang w:val="en-US" w:eastAsia="zh-CN"/>
              </w:rPr>
              <w:t>①调胶、上胶废气G1-1</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本项目滚筒刷所用胶水为</w:t>
            </w:r>
            <w:r>
              <w:rPr>
                <w:rFonts w:hint="eastAsia" w:ascii="Times New Roman" w:hAnsi="Times New Roman" w:cs="Times New Roman"/>
                <w:b w:val="0"/>
                <w:bCs/>
                <w:color w:val="auto"/>
                <w:kern w:val="2"/>
                <w:sz w:val="24"/>
                <w:szCs w:val="24"/>
                <w:lang w:val="en-US" w:eastAsia="zh-CN" w:bidi="ar-SA"/>
              </w:rPr>
              <w:t>聚氨酯AB胶</w:t>
            </w:r>
            <w:r>
              <w:rPr>
                <w:rFonts w:hint="eastAsia" w:ascii="Times New Roman" w:hAnsi="Times New Roman" w:eastAsia="宋体" w:cs="Times New Roman"/>
                <w:b w:val="0"/>
                <w:bCs/>
                <w:color w:val="auto"/>
                <w:kern w:val="2"/>
                <w:sz w:val="24"/>
                <w:szCs w:val="24"/>
                <w:lang w:val="en-US" w:eastAsia="zh-CN" w:bidi="ar-SA"/>
              </w:rPr>
              <w:t>，根据企业提供</w:t>
            </w:r>
            <w:r>
              <w:rPr>
                <w:rFonts w:hint="eastAsia" w:ascii="Times New Roman" w:hAnsi="Times New Roman" w:cs="Times New Roman"/>
                <w:b w:val="0"/>
                <w:bCs/>
                <w:color w:val="auto"/>
                <w:kern w:val="2"/>
                <w:sz w:val="24"/>
                <w:szCs w:val="24"/>
                <w:lang w:val="en-US" w:eastAsia="zh-CN" w:bidi="ar-SA"/>
              </w:rPr>
              <w:t>的VOCs检测报告</w:t>
            </w:r>
            <w:r>
              <w:rPr>
                <w:rFonts w:hint="eastAsia" w:ascii="Times New Roman" w:hAnsi="Times New Roman" w:eastAsia="宋体" w:cs="Times New Roman"/>
                <w:b w:val="0"/>
                <w:bCs/>
                <w:color w:val="auto"/>
                <w:kern w:val="2"/>
                <w:sz w:val="24"/>
                <w:szCs w:val="24"/>
                <w:lang w:val="en-US" w:eastAsia="zh-CN" w:bidi="ar-SA"/>
              </w:rPr>
              <w:t>，</w:t>
            </w:r>
            <w:r>
              <w:rPr>
                <w:rFonts w:hint="eastAsia" w:ascii="Times New Roman" w:hAnsi="Times New Roman" w:cs="Times New Roman"/>
                <w:b w:val="0"/>
                <w:bCs/>
                <w:color w:val="auto"/>
                <w:kern w:val="2"/>
                <w:sz w:val="24"/>
                <w:szCs w:val="24"/>
                <w:lang w:val="en-US" w:eastAsia="zh-CN" w:bidi="ar-SA"/>
              </w:rPr>
              <w:t>配比后胶水挥发性含量为2.2g/kg，</w:t>
            </w:r>
            <w:r>
              <w:rPr>
                <w:rFonts w:hint="eastAsia" w:ascii="Times New Roman" w:hAnsi="Times New Roman" w:eastAsia="宋体" w:cs="Times New Roman"/>
                <w:b w:val="0"/>
                <w:bCs/>
                <w:color w:val="auto"/>
                <w:kern w:val="2"/>
                <w:sz w:val="24"/>
                <w:szCs w:val="24"/>
                <w:lang w:val="en-US" w:eastAsia="zh-CN" w:bidi="ar-SA"/>
              </w:rPr>
              <w:t>本项目</w:t>
            </w:r>
            <w:r>
              <w:rPr>
                <w:rFonts w:hint="eastAsia" w:ascii="Times New Roman" w:hAnsi="Times New Roman" w:cs="Times New Roman"/>
                <w:b w:val="0"/>
                <w:bCs/>
                <w:color w:val="auto"/>
                <w:kern w:val="2"/>
                <w:sz w:val="24"/>
                <w:szCs w:val="24"/>
                <w:lang w:val="en-US" w:eastAsia="zh-CN" w:bidi="ar-SA"/>
              </w:rPr>
              <w:t>聚氨酯AB</w:t>
            </w:r>
            <w:r>
              <w:rPr>
                <w:rFonts w:hint="eastAsia" w:ascii="Times New Roman" w:hAnsi="Times New Roman" w:eastAsia="宋体" w:cs="Times New Roman"/>
                <w:b w:val="0"/>
                <w:bCs/>
                <w:color w:val="auto"/>
                <w:kern w:val="2"/>
                <w:sz w:val="24"/>
                <w:szCs w:val="24"/>
                <w:lang w:val="en-US" w:eastAsia="zh-CN" w:bidi="ar-SA"/>
              </w:rPr>
              <w:t>胶年用量为</w:t>
            </w:r>
            <w:r>
              <w:rPr>
                <w:rFonts w:hint="eastAsia" w:ascii="Times New Roman" w:hAnsi="Times New Roman" w:cs="Times New Roman"/>
                <w:b w:val="0"/>
                <w:bCs/>
                <w:color w:val="auto"/>
                <w:kern w:val="2"/>
                <w:sz w:val="24"/>
                <w:szCs w:val="24"/>
                <w:lang w:val="en-US" w:eastAsia="zh-CN" w:bidi="ar-SA"/>
              </w:rPr>
              <w:t>21t/a，则产生挥发性有机物（以非甲烷总烃计）0.0462/a。</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本项目在调胶工序和上胶工序设置集气罩收集（收集效率以90%计），收集的废</w:t>
            </w:r>
            <w:r>
              <w:rPr>
                <w:rFonts w:hint="eastAsia" w:ascii="Times New Roman" w:hAnsi="Times New Roman" w:eastAsia="宋体" w:cs="Times New Roman"/>
                <w:b w:val="0"/>
                <w:bCs/>
                <w:color w:val="auto"/>
                <w:kern w:val="2"/>
                <w:sz w:val="24"/>
                <w:szCs w:val="24"/>
                <w:lang w:val="en-US" w:eastAsia="zh-CN" w:bidi="ar-SA"/>
              </w:rPr>
              <w:t>气通过二级活性炭处理后通过一个排气</w:t>
            </w:r>
            <w:r>
              <w:rPr>
                <w:rFonts w:hint="eastAsia" w:ascii="Times New Roman" w:hAnsi="Times New Roman" w:cs="Times New Roman"/>
                <w:b w:val="0"/>
                <w:bCs/>
                <w:color w:val="auto"/>
                <w:kern w:val="2"/>
                <w:sz w:val="24"/>
                <w:szCs w:val="24"/>
                <w:lang w:val="en-US" w:eastAsia="zh-CN" w:bidi="ar-SA"/>
              </w:rPr>
              <w:t>筒</w:t>
            </w:r>
            <w:r>
              <w:rPr>
                <w:rFonts w:hint="eastAsia" w:ascii="Times New Roman" w:hAnsi="Times New Roman" w:eastAsia="宋体" w:cs="Times New Roman"/>
                <w:b w:val="0"/>
                <w:bCs/>
                <w:color w:val="auto"/>
                <w:kern w:val="2"/>
                <w:sz w:val="24"/>
                <w:szCs w:val="24"/>
                <w:lang w:val="en-US" w:eastAsia="zh-CN" w:bidi="ar-SA"/>
              </w:rPr>
              <w:t>DA001排放，则本项目有组织废气产生量0.0</w:t>
            </w:r>
            <w:r>
              <w:rPr>
                <w:rFonts w:hint="eastAsia" w:ascii="Times New Roman" w:hAnsi="Times New Roman" w:cs="Times New Roman"/>
                <w:b w:val="0"/>
                <w:bCs/>
                <w:color w:val="auto"/>
                <w:kern w:val="2"/>
                <w:sz w:val="24"/>
                <w:szCs w:val="24"/>
                <w:lang w:val="en-US" w:eastAsia="zh-CN" w:bidi="ar-SA"/>
              </w:rPr>
              <w:t>41</w:t>
            </w:r>
            <w:r>
              <w:rPr>
                <w:rFonts w:hint="eastAsia" w:ascii="Times New Roman" w:hAnsi="Times New Roman" w:eastAsia="宋体" w:cs="Times New Roman"/>
                <w:b w:val="0"/>
                <w:bCs/>
                <w:color w:val="auto"/>
                <w:kern w:val="2"/>
                <w:sz w:val="24"/>
                <w:szCs w:val="24"/>
                <w:lang w:val="en-US" w:eastAsia="zh-CN" w:bidi="ar-SA"/>
              </w:rPr>
              <w:t>6t/a，无组织废气产生量0.004</w:t>
            </w:r>
            <w:r>
              <w:rPr>
                <w:rFonts w:hint="eastAsia" w:ascii="Times New Roman" w:hAnsi="Times New Roman" w:cs="Times New Roman"/>
                <w:b w:val="0"/>
                <w:bCs/>
                <w:color w:val="auto"/>
                <w:kern w:val="2"/>
                <w:sz w:val="24"/>
                <w:szCs w:val="24"/>
                <w:lang w:val="en-US" w:eastAsia="zh-CN" w:bidi="ar-SA"/>
              </w:rPr>
              <w:t>6</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本项目聚氨酯A胶含有MDI同分异构体，本项目按照MDI计算，</w:t>
            </w:r>
            <w:r>
              <w:rPr>
                <w:rFonts w:hint="eastAsia" w:ascii="Times New Roman" w:hAnsi="Times New Roman" w:cs="Times New Roman"/>
                <w:b w:val="0"/>
                <w:bCs/>
                <w:color w:val="auto"/>
                <w:kern w:val="2"/>
                <w:sz w:val="24"/>
                <w:szCs w:val="24"/>
                <w:lang w:val="en-US" w:eastAsia="zh-CN" w:bidi="ar-SA"/>
              </w:rPr>
              <w:t>本项目参照</w:t>
            </w:r>
            <w:r>
              <w:rPr>
                <w:rFonts w:hint="eastAsia" w:ascii="Times New Roman" w:hAnsi="Times New Roman" w:eastAsia="宋体" w:cs="Times New Roman"/>
                <w:b w:val="0"/>
                <w:bCs/>
                <w:color w:val="auto"/>
                <w:kern w:val="2"/>
                <w:sz w:val="24"/>
                <w:szCs w:val="24"/>
                <w:lang w:val="en-US" w:eastAsia="zh-CN" w:bidi="ar-SA"/>
              </w:rPr>
              <w:t>《广东省石油化工行业 VOCs 排放量计算方法（试行）》进行核算。根据《广东省石油化工行业VOCs排放量计算方法（试行）》，产污系数取0.101kg/t原料，本项目聚氨酯AB胶按照</w:t>
            </w:r>
            <w:r>
              <w:rPr>
                <w:rFonts w:hint="eastAsia" w:ascii="Times New Roman" w:hAnsi="Times New Roman" w:cs="Times New Roman"/>
                <w:b w:val="0"/>
                <w:bCs/>
                <w:color w:val="auto"/>
                <w:kern w:val="2"/>
                <w:sz w:val="24"/>
                <w:szCs w:val="24"/>
                <w:lang w:val="en-US" w:eastAsia="zh-CN" w:bidi="ar-SA"/>
              </w:rPr>
              <w:t>质量比3</w:t>
            </w:r>
            <w:r>
              <w:rPr>
                <w:rFonts w:hint="eastAsia" w:ascii="Times New Roman" w:hAnsi="Times New Roman" w:eastAsia="宋体" w:cs="Times New Roman"/>
                <w:b w:val="0"/>
                <w:bCs/>
                <w:color w:val="auto"/>
                <w:kern w:val="2"/>
                <w:sz w:val="24"/>
                <w:szCs w:val="24"/>
                <w:lang w:val="en-US" w:eastAsia="zh-CN" w:bidi="ar-SA"/>
              </w:rPr>
              <w:t>:1</w:t>
            </w:r>
            <w:r>
              <w:rPr>
                <w:rFonts w:hint="eastAsia" w:ascii="Times New Roman" w:hAnsi="Times New Roman" w:cs="Times New Roman"/>
                <w:b w:val="0"/>
                <w:bCs/>
                <w:color w:val="auto"/>
                <w:kern w:val="2"/>
                <w:sz w:val="24"/>
                <w:szCs w:val="24"/>
                <w:lang w:val="en-US" w:eastAsia="zh-CN" w:bidi="ar-SA"/>
              </w:rPr>
              <w:t>0</w:t>
            </w:r>
            <w:r>
              <w:rPr>
                <w:rFonts w:hint="eastAsia" w:ascii="Times New Roman" w:hAnsi="Times New Roman" w:eastAsia="宋体" w:cs="Times New Roman"/>
                <w:b w:val="0"/>
                <w:bCs/>
                <w:color w:val="auto"/>
                <w:kern w:val="2"/>
                <w:sz w:val="24"/>
                <w:szCs w:val="24"/>
                <w:lang w:val="en-US" w:eastAsia="zh-CN" w:bidi="ar-SA"/>
              </w:rPr>
              <w:t>配比，A胶用量为</w:t>
            </w:r>
            <w:r>
              <w:rPr>
                <w:rFonts w:hint="eastAsia" w:ascii="Times New Roman" w:hAnsi="Times New Roman" w:cs="Times New Roman"/>
                <w:b w:val="0"/>
                <w:bCs/>
                <w:color w:val="auto"/>
                <w:kern w:val="2"/>
                <w:sz w:val="24"/>
                <w:szCs w:val="24"/>
                <w:lang w:val="en-US" w:eastAsia="zh-CN" w:bidi="ar-SA"/>
              </w:rPr>
              <w:t>4.85</w:t>
            </w:r>
            <w:r>
              <w:rPr>
                <w:rFonts w:hint="eastAsia" w:ascii="Times New Roman" w:hAnsi="Times New Roman" w:eastAsia="宋体" w:cs="Times New Roman"/>
                <w:b w:val="0"/>
                <w:bCs/>
                <w:color w:val="auto"/>
                <w:kern w:val="2"/>
                <w:sz w:val="24"/>
                <w:szCs w:val="24"/>
                <w:lang w:val="en-US" w:eastAsia="zh-CN" w:bidi="ar-SA"/>
              </w:rPr>
              <w:t>t/a，则</w:t>
            </w:r>
            <w:r>
              <w:rPr>
                <w:rFonts w:hint="eastAsia" w:ascii="Times New Roman" w:hAnsi="Times New Roman" w:cs="Times New Roman"/>
                <w:b w:val="0"/>
                <w:bCs/>
                <w:color w:val="auto"/>
                <w:kern w:val="2"/>
                <w:sz w:val="24"/>
                <w:szCs w:val="24"/>
                <w:lang w:val="en-US" w:eastAsia="zh-CN" w:bidi="ar-SA"/>
              </w:rPr>
              <w:t>废气中</w:t>
            </w:r>
            <w:r>
              <w:rPr>
                <w:rFonts w:hint="eastAsia" w:ascii="Times New Roman" w:hAnsi="Times New Roman" w:eastAsia="宋体" w:cs="Times New Roman"/>
                <w:b w:val="0"/>
                <w:bCs/>
                <w:color w:val="auto"/>
                <w:kern w:val="2"/>
                <w:sz w:val="24"/>
                <w:szCs w:val="24"/>
                <w:lang w:val="en-US" w:eastAsia="zh-CN" w:bidi="ar-SA"/>
              </w:rPr>
              <w:t>MDI产生量为</w:t>
            </w:r>
            <w:r>
              <w:rPr>
                <w:rFonts w:hint="eastAsia" w:ascii="Times New Roman" w:hAnsi="Times New Roman" w:cs="Times New Roman"/>
                <w:b w:val="0"/>
                <w:bCs/>
                <w:color w:val="auto"/>
                <w:kern w:val="2"/>
                <w:sz w:val="24"/>
                <w:szCs w:val="24"/>
                <w:lang w:val="en-US" w:eastAsia="zh-CN" w:bidi="ar-SA"/>
              </w:rPr>
              <w:t>0.0005</w:t>
            </w:r>
            <w:r>
              <w:rPr>
                <w:rFonts w:hint="eastAsia" w:ascii="Times New Roman" w:hAnsi="Times New Roman" w:eastAsia="宋体" w:cs="Times New Roman"/>
                <w:b w:val="0"/>
                <w:bCs/>
                <w:color w:val="auto"/>
                <w:kern w:val="2"/>
                <w:sz w:val="24"/>
                <w:szCs w:val="24"/>
                <w:lang w:val="en-US" w:eastAsia="zh-CN" w:bidi="ar-SA"/>
              </w:rPr>
              <w:t>t/a</w:t>
            </w:r>
            <w:r>
              <w:rPr>
                <w:rFonts w:hint="eastAsia" w:ascii="Times New Roman" w:hAnsi="Times New Roman" w:cs="Times New Roman"/>
                <w:b w:val="0"/>
                <w:bCs/>
                <w:color w:val="auto"/>
                <w:kern w:val="2"/>
                <w:sz w:val="24"/>
                <w:szCs w:val="24"/>
                <w:lang w:val="en-US" w:eastAsia="zh-CN" w:bidi="ar-SA"/>
              </w:rPr>
              <w:t>。</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本项目在调胶工序和上胶工序设置集气罩收集（收集效率以90%计），收集的废</w:t>
            </w:r>
            <w:r>
              <w:rPr>
                <w:rFonts w:hint="eastAsia" w:ascii="Times New Roman" w:hAnsi="Times New Roman" w:eastAsia="宋体" w:cs="Times New Roman"/>
                <w:b w:val="0"/>
                <w:bCs/>
                <w:color w:val="auto"/>
                <w:kern w:val="2"/>
                <w:sz w:val="24"/>
                <w:szCs w:val="24"/>
                <w:lang w:val="en-US" w:eastAsia="zh-CN" w:bidi="ar-SA"/>
              </w:rPr>
              <w:t>气通过二级活性炭处理后通过一个排气</w:t>
            </w:r>
            <w:r>
              <w:rPr>
                <w:rFonts w:hint="eastAsia" w:ascii="Times New Roman" w:hAnsi="Times New Roman" w:cs="Times New Roman"/>
                <w:b w:val="0"/>
                <w:bCs/>
                <w:color w:val="auto"/>
                <w:kern w:val="2"/>
                <w:sz w:val="24"/>
                <w:szCs w:val="24"/>
                <w:lang w:val="en-US" w:eastAsia="zh-CN" w:bidi="ar-SA"/>
              </w:rPr>
              <w:t>筒</w:t>
            </w:r>
            <w:r>
              <w:rPr>
                <w:rFonts w:hint="eastAsia" w:ascii="Times New Roman" w:hAnsi="Times New Roman" w:eastAsia="宋体" w:cs="Times New Roman"/>
                <w:b w:val="0"/>
                <w:bCs/>
                <w:color w:val="auto"/>
                <w:kern w:val="2"/>
                <w:sz w:val="24"/>
                <w:szCs w:val="24"/>
                <w:lang w:val="en-US" w:eastAsia="zh-CN" w:bidi="ar-SA"/>
              </w:rPr>
              <w:t>DA001排放，则本项目有组织MDI废气产生量0.00</w:t>
            </w:r>
            <w:r>
              <w:rPr>
                <w:rFonts w:hint="eastAsia" w:ascii="Times New Roman" w:hAnsi="Times New Roman" w:cs="Times New Roman"/>
                <w:b w:val="0"/>
                <w:bCs/>
                <w:color w:val="auto"/>
                <w:kern w:val="2"/>
                <w:sz w:val="24"/>
                <w:szCs w:val="24"/>
                <w:lang w:val="en-US" w:eastAsia="zh-CN" w:bidi="ar-SA"/>
              </w:rPr>
              <w:t>045</w:t>
            </w:r>
            <w:r>
              <w:rPr>
                <w:rFonts w:hint="eastAsia" w:ascii="Times New Roman" w:hAnsi="Times New Roman" w:eastAsia="宋体" w:cs="Times New Roman"/>
                <w:b w:val="0"/>
                <w:bCs/>
                <w:color w:val="auto"/>
                <w:kern w:val="2"/>
                <w:sz w:val="24"/>
                <w:szCs w:val="24"/>
                <w:lang w:val="en-US" w:eastAsia="zh-CN" w:bidi="ar-SA"/>
              </w:rPr>
              <w:t>t/a，无组织产生量0.000</w:t>
            </w:r>
            <w:r>
              <w:rPr>
                <w:rFonts w:hint="eastAsia" w:ascii="Times New Roman" w:hAnsi="Times New Roman" w:cs="Times New Roman"/>
                <w:b w:val="0"/>
                <w:bCs/>
                <w:color w:val="auto"/>
                <w:kern w:val="2"/>
                <w:sz w:val="24"/>
                <w:szCs w:val="24"/>
                <w:lang w:val="en-US" w:eastAsia="zh-CN" w:bidi="ar-SA"/>
              </w:rPr>
              <w:t>05</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2" w:firstLineChars="200"/>
              <w:rPr>
                <w:rFonts w:hint="default"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②磨头废气G1-2</w:t>
            </w:r>
          </w:p>
          <w:p>
            <w:pPr>
              <w:pStyle w:val="14"/>
              <w:adjustRightInd w:val="0"/>
              <w:snapToGrid w:val="0"/>
              <w:spacing w:line="360" w:lineRule="auto"/>
              <w:ind w:firstLine="480" w:firstLineChars="200"/>
              <w:rPr>
                <w:rFonts w:hint="eastAsia" w:ascii="Times New Roman" w:hAnsi="Times New Roman"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本项目在滚筒刷</w:t>
            </w:r>
            <w:r>
              <w:rPr>
                <w:rFonts w:hint="eastAsia" w:ascii="Times New Roman" w:hAnsi="Times New Roman" w:eastAsia="宋体" w:cs="Times New Roman"/>
                <w:color w:val="auto"/>
                <w:kern w:val="0"/>
                <w:sz w:val="24"/>
                <w:szCs w:val="24"/>
                <w:highlight w:val="none"/>
                <w:lang w:val="en-US" w:eastAsia="zh-CN"/>
              </w:rPr>
              <w:t>磨头、敲盖</w:t>
            </w:r>
            <w:r>
              <w:rPr>
                <w:rFonts w:hint="eastAsia" w:ascii="Times New Roman" w:hAnsi="Times New Roman" w:cs="Times New Roman"/>
                <w:color w:val="auto"/>
                <w:kern w:val="0"/>
                <w:sz w:val="24"/>
                <w:szCs w:val="24"/>
                <w:highlight w:val="none"/>
                <w:lang w:val="en-US" w:eastAsia="zh-CN"/>
              </w:rPr>
              <w:t>工序</w:t>
            </w:r>
            <w:r>
              <w:rPr>
                <w:rFonts w:hint="eastAsia" w:ascii="Times New Roman" w:hAnsi="Times New Roman" w:eastAsia="宋体" w:cs="Times New Roman"/>
                <w:color w:val="auto"/>
                <w:kern w:val="0"/>
                <w:sz w:val="24"/>
                <w:szCs w:val="24"/>
                <w:highlight w:val="none"/>
                <w:lang w:val="en-US" w:eastAsia="zh-CN"/>
              </w:rPr>
              <w:t>对粘好的半成品滚筒刷进行</w:t>
            </w:r>
            <w:r>
              <w:rPr>
                <w:rFonts w:hint="eastAsia" w:ascii="Times New Roman" w:hAnsi="Times New Roman" w:cs="Times New Roman"/>
                <w:color w:val="auto"/>
                <w:kern w:val="0"/>
                <w:sz w:val="24"/>
                <w:szCs w:val="24"/>
                <w:highlight w:val="none"/>
                <w:lang w:val="en-US" w:eastAsia="zh-CN"/>
              </w:rPr>
              <w:t>打磨，过程会产生废海绵粉尘（以颗粒物计），根据现有项目类比可知，现有项目年产476万把滚筒刷，粉尘产生速率约为5kg/d，本项目建设完成后达到5000万把，则粉尘产生速率约为50kg/d（现有项目年产476万把滚筒刷已取得皋开行审环</w:t>
            </w:r>
            <w:r>
              <w:rPr>
                <w:rFonts w:hint="eastAsia" w:ascii="Times New Roman" w:hAnsi="Times New Roman" w:eastAsia="宋体" w:cs="Times New Roman"/>
                <w:color w:val="auto"/>
                <w:kern w:val="0"/>
                <w:sz w:val="24"/>
                <w:szCs w:val="24"/>
                <w:highlight w:val="none"/>
                <w:lang w:val="en-US" w:eastAsia="zh-CN"/>
              </w:rPr>
              <w:t>验（表）〔2017</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6号验收，验收时磨头废气对应排气筒检测数据达标，因此参考该项目环评工程分析中的磨头废气产生速率）</w:t>
            </w:r>
            <w:r>
              <w:rPr>
                <w:rFonts w:hint="eastAsia" w:ascii="Times New Roman" w:hAnsi="Times New Roman" w:cs="Times New Roman"/>
                <w:color w:val="auto"/>
                <w:kern w:val="0"/>
                <w:sz w:val="24"/>
                <w:szCs w:val="24"/>
                <w:highlight w:val="none"/>
                <w:lang w:val="en-US" w:eastAsia="zh-CN"/>
              </w:rPr>
              <w:t>，年生产300d，则本项目磨头产生的粉尘量为15t/a。</w:t>
            </w:r>
          </w:p>
          <w:p>
            <w:pPr>
              <w:pStyle w:val="14"/>
              <w:adjustRightInd w:val="0"/>
              <w:snapToGrid w:val="0"/>
              <w:spacing w:line="360" w:lineRule="auto"/>
              <w:ind w:firstLine="480" w:firstLineChars="200"/>
              <w:rPr>
                <w:rFonts w:hint="default" w:ascii="Times New Roman" w:hAnsi="Times New Roman" w:cs="Times New Roman"/>
                <w:b/>
                <w:bCs w:val="0"/>
                <w:color w:val="auto"/>
                <w:kern w:val="2"/>
                <w:sz w:val="24"/>
                <w:szCs w:val="24"/>
                <w:lang w:val="en-US" w:eastAsia="zh-CN" w:bidi="ar-SA"/>
              </w:rPr>
            </w:pPr>
            <w:r>
              <w:rPr>
                <w:rFonts w:hint="eastAsia" w:ascii="Times New Roman" w:hAnsi="Times New Roman" w:cs="Times New Roman"/>
                <w:color w:val="auto"/>
                <w:kern w:val="0"/>
                <w:sz w:val="24"/>
                <w:szCs w:val="24"/>
                <w:highlight w:val="none"/>
                <w:lang w:val="en-US" w:eastAsia="zh-CN"/>
              </w:rPr>
              <w:t>本项目在磨头工序采用负压吸气管收集（收集效率可达90%），收集后的粉尘通过布袋除尘器处理</w:t>
            </w:r>
            <w:r>
              <w:rPr>
                <w:rFonts w:hint="eastAsia" w:ascii="Times New Roman" w:hAnsi="Times New Roman" w:cs="Times New Roman"/>
                <w:b w:val="0"/>
                <w:bCs w:val="0"/>
                <w:color w:val="auto"/>
                <w:kern w:val="0"/>
                <w:sz w:val="24"/>
                <w:szCs w:val="24"/>
                <w:highlight w:val="none"/>
                <w:lang w:val="en-US" w:eastAsia="zh-CN"/>
              </w:rPr>
              <w:t>后通过一个15m高排气筒DA001排放，布袋除尘器处理效率可达99%，则有组织颗粒物产生量为13.5t/a，无组织产生量为1.5t/a。</w:t>
            </w:r>
          </w:p>
          <w:p>
            <w:pPr>
              <w:pStyle w:val="14"/>
              <w:adjustRightInd w:val="0"/>
              <w:snapToGrid w:val="0"/>
              <w:spacing w:line="360" w:lineRule="auto"/>
              <w:ind w:firstLine="482" w:firstLineChars="200"/>
              <w:rPr>
                <w:rFonts w:hint="default"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③植绒废气、烘干废气G2-1、G2-2</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本项目板刷生产过程需要到植绒胶，</w:t>
            </w:r>
            <w:r>
              <w:rPr>
                <w:rFonts w:hint="eastAsia" w:ascii="Times New Roman" w:hAnsi="Times New Roman" w:cs="Times New Roman"/>
                <w:b w:val="0"/>
                <w:bCs/>
                <w:color w:val="auto"/>
                <w:kern w:val="2"/>
                <w:sz w:val="24"/>
                <w:szCs w:val="24"/>
                <w:lang w:val="en-US" w:eastAsia="zh-CN" w:bidi="ar-SA"/>
              </w:rPr>
              <w:t>根据企业提供的VOC检测报告，植绒胶中挥发性组分含量为5.2g/kg，本项目植绒胶年用量为15t/a，则产生挥发性有机物（以非甲烷总烃计）0.078t/a。</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本项目在植绒工序上方设置集气罩收集（收集范围包括植绒和烘干模块，收集效率以90%计），收集的废气通过二级活性炭处理后通过一个</w:t>
            </w:r>
            <w:r>
              <w:rPr>
                <w:rFonts w:hint="eastAsia" w:ascii="Times New Roman" w:hAnsi="Times New Roman" w:cs="Times New Roman"/>
                <w:b w:val="0"/>
                <w:bCs/>
                <w:color w:val="auto"/>
                <w:kern w:val="2"/>
                <w:sz w:val="24"/>
                <w:szCs w:val="24"/>
                <w:highlight w:val="yellow"/>
                <w:lang w:val="en-US" w:eastAsia="zh-CN" w:bidi="ar-SA"/>
              </w:rPr>
              <w:t>排气筒</w:t>
            </w:r>
            <w:r>
              <w:rPr>
                <w:rFonts w:hint="eastAsia" w:ascii="Times New Roman" w:hAnsi="Times New Roman" w:cs="Times New Roman"/>
                <w:b w:val="0"/>
                <w:bCs/>
                <w:color w:val="auto"/>
                <w:kern w:val="2"/>
                <w:sz w:val="24"/>
                <w:szCs w:val="24"/>
                <w:lang w:val="en-US" w:eastAsia="zh-CN" w:bidi="ar-SA"/>
              </w:rPr>
              <w:t>DA001排放，则本项目有组织废气产生量0.0702t/a，无组织废气排放量0.0078t/a。</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④注塑废气G2-4</w:t>
            </w:r>
          </w:p>
          <w:p>
            <w:pPr>
              <w:pStyle w:val="14"/>
              <w:adjustRightInd w:val="0"/>
              <w:snapToGrid w:val="0"/>
              <w:spacing w:line="360" w:lineRule="auto"/>
              <w:ind w:firstLine="480" w:firstLineChars="200"/>
              <w:rPr>
                <w:rFonts w:hint="eastAsia"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本项目板刷组件生产过程采用注塑工艺，过程会产生注塑废气，项目注塑采用塑料粒子主要成分为PP</w:t>
            </w:r>
            <w:r>
              <w:rPr>
                <w:rFonts w:hint="eastAsia" w:ascii="Times New Roman" w:hAnsi="Times New Roman" w:cs="Times New Roman"/>
                <w:b w:val="0"/>
                <w:bCs/>
                <w:color w:val="auto"/>
                <w:kern w:val="2"/>
                <w:sz w:val="24"/>
                <w:szCs w:val="24"/>
                <w:lang w:val="en-US" w:eastAsia="zh-CN" w:bidi="ar-SA"/>
              </w:rPr>
              <w:t>、色粉</w:t>
            </w:r>
            <w:r>
              <w:rPr>
                <w:rFonts w:hint="eastAsia" w:ascii="Times New Roman" w:hAnsi="Times New Roman" w:eastAsia="宋体" w:cs="Times New Roman"/>
                <w:b w:val="0"/>
                <w:bCs/>
                <w:color w:val="auto"/>
                <w:kern w:val="2"/>
                <w:sz w:val="24"/>
                <w:szCs w:val="24"/>
                <w:lang w:val="en-US" w:eastAsia="zh-CN" w:bidi="ar-SA"/>
              </w:rPr>
              <w:t>，塑料粒子在注塑过程中会产生有机废气，根据《排放源统计调查排污核算方法和系数手册》（2021年版）中“塑料制品行业系数手册”的“2929塑料零件及其他塑料制品制造行业系数表”内“塑料零件-配料-混合-挤出/注塑”挥发性有机物（以非甲烷总烃计）的产污系数2.70kg/t-产品，项目注塑工序可年产约</w:t>
            </w:r>
            <w:r>
              <w:rPr>
                <w:rFonts w:hint="eastAsia" w:ascii="Times New Roman" w:hAnsi="Times New Roman" w:cs="Times New Roman"/>
                <w:b w:val="0"/>
                <w:bCs/>
                <w:color w:val="auto"/>
                <w:kern w:val="2"/>
                <w:sz w:val="24"/>
                <w:szCs w:val="24"/>
                <w:lang w:val="en-US" w:eastAsia="zh-CN" w:bidi="ar-SA"/>
              </w:rPr>
              <w:t>100</w:t>
            </w:r>
            <w:r>
              <w:rPr>
                <w:rFonts w:hint="eastAsia" w:ascii="Times New Roman" w:hAnsi="Times New Roman" w:eastAsia="宋体" w:cs="Times New Roman"/>
                <w:b w:val="0"/>
                <w:bCs/>
                <w:color w:val="auto"/>
                <w:kern w:val="2"/>
                <w:sz w:val="24"/>
                <w:szCs w:val="24"/>
                <w:lang w:val="en-US" w:eastAsia="zh-CN" w:bidi="ar-SA"/>
              </w:rPr>
              <w:t>t的半成品，则注塑工序废气的产生量为</w:t>
            </w:r>
            <w:r>
              <w:rPr>
                <w:rFonts w:hint="eastAsia" w:ascii="Times New Roman" w:hAnsi="Times New Roman" w:cs="Times New Roman"/>
                <w:b w:val="0"/>
                <w:bCs/>
                <w:color w:val="auto"/>
                <w:kern w:val="2"/>
                <w:sz w:val="24"/>
                <w:szCs w:val="24"/>
                <w:lang w:val="en-US" w:eastAsia="zh-CN" w:bidi="ar-SA"/>
              </w:rPr>
              <w:t>0.27</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本项目在</w:t>
            </w:r>
            <w:r>
              <w:rPr>
                <w:rFonts w:hint="eastAsia" w:ascii="Times New Roman" w:hAnsi="Times New Roman" w:cs="Times New Roman"/>
                <w:b w:val="0"/>
                <w:bCs/>
                <w:color w:val="auto"/>
                <w:kern w:val="2"/>
                <w:sz w:val="24"/>
                <w:szCs w:val="24"/>
                <w:lang w:val="en-US" w:eastAsia="zh-CN" w:bidi="ar-SA"/>
              </w:rPr>
              <w:t>注塑机</w:t>
            </w:r>
            <w:r>
              <w:rPr>
                <w:rFonts w:hint="eastAsia" w:ascii="Times New Roman" w:hAnsi="Times New Roman" w:eastAsia="宋体" w:cs="Times New Roman"/>
                <w:b w:val="0"/>
                <w:bCs/>
                <w:color w:val="auto"/>
                <w:kern w:val="2"/>
                <w:sz w:val="24"/>
                <w:szCs w:val="24"/>
                <w:lang w:val="en-US" w:eastAsia="zh-CN" w:bidi="ar-SA"/>
              </w:rPr>
              <w:t>上方设置集</w:t>
            </w:r>
            <w:r>
              <w:rPr>
                <w:rFonts w:hint="eastAsia" w:ascii="Times New Roman" w:hAnsi="Times New Roman" w:cs="Times New Roman"/>
                <w:b w:val="0"/>
                <w:bCs/>
                <w:color w:val="auto"/>
                <w:kern w:val="2"/>
                <w:sz w:val="24"/>
                <w:szCs w:val="24"/>
                <w:lang w:val="en-US" w:eastAsia="zh-CN" w:bidi="ar-SA"/>
              </w:rPr>
              <w:t>气</w:t>
            </w:r>
            <w:r>
              <w:rPr>
                <w:rFonts w:hint="eastAsia" w:ascii="Times New Roman" w:hAnsi="Times New Roman" w:eastAsia="宋体" w:cs="Times New Roman"/>
                <w:b w:val="0"/>
                <w:bCs/>
                <w:color w:val="auto"/>
                <w:kern w:val="2"/>
                <w:sz w:val="24"/>
                <w:szCs w:val="24"/>
                <w:lang w:val="en-US" w:eastAsia="zh-CN" w:bidi="ar-SA"/>
              </w:rPr>
              <w:t>罩收集（收集效率以90</w:t>
            </w:r>
            <w:r>
              <w:rPr>
                <w:rFonts w:hint="eastAsia" w:ascii="Times New Roman" w:hAnsi="Times New Roman" w:cs="Times New Roman"/>
                <w:b w:val="0"/>
                <w:bCs/>
                <w:color w:val="auto"/>
                <w:kern w:val="2"/>
                <w:sz w:val="24"/>
                <w:szCs w:val="24"/>
                <w:lang w:val="en-US" w:eastAsia="zh-CN" w:bidi="ar-SA"/>
              </w:rPr>
              <w:t>%</w:t>
            </w:r>
            <w:r>
              <w:rPr>
                <w:rFonts w:hint="eastAsia" w:ascii="Times New Roman" w:hAnsi="Times New Roman" w:eastAsia="宋体" w:cs="Times New Roman"/>
                <w:b w:val="0"/>
                <w:bCs/>
                <w:color w:val="auto"/>
                <w:kern w:val="2"/>
                <w:sz w:val="24"/>
                <w:szCs w:val="24"/>
                <w:lang w:val="en-US" w:eastAsia="zh-CN" w:bidi="ar-SA"/>
              </w:rPr>
              <w:t>计），收集的废气通过二级活性炭处理后通过一个</w:t>
            </w:r>
            <w:r>
              <w:rPr>
                <w:rFonts w:hint="eastAsia" w:ascii="Times New Roman" w:hAnsi="Times New Roman" w:eastAsia="宋体" w:cs="Times New Roman"/>
                <w:b w:val="0"/>
                <w:bCs/>
                <w:color w:val="auto"/>
                <w:kern w:val="2"/>
                <w:sz w:val="24"/>
                <w:szCs w:val="24"/>
                <w:highlight w:val="yellow"/>
                <w:lang w:val="en-US" w:eastAsia="zh-CN" w:bidi="ar-SA"/>
              </w:rPr>
              <w:t>排气</w:t>
            </w:r>
            <w:r>
              <w:rPr>
                <w:rFonts w:hint="eastAsia" w:ascii="Times New Roman" w:hAnsi="Times New Roman" w:cs="Times New Roman"/>
                <w:b w:val="0"/>
                <w:bCs/>
                <w:color w:val="auto"/>
                <w:kern w:val="2"/>
                <w:sz w:val="24"/>
                <w:szCs w:val="24"/>
                <w:highlight w:val="yellow"/>
                <w:lang w:val="en-US" w:eastAsia="zh-CN" w:bidi="ar-SA"/>
              </w:rPr>
              <w:t>筒</w:t>
            </w:r>
            <w:r>
              <w:rPr>
                <w:rFonts w:hint="eastAsia" w:ascii="Times New Roman" w:hAnsi="Times New Roman" w:eastAsia="宋体" w:cs="Times New Roman"/>
                <w:b w:val="0"/>
                <w:bCs/>
                <w:color w:val="auto"/>
                <w:kern w:val="2"/>
                <w:sz w:val="24"/>
                <w:szCs w:val="24"/>
                <w:lang w:val="en-US" w:eastAsia="zh-CN" w:bidi="ar-SA"/>
              </w:rPr>
              <w:t>DA00</w:t>
            </w:r>
            <w:r>
              <w:rPr>
                <w:rFonts w:hint="eastAsia" w:ascii="Times New Roman" w:hAnsi="Times New Roman" w:cs="Times New Roman"/>
                <w:b w:val="0"/>
                <w:bCs/>
                <w:color w:val="auto"/>
                <w:kern w:val="2"/>
                <w:sz w:val="24"/>
                <w:szCs w:val="24"/>
                <w:lang w:val="en-US" w:eastAsia="zh-CN" w:bidi="ar-SA"/>
              </w:rPr>
              <w:t>2</w:t>
            </w:r>
            <w:r>
              <w:rPr>
                <w:rFonts w:hint="eastAsia" w:ascii="Times New Roman" w:hAnsi="Times New Roman" w:eastAsia="宋体" w:cs="Times New Roman"/>
                <w:b w:val="0"/>
                <w:bCs/>
                <w:color w:val="auto"/>
                <w:kern w:val="2"/>
                <w:sz w:val="24"/>
                <w:szCs w:val="24"/>
                <w:lang w:val="en-US" w:eastAsia="zh-CN" w:bidi="ar-SA"/>
              </w:rPr>
              <w:t>排放，则本项目有组织废气产生量</w:t>
            </w:r>
            <w:r>
              <w:rPr>
                <w:rFonts w:hint="eastAsia" w:ascii="Times New Roman" w:hAnsi="Times New Roman" w:cs="Times New Roman"/>
                <w:b w:val="0"/>
                <w:bCs/>
                <w:color w:val="auto"/>
                <w:kern w:val="2"/>
                <w:sz w:val="24"/>
                <w:szCs w:val="24"/>
                <w:lang w:val="en-US" w:eastAsia="zh-CN" w:bidi="ar-SA"/>
              </w:rPr>
              <w:t>0.243</w:t>
            </w:r>
            <w:r>
              <w:rPr>
                <w:rFonts w:hint="eastAsia" w:ascii="Times New Roman" w:hAnsi="Times New Roman" w:eastAsia="宋体" w:cs="Times New Roman"/>
                <w:b w:val="0"/>
                <w:bCs/>
                <w:color w:val="auto"/>
                <w:kern w:val="2"/>
                <w:sz w:val="24"/>
                <w:szCs w:val="24"/>
                <w:lang w:val="en-US" w:eastAsia="zh-CN" w:bidi="ar-SA"/>
              </w:rPr>
              <w:t>t/a，无组织废气排放量</w:t>
            </w:r>
            <w:r>
              <w:rPr>
                <w:rFonts w:hint="eastAsia" w:ascii="Times New Roman" w:hAnsi="Times New Roman" w:cs="Times New Roman"/>
                <w:b w:val="0"/>
                <w:bCs/>
                <w:color w:val="auto"/>
                <w:kern w:val="2"/>
                <w:sz w:val="24"/>
                <w:szCs w:val="24"/>
                <w:lang w:val="en-US" w:eastAsia="zh-CN" w:bidi="ar-SA"/>
              </w:rPr>
              <w:t>0.027</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⑤投料废气G2-3、破碎废气G2-5</w:t>
            </w:r>
          </w:p>
          <w:p>
            <w:pPr>
              <w:pStyle w:val="14"/>
              <w:adjustRightInd w:val="0"/>
              <w:snapToGrid w:val="0"/>
              <w:spacing w:line="360" w:lineRule="auto"/>
              <w:ind w:firstLine="480" w:firstLineChars="200"/>
              <w:rPr>
                <w:rFonts w:hint="default" w:ascii="Times New Roman" w:hAnsi="Times New Roman"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投料时有色粉加入，色粉为粉末状，投料时会有少量粉末逸散到环境中，由于本项目色粉用量为0.1t/a，大部分色粉进入注塑机，极少部分逸散，参照《排放源统计调查产排污核算方法和系数手册》（生态环境部公告2021 年第24号）中 “塑料制品行业系数手册-2922塑料板、管、型材制造行业系数表 配料、混合、挤出工艺”，配料混合过程颗粒物产污系数为6kg/t-产品，</w:t>
            </w:r>
            <w:r>
              <w:rPr>
                <w:rFonts w:hint="eastAsia" w:ascii="Times New Roman" w:hAnsi="Times New Roman" w:cs="Times New Roman"/>
                <w:b w:val="0"/>
                <w:bCs/>
                <w:color w:val="auto"/>
                <w:kern w:val="2"/>
                <w:sz w:val="24"/>
                <w:szCs w:val="24"/>
                <w:lang w:val="en-US" w:eastAsia="zh-CN" w:bidi="ar-SA"/>
              </w:rPr>
              <w:t>产生的色粉逸散粉尘约0.0006t/a，在车间无组织排放。</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对修整后的毛边进行粉碎处理后回用，根据建设单位提供资料，毛口废料约为1%原料，本项目注塑半成品约100t/a，则破碎的毛口物料为1t/a。参考《排放源统计调查产排污核算方法和系数手册》中“42废弃资源综合利用行业系数手册”中“4220非金属废料和碎屑加工处理行业系数表”，废PP在“干法破碎”工艺中颗粒物的产生量为375g/t-原料，则破碎粉尘产生量为0.0004t/a，本项目破碎产生粉尘极少，在车间无组织排放。</w:t>
            </w:r>
          </w:p>
          <w:p>
            <w:pPr>
              <w:pStyle w:val="14"/>
              <w:adjustRightInd w:val="0"/>
              <w:snapToGrid w:val="0"/>
              <w:spacing w:line="360" w:lineRule="auto"/>
              <w:ind w:firstLine="482" w:firstLineChars="200"/>
              <w:rPr>
                <w:rFonts w:hint="eastAsia"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⑥胶合板刷废气G2-4</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本项目胶合板刷过程</w:t>
            </w:r>
            <w:r>
              <w:rPr>
                <w:rFonts w:hint="eastAsia" w:ascii="Times New Roman" w:hAnsi="Times New Roman" w:cs="Times New Roman"/>
                <w:b w:val="0"/>
                <w:bCs/>
                <w:color w:val="auto"/>
                <w:kern w:val="2"/>
                <w:sz w:val="24"/>
                <w:szCs w:val="24"/>
                <w:lang w:val="en-US" w:eastAsia="zh-CN" w:bidi="ar-SA"/>
              </w:rPr>
              <w:t>使用水基型胶粘剂，根据企业提供MSDS及挥发性检测报告，本项目水基型胶黏剂挥发含量未检出，按照检出限一半计，挥发含量为1g/L，项目胶合板刷水基型胶黏剂用量为2t/a，比重为0.81</w:t>
            </w:r>
            <w:r>
              <w:rPr>
                <w:rFonts w:hint="eastAsia" w:ascii="Times New Roman" w:hAnsi="Times New Roman" w:cs="Times New Roman"/>
                <w:b w:val="0"/>
                <w:bCs/>
                <w:color w:val="auto"/>
                <w:kern w:val="2"/>
                <w:sz w:val="24"/>
                <w:szCs w:val="24"/>
                <w:u w:val="none"/>
                <w:lang w:val="en-US" w:eastAsia="zh-CN" w:bidi="ar-SA"/>
              </w:rPr>
              <w:t>（相对水）</w:t>
            </w:r>
            <w:r>
              <w:rPr>
                <w:rFonts w:hint="eastAsia" w:ascii="Times New Roman" w:hAnsi="Times New Roman" w:cs="Times New Roman"/>
                <w:b w:val="0"/>
                <w:bCs/>
                <w:color w:val="auto"/>
                <w:kern w:val="2"/>
                <w:sz w:val="24"/>
                <w:szCs w:val="24"/>
                <w:lang w:val="en-US" w:eastAsia="zh-CN" w:bidi="ar-SA"/>
              </w:rPr>
              <w:t>，则产生有机废气（以非甲烷总烃计）0.0016t/a。</w:t>
            </w:r>
          </w:p>
          <w:p>
            <w:pPr>
              <w:pStyle w:val="14"/>
              <w:adjustRightInd w:val="0"/>
              <w:snapToGrid w:val="0"/>
              <w:spacing w:line="360" w:lineRule="auto"/>
              <w:ind w:firstLine="480" w:firstLineChars="200"/>
              <w:rPr>
                <w:rFonts w:hint="eastAsia"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本项目在</w:t>
            </w:r>
            <w:r>
              <w:rPr>
                <w:rFonts w:hint="eastAsia" w:ascii="Times New Roman" w:hAnsi="Times New Roman" w:cs="Times New Roman"/>
                <w:b w:val="0"/>
                <w:bCs/>
                <w:color w:val="auto"/>
                <w:kern w:val="2"/>
                <w:sz w:val="24"/>
                <w:szCs w:val="24"/>
                <w:lang w:val="en-US" w:eastAsia="zh-CN" w:bidi="ar-SA"/>
              </w:rPr>
              <w:t>胶合板刷工位</w:t>
            </w:r>
            <w:r>
              <w:rPr>
                <w:rFonts w:hint="eastAsia" w:ascii="Times New Roman" w:hAnsi="Times New Roman" w:eastAsia="宋体" w:cs="Times New Roman"/>
                <w:b w:val="0"/>
                <w:bCs/>
                <w:color w:val="auto"/>
                <w:kern w:val="2"/>
                <w:sz w:val="24"/>
                <w:szCs w:val="24"/>
                <w:lang w:val="en-US" w:eastAsia="zh-CN" w:bidi="ar-SA"/>
              </w:rPr>
              <w:t>上方设置</w:t>
            </w:r>
            <w:r>
              <w:rPr>
                <w:rFonts w:hint="eastAsia" w:ascii="Times New Roman" w:hAnsi="Times New Roman" w:eastAsia="宋体" w:cs="Times New Roman"/>
                <w:b w:val="0"/>
                <w:bCs/>
                <w:color w:val="auto"/>
                <w:kern w:val="2"/>
                <w:sz w:val="24"/>
                <w:szCs w:val="24"/>
                <w:highlight w:val="yellow"/>
                <w:lang w:val="en-US" w:eastAsia="zh-CN" w:bidi="ar-SA"/>
              </w:rPr>
              <w:t>集</w:t>
            </w:r>
            <w:r>
              <w:rPr>
                <w:rFonts w:hint="eastAsia" w:ascii="Times New Roman" w:hAnsi="Times New Roman" w:cs="Times New Roman"/>
                <w:b w:val="0"/>
                <w:bCs/>
                <w:color w:val="auto"/>
                <w:kern w:val="2"/>
                <w:sz w:val="24"/>
                <w:szCs w:val="24"/>
                <w:highlight w:val="yellow"/>
                <w:lang w:val="en-US" w:eastAsia="zh-CN" w:bidi="ar-SA"/>
              </w:rPr>
              <w:t>气</w:t>
            </w:r>
            <w:r>
              <w:rPr>
                <w:rFonts w:hint="eastAsia" w:ascii="Times New Roman" w:hAnsi="Times New Roman" w:eastAsia="宋体" w:cs="Times New Roman"/>
                <w:b w:val="0"/>
                <w:bCs/>
                <w:color w:val="auto"/>
                <w:kern w:val="2"/>
                <w:sz w:val="24"/>
                <w:szCs w:val="24"/>
                <w:highlight w:val="yellow"/>
                <w:lang w:val="en-US" w:eastAsia="zh-CN" w:bidi="ar-SA"/>
              </w:rPr>
              <w:t>罩</w:t>
            </w:r>
            <w:r>
              <w:rPr>
                <w:rFonts w:hint="eastAsia" w:ascii="Times New Roman" w:hAnsi="Times New Roman" w:eastAsia="宋体" w:cs="Times New Roman"/>
                <w:b w:val="0"/>
                <w:bCs/>
                <w:color w:val="auto"/>
                <w:kern w:val="2"/>
                <w:sz w:val="24"/>
                <w:szCs w:val="24"/>
                <w:lang w:val="en-US" w:eastAsia="zh-CN" w:bidi="ar-SA"/>
              </w:rPr>
              <w:t>收集（收集效率以90</w:t>
            </w:r>
            <w:r>
              <w:rPr>
                <w:rFonts w:hint="eastAsia" w:ascii="Times New Roman" w:hAnsi="Times New Roman" w:cs="Times New Roman"/>
                <w:b w:val="0"/>
                <w:bCs/>
                <w:color w:val="auto"/>
                <w:kern w:val="2"/>
                <w:sz w:val="24"/>
                <w:szCs w:val="24"/>
                <w:lang w:val="en-US" w:eastAsia="zh-CN" w:bidi="ar-SA"/>
              </w:rPr>
              <w:t>%</w:t>
            </w:r>
            <w:r>
              <w:rPr>
                <w:rFonts w:hint="eastAsia" w:ascii="Times New Roman" w:hAnsi="Times New Roman" w:eastAsia="宋体" w:cs="Times New Roman"/>
                <w:b w:val="0"/>
                <w:bCs/>
                <w:color w:val="auto"/>
                <w:kern w:val="2"/>
                <w:sz w:val="24"/>
                <w:szCs w:val="24"/>
                <w:lang w:val="en-US" w:eastAsia="zh-CN" w:bidi="ar-SA"/>
              </w:rPr>
              <w:t>计），收集的废气通过二级活性炭处理后通过一个</w:t>
            </w:r>
            <w:r>
              <w:rPr>
                <w:rFonts w:hint="eastAsia" w:ascii="Times New Roman" w:hAnsi="Times New Roman" w:eastAsia="宋体" w:cs="Times New Roman"/>
                <w:b w:val="0"/>
                <w:bCs/>
                <w:color w:val="auto"/>
                <w:kern w:val="2"/>
                <w:sz w:val="24"/>
                <w:szCs w:val="24"/>
                <w:highlight w:val="yellow"/>
                <w:lang w:val="en-US" w:eastAsia="zh-CN" w:bidi="ar-SA"/>
              </w:rPr>
              <w:t>排气</w:t>
            </w:r>
            <w:r>
              <w:rPr>
                <w:rFonts w:hint="eastAsia" w:ascii="Times New Roman" w:hAnsi="Times New Roman" w:cs="Times New Roman"/>
                <w:b w:val="0"/>
                <w:bCs/>
                <w:color w:val="auto"/>
                <w:kern w:val="2"/>
                <w:sz w:val="24"/>
                <w:szCs w:val="24"/>
                <w:highlight w:val="yellow"/>
                <w:lang w:val="en-US" w:eastAsia="zh-CN" w:bidi="ar-SA"/>
              </w:rPr>
              <w:t>筒</w:t>
            </w:r>
            <w:r>
              <w:rPr>
                <w:rFonts w:hint="eastAsia" w:ascii="Times New Roman" w:hAnsi="Times New Roman" w:eastAsia="宋体" w:cs="Times New Roman"/>
                <w:b w:val="0"/>
                <w:bCs/>
                <w:color w:val="auto"/>
                <w:kern w:val="2"/>
                <w:sz w:val="24"/>
                <w:szCs w:val="24"/>
                <w:lang w:val="en-US" w:eastAsia="zh-CN" w:bidi="ar-SA"/>
              </w:rPr>
              <w:t>DA00</w:t>
            </w:r>
            <w:r>
              <w:rPr>
                <w:rFonts w:hint="eastAsia" w:ascii="Times New Roman" w:hAnsi="Times New Roman" w:cs="Times New Roman"/>
                <w:b w:val="0"/>
                <w:bCs/>
                <w:color w:val="auto"/>
                <w:kern w:val="2"/>
                <w:sz w:val="24"/>
                <w:szCs w:val="24"/>
                <w:lang w:val="en-US" w:eastAsia="zh-CN" w:bidi="ar-SA"/>
              </w:rPr>
              <w:t>1</w:t>
            </w:r>
            <w:r>
              <w:rPr>
                <w:rFonts w:hint="eastAsia" w:ascii="Times New Roman" w:hAnsi="Times New Roman" w:eastAsia="宋体" w:cs="Times New Roman"/>
                <w:b w:val="0"/>
                <w:bCs/>
                <w:color w:val="auto"/>
                <w:kern w:val="2"/>
                <w:sz w:val="24"/>
                <w:szCs w:val="24"/>
                <w:lang w:val="en-US" w:eastAsia="zh-CN" w:bidi="ar-SA"/>
              </w:rPr>
              <w:t>排放，则本项目有组织废气产生量</w:t>
            </w:r>
            <w:r>
              <w:rPr>
                <w:rFonts w:hint="eastAsia" w:ascii="Times New Roman" w:hAnsi="Times New Roman" w:cs="Times New Roman"/>
                <w:b w:val="0"/>
                <w:bCs/>
                <w:color w:val="auto"/>
                <w:kern w:val="2"/>
                <w:sz w:val="24"/>
                <w:szCs w:val="24"/>
                <w:lang w:val="en-US" w:eastAsia="zh-CN" w:bidi="ar-SA"/>
              </w:rPr>
              <w:t>0.0014</w:t>
            </w:r>
            <w:r>
              <w:rPr>
                <w:rFonts w:hint="eastAsia" w:ascii="Times New Roman" w:hAnsi="Times New Roman" w:eastAsia="宋体" w:cs="Times New Roman"/>
                <w:b w:val="0"/>
                <w:bCs/>
                <w:color w:val="auto"/>
                <w:kern w:val="2"/>
                <w:sz w:val="24"/>
                <w:szCs w:val="24"/>
                <w:lang w:val="en-US" w:eastAsia="zh-CN" w:bidi="ar-SA"/>
              </w:rPr>
              <w:t>t/a，无组织废气排放量</w:t>
            </w:r>
            <w:r>
              <w:rPr>
                <w:rFonts w:hint="eastAsia" w:ascii="Times New Roman" w:hAnsi="Times New Roman" w:cs="Times New Roman"/>
                <w:b w:val="0"/>
                <w:bCs/>
                <w:color w:val="auto"/>
                <w:kern w:val="2"/>
                <w:sz w:val="24"/>
                <w:szCs w:val="24"/>
                <w:lang w:val="en-US" w:eastAsia="zh-CN" w:bidi="ar-SA"/>
              </w:rPr>
              <w:t>0.0002</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⑦</w:t>
            </w:r>
            <w:r>
              <w:rPr>
                <w:rFonts w:hint="eastAsia" w:ascii="Times New Roman" w:hAnsi="Times New Roman" w:eastAsia="宋体" w:cs="Times New Roman"/>
                <w:b/>
                <w:bCs w:val="0"/>
                <w:color w:val="auto"/>
                <w:kern w:val="2"/>
                <w:sz w:val="24"/>
                <w:szCs w:val="24"/>
                <w:lang w:val="en-US" w:eastAsia="zh-CN" w:bidi="ar-SA"/>
              </w:rPr>
              <w:t>灌胶废气</w:t>
            </w:r>
            <w:r>
              <w:rPr>
                <w:rFonts w:hint="eastAsia" w:ascii="Times New Roman" w:hAnsi="Times New Roman" w:cs="Times New Roman"/>
                <w:b/>
                <w:bCs w:val="0"/>
                <w:color w:val="auto"/>
                <w:kern w:val="2"/>
                <w:sz w:val="24"/>
                <w:szCs w:val="24"/>
                <w:lang w:val="en-US" w:eastAsia="zh-CN" w:bidi="ar-SA"/>
              </w:rPr>
              <w:t>G3-1</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本项目油漆刷生产过程中</w:t>
            </w:r>
            <w:r>
              <w:rPr>
                <w:rFonts w:hint="eastAsia" w:ascii="Times New Roman" w:hAnsi="Times New Roman" w:cs="Times New Roman"/>
                <w:b w:val="0"/>
                <w:bCs/>
                <w:color w:val="auto"/>
                <w:kern w:val="2"/>
                <w:sz w:val="24"/>
                <w:szCs w:val="24"/>
                <w:lang w:val="en-US" w:eastAsia="zh-CN" w:bidi="ar-SA"/>
              </w:rPr>
              <w:t>使用环氧胶进行灌胶，油漆刷灌胶位于灌胶工位，根据企业提供MSDS及挥发性检测报告，本项目环氧树脂胶挥发性含量为20g/kg，项目油漆刷灌胶环氧胶用量为2t/a，则产生有机废气（以非甲烷总烃计）0.04t/a。</w:t>
            </w:r>
          </w:p>
          <w:p>
            <w:pPr>
              <w:pStyle w:val="14"/>
              <w:adjustRightInd w:val="0"/>
              <w:snapToGrid w:val="0"/>
              <w:spacing w:line="360" w:lineRule="auto"/>
              <w:ind w:firstLine="480" w:firstLineChars="200"/>
              <w:rPr>
                <w:rFonts w:hint="eastAsia"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本项目在</w:t>
            </w:r>
            <w:r>
              <w:rPr>
                <w:rFonts w:hint="eastAsia" w:ascii="Times New Roman" w:hAnsi="Times New Roman" w:cs="Times New Roman"/>
                <w:b w:val="0"/>
                <w:bCs/>
                <w:color w:val="auto"/>
                <w:kern w:val="2"/>
                <w:sz w:val="24"/>
                <w:szCs w:val="24"/>
                <w:lang w:val="en-US" w:eastAsia="zh-CN" w:bidi="ar-SA"/>
              </w:rPr>
              <w:t>油漆刷灌胶工位</w:t>
            </w:r>
            <w:r>
              <w:rPr>
                <w:rFonts w:hint="eastAsia" w:ascii="Times New Roman" w:hAnsi="Times New Roman" w:eastAsia="宋体" w:cs="Times New Roman"/>
                <w:b w:val="0"/>
                <w:bCs/>
                <w:color w:val="auto"/>
                <w:kern w:val="2"/>
                <w:sz w:val="24"/>
                <w:szCs w:val="24"/>
                <w:lang w:val="en-US" w:eastAsia="zh-CN" w:bidi="ar-SA"/>
              </w:rPr>
              <w:t>上方设置</w:t>
            </w:r>
            <w:r>
              <w:rPr>
                <w:rFonts w:hint="eastAsia" w:ascii="Times New Roman" w:hAnsi="Times New Roman" w:eastAsia="宋体" w:cs="Times New Roman"/>
                <w:b w:val="0"/>
                <w:bCs/>
                <w:color w:val="auto"/>
                <w:kern w:val="2"/>
                <w:sz w:val="24"/>
                <w:szCs w:val="24"/>
                <w:highlight w:val="yellow"/>
                <w:lang w:val="en-US" w:eastAsia="zh-CN" w:bidi="ar-SA"/>
              </w:rPr>
              <w:t>集</w:t>
            </w:r>
            <w:r>
              <w:rPr>
                <w:rFonts w:hint="eastAsia" w:ascii="Times New Roman" w:hAnsi="Times New Roman" w:cs="Times New Roman"/>
                <w:b w:val="0"/>
                <w:bCs/>
                <w:color w:val="auto"/>
                <w:kern w:val="2"/>
                <w:sz w:val="24"/>
                <w:szCs w:val="24"/>
                <w:highlight w:val="yellow"/>
                <w:lang w:val="en-US" w:eastAsia="zh-CN" w:bidi="ar-SA"/>
              </w:rPr>
              <w:t>气</w:t>
            </w:r>
            <w:r>
              <w:rPr>
                <w:rFonts w:hint="eastAsia" w:ascii="Times New Roman" w:hAnsi="Times New Roman" w:eastAsia="宋体" w:cs="Times New Roman"/>
                <w:b w:val="0"/>
                <w:bCs/>
                <w:color w:val="auto"/>
                <w:kern w:val="2"/>
                <w:sz w:val="24"/>
                <w:szCs w:val="24"/>
                <w:highlight w:val="yellow"/>
                <w:lang w:val="en-US" w:eastAsia="zh-CN" w:bidi="ar-SA"/>
              </w:rPr>
              <w:t>罩</w:t>
            </w:r>
            <w:r>
              <w:rPr>
                <w:rFonts w:hint="eastAsia" w:ascii="Times New Roman" w:hAnsi="Times New Roman" w:eastAsia="宋体" w:cs="Times New Roman"/>
                <w:b w:val="0"/>
                <w:bCs/>
                <w:color w:val="auto"/>
                <w:kern w:val="2"/>
                <w:sz w:val="24"/>
                <w:szCs w:val="24"/>
                <w:lang w:val="en-US" w:eastAsia="zh-CN" w:bidi="ar-SA"/>
              </w:rPr>
              <w:t>收集（收集效率以90</w:t>
            </w:r>
            <w:r>
              <w:rPr>
                <w:rFonts w:hint="eastAsia" w:ascii="Times New Roman" w:hAnsi="Times New Roman" w:cs="Times New Roman"/>
                <w:b w:val="0"/>
                <w:bCs/>
                <w:color w:val="auto"/>
                <w:kern w:val="2"/>
                <w:sz w:val="24"/>
                <w:szCs w:val="24"/>
                <w:lang w:val="en-US" w:eastAsia="zh-CN" w:bidi="ar-SA"/>
              </w:rPr>
              <w:t>%</w:t>
            </w:r>
            <w:r>
              <w:rPr>
                <w:rFonts w:hint="eastAsia" w:ascii="Times New Roman" w:hAnsi="Times New Roman" w:eastAsia="宋体" w:cs="Times New Roman"/>
                <w:b w:val="0"/>
                <w:bCs/>
                <w:color w:val="auto"/>
                <w:kern w:val="2"/>
                <w:sz w:val="24"/>
                <w:szCs w:val="24"/>
                <w:lang w:val="en-US" w:eastAsia="zh-CN" w:bidi="ar-SA"/>
              </w:rPr>
              <w:t>计），收集的废气通过二级活性炭处理后通过一个</w:t>
            </w:r>
            <w:r>
              <w:rPr>
                <w:rFonts w:hint="eastAsia" w:ascii="Times New Roman" w:hAnsi="Times New Roman" w:eastAsia="宋体" w:cs="Times New Roman"/>
                <w:b w:val="0"/>
                <w:bCs/>
                <w:color w:val="auto"/>
                <w:kern w:val="2"/>
                <w:sz w:val="24"/>
                <w:szCs w:val="24"/>
                <w:highlight w:val="yellow"/>
                <w:lang w:val="en-US" w:eastAsia="zh-CN" w:bidi="ar-SA"/>
              </w:rPr>
              <w:t>排气</w:t>
            </w:r>
            <w:r>
              <w:rPr>
                <w:rFonts w:hint="eastAsia" w:ascii="Times New Roman" w:hAnsi="Times New Roman" w:cs="Times New Roman"/>
                <w:b w:val="0"/>
                <w:bCs/>
                <w:color w:val="auto"/>
                <w:kern w:val="2"/>
                <w:sz w:val="24"/>
                <w:szCs w:val="24"/>
                <w:highlight w:val="yellow"/>
                <w:lang w:val="en-US" w:eastAsia="zh-CN" w:bidi="ar-SA"/>
              </w:rPr>
              <w:t>筒</w:t>
            </w:r>
            <w:r>
              <w:rPr>
                <w:rFonts w:hint="eastAsia" w:ascii="Times New Roman" w:hAnsi="Times New Roman" w:eastAsia="宋体" w:cs="Times New Roman"/>
                <w:b w:val="0"/>
                <w:bCs/>
                <w:color w:val="auto"/>
                <w:kern w:val="2"/>
                <w:sz w:val="24"/>
                <w:szCs w:val="24"/>
                <w:lang w:val="en-US" w:eastAsia="zh-CN" w:bidi="ar-SA"/>
              </w:rPr>
              <w:t>DA00</w:t>
            </w:r>
            <w:r>
              <w:rPr>
                <w:rFonts w:hint="eastAsia" w:ascii="Times New Roman" w:hAnsi="Times New Roman" w:cs="Times New Roman"/>
                <w:b w:val="0"/>
                <w:bCs/>
                <w:color w:val="auto"/>
                <w:kern w:val="2"/>
                <w:sz w:val="24"/>
                <w:szCs w:val="24"/>
                <w:lang w:val="en-US" w:eastAsia="zh-CN" w:bidi="ar-SA"/>
              </w:rPr>
              <w:t>1</w:t>
            </w:r>
            <w:r>
              <w:rPr>
                <w:rFonts w:hint="eastAsia" w:ascii="Times New Roman" w:hAnsi="Times New Roman" w:eastAsia="宋体" w:cs="Times New Roman"/>
                <w:b w:val="0"/>
                <w:bCs/>
                <w:color w:val="auto"/>
                <w:kern w:val="2"/>
                <w:sz w:val="24"/>
                <w:szCs w:val="24"/>
                <w:lang w:val="en-US" w:eastAsia="zh-CN" w:bidi="ar-SA"/>
              </w:rPr>
              <w:t>排放，则本项目有组织废气产生量</w:t>
            </w:r>
            <w:r>
              <w:rPr>
                <w:rFonts w:hint="eastAsia" w:ascii="Times New Roman" w:hAnsi="Times New Roman" w:cs="Times New Roman"/>
                <w:b w:val="0"/>
                <w:bCs/>
                <w:color w:val="auto"/>
                <w:kern w:val="2"/>
                <w:sz w:val="24"/>
                <w:szCs w:val="24"/>
                <w:lang w:val="en-US" w:eastAsia="zh-CN" w:bidi="ar-SA"/>
              </w:rPr>
              <w:t>0.036</w:t>
            </w:r>
            <w:r>
              <w:rPr>
                <w:rFonts w:hint="eastAsia" w:ascii="Times New Roman" w:hAnsi="Times New Roman" w:eastAsia="宋体" w:cs="Times New Roman"/>
                <w:b w:val="0"/>
                <w:bCs/>
                <w:color w:val="auto"/>
                <w:kern w:val="2"/>
                <w:sz w:val="24"/>
                <w:szCs w:val="24"/>
                <w:lang w:val="en-US" w:eastAsia="zh-CN" w:bidi="ar-SA"/>
              </w:rPr>
              <w:t>t/a，无组织废气排放量</w:t>
            </w:r>
            <w:r>
              <w:rPr>
                <w:rFonts w:hint="eastAsia" w:ascii="Times New Roman" w:hAnsi="Times New Roman" w:cs="Times New Roman"/>
                <w:b w:val="0"/>
                <w:bCs/>
                <w:color w:val="auto"/>
                <w:kern w:val="2"/>
                <w:sz w:val="24"/>
                <w:szCs w:val="24"/>
                <w:lang w:val="en-US" w:eastAsia="zh-CN" w:bidi="ar-SA"/>
              </w:rPr>
              <w:t>0.004</w:t>
            </w:r>
            <w:r>
              <w:rPr>
                <w:rFonts w:hint="eastAsia" w:ascii="Times New Roman" w:hAnsi="Times New Roman" w:eastAsia="宋体" w:cs="Times New Roman"/>
                <w:b w:val="0"/>
                <w:bCs/>
                <w:color w:val="auto"/>
                <w:kern w:val="2"/>
                <w:sz w:val="24"/>
                <w:szCs w:val="24"/>
                <w:lang w:val="en-US" w:eastAsia="zh-CN" w:bidi="ar-SA"/>
              </w:rPr>
              <w:t>t/a。</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⑧浸漆、晾干</w:t>
            </w:r>
            <w:r>
              <w:rPr>
                <w:rFonts w:hint="eastAsia" w:ascii="Times New Roman" w:hAnsi="Times New Roman" w:eastAsia="宋体" w:cs="Times New Roman"/>
                <w:b/>
                <w:bCs w:val="0"/>
                <w:color w:val="auto"/>
                <w:kern w:val="2"/>
                <w:sz w:val="24"/>
                <w:szCs w:val="24"/>
                <w:lang w:val="en-US" w:eastAsia="zh-CN" w:bidi="ar-SA"/>
              </w:rPr>
              <w:t>废气G3-2</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本项目油漆刷生产过程中</w:t>
            </w:r>
            <w:r>
              <w:rPr>
                <w:rFonts w:hint="eastAsia" w:ascii="Times New Roman" w:hAnsi="Times New Roman" w:cs="Times New Roman"/>
                <w:b w:val="0"/>
                <w:bCs/>
                <w:color w:val="auto"/>
                <w:kern w:val="2"/>
                <w:sz w:val="24"/>
                <w:szCs w:val="24"/>
                <w:lang w:val="en-US" w:eastAsia="zh-CN" w:bidi="ar-SA"/>
              </w:rPr>
              <w:t>采用水性漆对木柄进行上漆，同时浸漆后的木柄在浸漆房内晾干，浸漆和晾干过程会产生有机废气，根据企业提供混合后水性漆VOC检测报告显示，挥发性有机物含量为92g/L，本项目水性漆年用量9t/a，密度为1.32g/cm</w:t>
            </w:r>
            <w:r>
              <w:rPr>
                <w:rFonts w:hint="eastAsia" w:ascii="Times New Roman" w:hAnsi="Times New Roman" w:cs="Times New Roman"/>
                <w:b w:val="0"/>
                <w:bCs/>
                <w:color w:val="auto"/>
                <w:kern w:val="2"/>
                <w:sz w:val="24"/>
                <w:szCs w:val="24"/>
                <w:vertAlign w:val="superscript"/>
                <w:lang w:val="en-US" w:eastAsia="zh-CN" w:bidi="ar-SA"/>
              </w:rPr>
              <w:t>3</w:t>
            </w:r>
            <w:r>
              <w:rPr>
                <w:rFonts w:hint="eastAsia" w:ascii="Times New Roman" w:hAnsi="Times New Roman" w:cs="Times New Roman"/>
                <w:b w:val="0"/>
                <w:bCs/>
                <w:color w:val="auto"/>
                <w:kern w:val="2"/>
                <w:sz w:val="24"/>
                <w:szCs w:val="24"/>
                <w:lang w:val="en-US" w:eastAsia="zh-CN" w:bidi="ar-SA"/>
              </w:rPr>
              <w:t>，则浸漆过程产生有机废气（以非甲烷总烃计）为0.6273t/a。</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本项目浸漆</w:t>
            </w:r>
            <w:r>
              <w:rPr>
                <w:rFonts w:hint="eastAsia" w:ascii="Times New Roman" w:hAnsi="Times New Roman" w:cs="Times New Roman"/>
                <w:b w:val="0"/>
                <w:bCs/>
                <w:color w:val="auto"/>
                <w:kern w:val="2"/>
                <w:sz w:val="24"/>
                <w:szCs w:val="24"/>
                <w:lang w:val="en-US" w:eastAsia="zh-CN" w:bidi="ar-SA"/>
              </w:rPr>
              <w:t>过程在浸漆房内密闭进行，浸漆房尺寸为20*10*4m，通过车间换收集废气（收集效率以95%计），收集后的废气经过二级活性炭处理后通过DA002排气筒排放，</w:t>
            </w:r>
            <w:r>
              <w:rPr>
                <w:rFonts w:hint="eastAsia" w:ascii="Times New Roman" w:hAnsi="Times New Roman" w:eastAsia="宋体" w:cs="Times New Roman"/>
                <w:b w:val="0"/>
                <w:bCs/>
                <w:color w:val="auto"/>
                <w:kern w:val="2"/>
                <w:sz w:val="24"/>
                <w:szCs w:val="24"/>
                <w:lang w:val="en-US" w:eastAsia="zh-CN" w:bidi="ar-SA"/>
              </w:rPr>
              <w:t>则本项目有组织废气产生量</w:t>
            </w:r>
            <w:r>
              <w:rPr>
                <w:rFonts w:hint="eastAsia" w:ascii="Times New Roman" w:hAnsi="Times New Roman" w:cs="Times New Roman"/>
                <w:b w:val="0"/>
                <w:bCs/>
                <w:color w:val="auto"/>
                <w:kern w:val="2"/>
                <w:sz w:val="24"/>
                <w:szCs w:val="24"/>
                <w:lang w:val="en-US" w:eastAsia="zh-CN" w:bidi="ar-SA"/>
              </w:rPr>
              <w:t>0.5646</w:t>
            </w:r>
            <w:r>
              <w:rPr>
                <w:rFonts w:hint="eastAsia" w:ascii="Times New Roman" w:hAnsi="Times New Roman" w:eastAsia="宋体" w:cs="Times New Roman"/>
                <w:b w:val="0"/>
                <w:bCs/>
                <w:color w:val="auto"/>
                <w:kern w:val="2"/>
                <w:sz w:val="24"/>
                <w:szCs w:val="24"/>
                <w:lang w:val="en-US" w:eastAsia="zh-CN" w:bidi="ar-SA"/>
              </w:rPr>
              <w:t>t/a，无组织废气排放量</w:t>
            </w:r>
            <w:r>
              <w:rPr>
                <w:rFonts w:hint="eastAsia" w:ascii="Times New Roman" w:hAnsi="Times New Roman" w:cs="Times New Roman"/>
                <w:b w:val="0"/>
                <w:bCs/>
                <w:color w:val="auto"/>
                <w:kern w:val="2"/>
                <w:sz w:val="24"/>
                <w:szCs w:val="24"/>
                <w:lang w:val="en-US" w:eastAsia="zh-CN" w:bidi="ar-SA"/>
              </w:rPr>
              <w:t>0.0627</w:t>
            </w:r>
            <w:r>
              <w:rPr>
                <w:rFonts w:hint="eastAsia" w:ascii="Times New Roman" w:hAnsi="Times New Roman" w:eastAsia="宋体" w:cs="Times New Roman"/>
                <w:b w:val="0"/>
                <w:bCs/>
                <w:color w:val="auto"/>
                <w:kern w:val="2"/>
                <w:sz w:val="24"/>
                <w:szCs w:val="24"/>
                <w:lang w:val="en-US" w:eastAsia="zh-CN" w:bidi="ar-SA"/>
              </w:rPr>
              <w:t>t/a</w:t>
            </w:r>
            <w:r>
              <w:rPr>
                <w:rFonts w:hint="eastAsia" w:ascii="Times New Roman" w:hAnsi="Times New Roman" w:cs="Times New Roman"/>
                <w:b w:val="0"/>
                <w:bCs/>
                <w:color w:val="auto"/>
                <w:kern w:val="2"/>
                <w:sz w:val="24"/>
                <w:szCs w:val="24"/>
                <w:lang w:val="en-US" w:eastAsia="zh-CN" w:bidi="ar-SA"/>
              </w:rPr>
              <w:t>。</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bCs w:val="0"/>
                <w:color w:val="auto"/>
                <w:kern w:val="2"/>
                <w:sz w:val="24"/>
                <w:szCs w:val="24"/>
                <w:lang w:val="en-US" w:eastAsia="zh-CN" w:bidi="ar-SA"/>
              </w:rPr>
              <w:t>⑨危废仓库废气</w:t>
            </w:r>
          </w:p>
          <w:p>
            <w:pPr>
              <w:pStyle w:val="14"/>
              <w:adjustRightInd w:val="0"/>
              <w:snapToGrid w:val="0"/>
              <w:spacing w:line="360" w:lineRule="auto"/>
              <w:ind w:firstLine="480"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本项目危废均采用密闭包装方式暂存于危废间，在存放过程中有少有机废气，以非甲烷总烃计算，危废仓库内非甲烷总烃的产生量参照美国环保局网站AP-42空气排放因子汇编中“废物处置-工业固废处置-储存-容器逃逸排放”工序的VOCs产生因子2.22×10</w:t>
            </w:r>
            <w:r>
              <w:rPr>
                <w:rFonts w:hint="eastAsia" w:ascii="Times New Roman" w:hAnsi="Times New Roman" w:eastAsia="宋体" w:cs="Times New Roman"/>
                <w:b w:val="0"/>
                <w:bCs/>
                <w:color w:val="auto"/>
                <w:kern w:val="2"/>
                <w:sz w:val="24"/>
                <w:szCs w:val="24"/>
                <w:vertAlign w:val="superscript"/>
                <w:lang w:val="en-US" w:eastAsia="zh-CN" w:bidi="ar-SA"/>
              </w:rPr>
              <w:t>2</w:t>
            </w:r>
            <w:r>
              <w:rPr>
                <w:rFonts w:hint="eastAsia" w:ascii="Times New Roman" w:hAnsi="Times New Roman" w:eastAsia="宋体" w:cs="Times New Roman"/>
                <w:b w:val="0"/>
                <w:bCs/>
                <w:color w:val="auto"/>
                <w:kern w:val="2"/>
                <w:sz w:val="24"/>
                <w:szCs w:val="24"/>
                <w:lang w:val="en-US" w:eastAsia="zh-CN" w:bidi="ar-SA"/>
              </w:rPr>
              <w:t>磅/1000个55加仑容器·年，折算为VOCs排放系数为100.7kg/200t固废·年，即0.5035kg/t固废·年。本项目危废</w:t>
            </w:r>
            <w:r>
              <w:rPr>
                <w:rFonts w:hint="eastAsia" w:ascii="Times New Roman" w:hAnsi="Times New Roman" w:cs="Times New Roman"/>
                <w:b w:val="0"/>
                <w:bCs/>
                <w:color w:val="auto"/>
                <w:kern w:val="2"/>
                <w:sz w:val="24"/>
                <w:szCs w:val="24"/>
                <w:lang w:val="en-US" w:eastAsia="zh-CN" w:bidi="ar-SA"/>
              </w:rPr>
              <w:t>暂存量</w:t>
            </w:r>
            <w:r>
              <w:rPr>
                <w:rFonts w:hint="eastAsia" w:ascii="Times New Roman" w:hAnsi="Times New Roman" w:eastAsia="宋体" w:cs="Times New Roman"/>
                <w:b w:val="0"/>
                <w:bCs/>
                <w:color w:val="auto"/>
                <w:kern w:val="2"/>
                <w:sz w:val="24"/>
                <w:szCs w:val="24"/>
                <w:lang w:val="en-US" w:eastAsia="zh-CN" w:bidi="ar-SA"/>
              </w:rPr>
              <w:t>为</w:t>
            </w:r>
            <w:r>
              <w:rPr>
                <w:rFonts w:hint="eastAsia" w:ascii="Times New Roman" w:hAnsi="Times New Roman" w:cs="Times New Roman"/>
                <w:b w:val="0"/>
                <w:bCs/>
                <w:color w:val="auto"/>
                <w:kern w:val="2"/>
                <w:sz w:val="24"/>
                <w:szCs w:val="24"/>
                <w:lang w:val="en-US" w:eastAsia="zh-CN" w:bidi="ar-SA"/>
              </w:rPr>
              <w:t>21.53</w:t>
            </w:r>
            <w:r>
              <w:rPr>
                <w:rFonts w:hint="eastAsia" w:ascii="Times New Roman" w:hAnsi="Times New Roman" w:eastAsia="宋体" w:cs="Times New Roman"/>
                <w:b w:val="0"/>
                <w:bCs/>
                <w:color w:val="auto"/>
                <w:kern w:val="2"/>
                <w:sz w:val="24"/>
                <w:szCs w:val="24"/>
                <w:lang w:val="en-US" w:eastAsia="zh-CN" w:bidi="ar-SA"/>
              </w:rPr>
              <w:t>t/a，则产生非甲烷总烃0.0</w:t>
            </w:r>
            <w:r>
              <w:rPr>
                <w:rFonts w:hint="eastAsia" w:ascii="Times New Roman" w:hAnsi="Times New Roman" w:cs="Times New Roman"/>
                <w:b w:val="0"/>
                <w:bCs/>
                <w:color w:val="auto"/>
                <w:kern w:val="2"/>
                <w:sz w:val="24"/>
                <w:szCs w:val="24"/>
                <w:lang w:val="en-US" w:eastAsia="zh-CN" w:bidi="ar-SA"/>
              </w:rPr>
              <w:t>108</w:t>
            </w:r>
            <w:r>
              <w:rPr>
                <w:rFonts w:hint="eastAsia" w:ascii="Times New Roman" w:hAnsi="Times New Roman" w:eastAsia="宋体" w:cs="Times New Roman"/>
                <w:b w:val="0"/>
                <w:bCs/>
                <w:color w:val="auto"/>
                <w:kern w:val="2"/>
                <w:sz w:val="24"/>
                <w:szCs w:val="24"/>
                <w:lang w:val="en-US" w:eastAsia="zh-CN" w:bidi="ar-SA"/>
              </w:rPr>
              <w:t>t/a，时间以全年计（8760h），则非甲烷总烃产生浓度为0.001</w:t>
            </w:r>
            <w:r>
              <w:rPr>
                <w:rFonts w:hint="eastAsia" w:ascii="Times New Roman" w:hAnsi="Times New Roman" w:cs="Times New Roman"/>
                <w:b w:val="0"/>
                <w:bCs/>
                <w:color w:val="auto"/>
                <w:kern w:val="2"/>
                <w:sz w:val="24"/>
                <w:szCs w:val="24"/>
                <w:lang w:val="en-US" w:eastAsia="zh-CN" w:bidi="ar-SA"/>
              </w:rPr>
              <w:t>2</w:t>
            </w:r>
            <w:r>
              <w:rPr>
                <w:rFonts w:hint="eastAsia" w:ascii="Times New Roman" w:hAnsi="Times New Roman" w:eastAsia="宋体" w:cs="Times New Roman"/>
                <w:b w:val="0"/>
                <w:bCs/>
                <w:color w:val="auto"/>
                <w:kern w:val="2"/>
                <w:sz w:val="24"/>
                <w:szCs w:val="24"/>
                <w:lang w:val="en-US" w:eastAsia="zh-CN" w:bidi="ar-SA"/>
              </w:rPr>
              <w:t>kg/h，在危废仓库无组织排放。</w:t>
            </w:r>
          </w:p>
          <w:p>
            <w:pPr>
              <w:pStyle w:val="14"/>
              <w:adjustRightInd w:val="0"/>
              <w:snapToGrid w:val="0"/>
              <w:spacing w:line="360" w:lineRule="auto"/>
              <w:ind w:firstLine="482" w:firstLineChars="200"/>
              <w:rPr>
                <w:rFonts w:hint="eastAsia"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收集效率：</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根据《通风除尘》（1988年第3期）《局部排气管的捕集效率实验》可知，集气罩与污染源之间的距离对捕集效率有极大的影响，集气罩与污染源距离从 0.3m 增为 1.5m，集气罩的捕集效率从97.6% 降为 55.0%。项目废气经集气罩收集，距离污染源约为0.3m左右，集气罩收集废气效率可达 90%以上，本次按 90%计。</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设置浸漆房为密闭状态，通过上压送风、侧吸风将产生的浸漆废气集中收集起来，通过管道密闭输送至后续废气处理设备。考虑开关门会有少量废气无组织排放，废气捕集率按95%计（参考《广东省生态环境厅关于印发工业园挥发性有机物和氮氧化物减量排放核算方法的通知》（粤环函〔2023〕538号）中“设备有固定排放管（或口）直接与风管连接，设备整体密闭只留产品进出口，且进出口处有废气收集措施，收集系统运行时周边基本无VOCs散发”吸风管的捕集效率以95%计）。</w:t>
            </w:r>
          </w:p>
          <w:p>
            <w:pPr>
              <w:pStyle w:val="14"/>
              <w:adjustRightInd w:val="0"/>
              <w:snapToGrid w:val="0"/>
              <w:spacing w:line="360" w:lineRule="auto"/>
              <w:ind w:firstLine="482" w:firstLineChars="200"/>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bCs w:val="0"/>
                <w:color w:val="auto"/>
                <w:kern w:val="2"/>
                <w:sz w:val="24"/>
                <w:szCs w:val="24"/>
                <w:lang w:val="en-US" w:eastAsia="zh-CN" w:bidi="ar-SA"/>
              </w:rPr>
              <w:t>风量计算：</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本项目集气罩风量按下式计算：</w:t>
            </w:r>
          </w:p>
          <w:p>
            <w:pPr>
              <w:pStyle w:val="14"/>
              <w:adjustRightInd w:val="0"/>
              <w:snapToGrid w:val="0"/>
              <w:spacing w:line="360" w:lineRule="auto"/>
              <w:jc w:val="center"/>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Q=vF</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v-根据《挥发性有机物治理实用手册（第二版）》第3部分VOCs废气收集与末端治理技术指南外部排风罩平均风速0.3-0.5m/s；</w:t>
            </w:r>
          </w:p>
          <w:p>
            <w:pPr>
              <w:pStyle w:val="14"/>
              <w:adjustRightInd w:val="0"/>
              <w:snapToGrid w:val="0"/>
              <w:spacing w:line="360" w:lineRule="auto"/>
              <w:ind w:firstLine="480" w:firstLineChars="200"/>
              <w:rPr>
                <w:rFonts w:hint="eastAsia" w:ascii="Times New Roman" w:hAnsi="Times New Roman" w:cs="Times New Roman"/>
                <w:b/>
                <w:bCs w:val="0"/>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F-罩口面积m</w:t>
            </w:r>
            <w:r>
              <w:rPr>
                <w:rFonts w:hint="eastAsia" w:ascii="Times New Roman" w:hAnsi="Times New Roman" w:cs="Times New Roman"/>
                <w:b w:val="0"/>
                <w:bCs/>
                <w:color w:val="auto"/>
                <w:kern w:val="2"/>
                <w:sz w:val="24"/>
                <w:szCs w:val="24"/>
                <w:vertAlign w:val="superscript"/>
                <w:lang w:val="en-US" w:eastAsia="zh-CN" w:bidi="ar-SA"/>
              </w:rPr>
              <w:t>2</w:t>
            </w:r>
            <w:r>
              <w:rPr>
                <w:rFonts w:hint="eastAsia" w:ascii="Times New Roman" w:hAnsi="Times New Roman" w:cs="Times New Roman"/>
                <w:b w:val="0"/>
                <w:bCs/>
                <w:color w:val="auto"/>
                <w:kern w:val="2"/>
                <w:sz w:val="24"/>
                <w:szCs w:val="24"/>
                <w:lang w:val="en-US" w:eastAsia="zh-CN" w:bidi="ar-SA"/>
              </w:rPr>
              <w:t>。</w:t>
            </w:r>
          </w:p>
          <w:p>
            <w:pPr>
              <w:pStyle w:val="14"/>
              <w:adjustRightInd w:val="0"/>
              <w:snapToGrid w:val="0"/>
              <w:spacing w:line="360" w:lineRule="auto"/>
              <w:ind w:firstLine="482" w:firstLineChars="200"/>
              <w:rPr>
                <w:rFonts w:hint="eastAsia"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①DA001排气筒：</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本项目调胶、上胶、植绒、烘干、胶合板刷、灌胶废气通过DA001排气筒排放风量核算如下：</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vertAlign w:val="baseline"/>
                <w:lang w:val="en-US" w:eastAsia="zh-CN"/>
              </w:rPr>
            </w:pPr>
            <w:r>
              <w:rPr>
                <w:rFonts w:hint="eastAsia" w:ascii="Times New Roman" w:hAnsi="Times New Roman" w:eastAsia="宋体" w:cs="Times New Roman"/>
                <w:b/>
                <w:color w:val="auto"/>
                <w:kern w:val="0"/>
                <w:sz w:val="24"/>
                <w:szCs w:val="24"/>
                <w:highlight w:val="none"/>
                <w:lang w:val="en-US" w:eastAsia="zh-CN"/>
              </w:rPr>
              <w:t>表</w:t>
            </w:r>
            <w:r>
              <w:rPr>
                <w:rFonts w:hint="eastAsia" w:cs="Times New Roman"/>
                <w:b/>
                <w:color w:val="auto"/>
                <w:kern w:val="0"/>
                <w:sz w:val="24"/>
                <w:szCs w:val="24"/>
                <w:highlight w:val="none"/>
                <w:lang w:val="en-US" w:eastAsia="zh-CN"/>
              </w:rPr>
              <w:t>4.1-1</w:t>
            </w:r>
            <w:r>
              <w:rPr>
                <w:rFonts w:hint="eastAsia" w:ascii="Times New Roman" w:hAnsi="Times New Roman" w:eastAsia="宋体" w:cs="Times New Roman"/>
                <w:b/>
                <w:color w:val="auto"/>
                <w:kern w:val="0"/>
                <w:sz w:val="24"/>
                <w:szCs w:val="24"/>
                <w:highlight w:val="none"/>
                <w:lang w:val="en-US" w:eastAsia="zh-CN"/>
              </w:rPr>
              <w:t xml:space="preserve"> 各污染工序风量</w:t>
            </w:r>
          </w:p>
          <w:tbl>
            <w:tblPr>
              <w:tblStyle w:val="26"/>
              <w:tblW w:w="780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44"/>
              <w:gridCol w:w="751"/>
              <w:gridCol w:w="747"/>
              <w:gridCol w:w="751"/>
              <w:gridCol w:w="927"/>
              <w:gridCol w:w="965"/>
              <w:gridCol w:w="1049"/>
              <w:gridCol w:w="1038"/>
              <w:gridCol w:w="73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工序</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工位尺寸（m）</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工位数量</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集</w:t>
                  </w:r>
                  <w:r>
                    <w:rPr>
                      <w:rFonts w:hint="eastAsia" w:cs="Times New Roman"/>
                      <w:b/>
                      <w:color w:val="auto"/>
                      <w:kern w:val="0"/>
                      <w:sz w:val="21"/>
                      <w:szCs w:val="21"/>
                      <w:highlight w:val="none"/>
                      <w:vertAlign w:val="baseline"/>
                      <w:lang w:val="en-US" w:eastAsia="zh-CN"/>
                    </w:rPr>
                    <w:t>气</w:t>
                  </w:r>
                  <w:r>
                    <w:rPr>
                      <w:rFonts w:hint="eastAsia" w:ascii="Times New Roman" w:hAnsi="Times New Roman" w:eastAsia="宋体" w:cs="Times New Roman"/>
                      <w:b/>
                      <w:color w:val="auto"/>
                      <w:kern w:val="0"/>
                      <w:sz w:val="21"/>
                      <w:szCs w:val="21"/>
                      <w:highlight w:val="none"/>
                      <w:vertAlign w:val="baseline"/>
                      <w:lang w:val="en-US" w:eastAsia="zh-CN"/>
                    </w:rPr>
                    <w:t>罩尺寸（m）</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风速（m/s）</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集</w:t>
                  </w:r>
                  <w:r>
                    <w:rPr>
                      <w:rFonts w:hint="eastAsia" w:cs="Times New Roman"/>
                      <w:b/>
                      <w:color w:val="auto"/>
                      <w:kern w:val="0"/>
                      <w:sz w:val="21"/>
                      <w:szCs w:val="21"/>
                      <w:highlight w:val="none"/>
                      <w:vertAlign w:val="baseline"/>
                      <w:lang w:val="en-US" w:eastAsia="zh-CN"/>
                    </w:rPr>
                    <w:t>气</w:t>
                  </w:r>
                  <w:r>
                    <w:rPr>
                      <w:rFonts w:hint="eastAsia" w:ascii="Times New Roman" w:hAnsi="Times New Roman" w:eastAsia="宋体" w:cs="Times New Roman"/>
                      <w:b/>
                      <w:color w:val="auto"/>
                      <w:kern w:val="0"/>
                      <w:sz w:val="21"/>
                      <w:szCs w:val="21"/>
                      <w:highlight w:val="none"/>
                      <w:vertAlign w:val="baseline"/>
                      <w:lang w:val="en-US" w:eastAsia="zh-CN"/>
                    </w:rPr>
                    <w:t>罩距污染源距离（m）</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风量（m</w:t>
                  </w:r>
                  <w:r>
                    <w:rPr>
                      <w:rFonts w:hint="eastAsia" w:ascii="Times New Roman" w:hAnsi="Times New Roman" w:eastAsia="宋体" w:cs="Times New Roman"/>
                      <w:b/>
                      <w:color w:val="auto"/>
                      <w:kern w:val="0"/>
                      <w:sz w:val="21"/>
                      <w:szCs w:val="21"/>
                      <w:highlight w:val="none"/>
                      <w:vertAlign w:val="superscript"/>
                      <w:lang w:val="en-US" w:eastAsia="zh-CN"/>
                    </w:rPr>
                    <w:t>3</w:t>
                  </w:r>
                  <w:r>
                    <w:rPr>
                      <w:rFonts w:hint="eastAsia" w:ascii="Times New Roman" w:hAnsi="Times New Roman" w:eastAsia="宋体" w:cs="Times New Roman"/>
                      <w:b/>
                      <w:color w:val="auto"/>
                      <w:kern w:val="0"/>
                      <w:sz w:val="21"/>
                      <w:szCs w:val="21"/>
                      <w:highlight w:val="none"/>
                      <w:vertAlign w:val="baseline"/>
                      <w:lang w:val="en-US" w:eastAsia="zh-CN"/>
                    </w:rPr>
                    <w:t>/h）</w:t>
                  </w:r>
                </w:p>
              </w:tc>
              <w:tc>
                <w:tcPr>
                  <w:tcW w:w="103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cs="Times New Roman"/>
                      <w:b/>
                      <w:color w:val="auto"/>
                      <w:kern w:val="0"/>
                      <w:sz w:val="21"/>
                      <w:szCs w:val="21"/>
                      <w:highlight w:val="none"/>
                      <w:vertAlign w:val="baseline"/>
                      <w:lang w:val="en-US" w:eastAsia="zh-CN"/>
                    </w:rPr>
                    <w:t>考虑系统漏风量</w:t>
                  </w:r>
                  <w:r>
                    <w:rPr>
                      <w:rFonts w:hint="eastAsia" w:ascii="Times New Roman" w:hAnsi="Times New Roman" w:eastAsia="宋体" w:cs="Times New Roman"/>
                      <w:b/>
                      <w:color w:val="auto"/>
                      <w:kern w:val="0"/>
                      <w:sz w:val="21"/>
                      <w:szCs w:val="21"/>
                      <w:highlight w:val="none"/>
                      <w:vertAlign w:val="baseline"/>
                      <w:lang w:val="en-US" w:eastAsia="zh-CN"/>
                    </w:rPr>
                    <w:t>（m</w:t>
                  </w:r>
                  <w:r>
                    <w:rPr>
                      <w:rFonts w:hint="eastAsia" w:ascii="Times New Roman" w:hAnsi="Times New Roman" w:eastAsia="宋体" w:cs="Times New Roman"/>
                      <w:b/>
                      <w:color w:val="auto"/>
                      <w:kern w:val="0"/>
                      <w:sz w:val="21"/>
                      <w:szCs w:val="21"/>
                      <w:highlight w:val="none"/>
                      <w:vertAlign w:val="superscript"/>
                      <w:lang w:val="en-US" w:eastAsia="zh-CN"/>
                    </w:rPr>
                    <w:t>3</w:t>
                  </w:r>
                  <w:r>
                    <w:rPr>
                      <w:rFonts w:hint="eastAsia" w:ascii="Times New Roman" w:hAnsi="Times New Roman" w:eastAsia="宋体" w:cs="Times New Roman"/>
                      <w:b/>
                      <w:color w:val="auto"/>
                      <w:kern w:val="0"/>
                      <w:sz w:val="21"/>
                      <w:szCs w:val="21"/>
                      <w:highlight w:val="none"/>
                      <w:vertAlign w:val="baseline"/>
                      <w:lang w:val="en-US" w:eastAsia="zh-CN"/>
                    </w:rPr>
                    <w:t>/h）</w:t>
                  </w:r>
                </w:p>
              </w:tc>
              <w:tc>
                <w:tcPr>
                  <w:tcW w:w="7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滚筒</w:t>
                  </w:r>
                  <w:r>
                    <w:rPr>
                      <w:rFonts w:hint="eastAsia" w:cs="Times New Roman"/>
                      <w:b w:val="0"/>
                      <w:bCs/>
                      <w:color w:val="auto"/>
                      <w:kern w:val="0"/>
                      <w:sz w:val="21"/>
                      <w:szCs w:val="21"/>
                      <w:highlight w:val="none"/>
                      <w:vertAlign w:val="baseline"/>
                      <w:lang w:val="en-US" w:eastAsia="zh-CN"/>
                    </w:rPr>
                    <w:t>刷</w:t>
                  </w:r>
                  <w:r>
                    <w:rPr>
                      <w:rFonts w:hint="eastAsia" w:ascii="Times New Roman" w:hAnsi="Times New Roman" w:eastAsia="宋体" w:cs="Times New Roman"/>
                      <w:b w:val="0"/>
                      <w:bCs/>
                      <w:color w:val="auto"/>
                      <w:kern w:val="0"/>
                      <w:sz w:val="21"/>
                      <w:szCs w:val="21"/>
                      <w:highlight w:val="none"/>
                      <w:vertAlign w:val="baseline"/>
                      <w:lang w:val="en-US" w:eastAsia="zh-CN"/>
                    </w:rPr>
                    <w:t>胶调胶、上胶</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0.7*0.6</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6</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0.8*0.8</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4147.2</w:t>
                  </w:r>
                </w:p>
              </w:tc>
              <w:tc>
                <w:tcPr>
                  <w:tcW w:w="103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4500</w:t>
                  </w:r>
                </w:p>
              </w:tc>
              <w:tc>
                <w:tcPr>
                  <w:tcW w:w="7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DA001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板刷植绒、烘干</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0.8*0.6</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2</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1*0.8</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1728</w:t>
                  </w:r>
                </w:p>
              </w:tc>
              <w:tc>
                <w:tcPr>
                  <w:tcW w:w="103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2000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板刷胶合板刷</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0.7*0.6</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6</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0.8*0.8</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4147.2</w:t>
                  </w:r>
                </w:p>
              </w:tc>
              <w:tc>
                <w:tcPr>
                  <w:tcW w:w="103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4500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漆刷灌胶</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0.7*0.6</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0.8*0.8</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1049"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691.2</w:t>
                  </w:r>
                </w:p>
              </w:tc>
              <w:tc>
                <w:tcPr>
                  <w:tcW w:w="103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800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磨头</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4</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2087"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6000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44"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合计</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w:t>
                  </w:r>
                </w:p>
              </w:tc>
              <w:tc>
                <w:tcPr>
                  <w:tcW w:w="74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w:t>
                  </w:r>
                </w:p>
              </w:tc>
              <w:tc>
                <w:tcPr>
                  <w:tcW w:w="751"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w:t>
                  </w:r>
                </w:p>
              </w:tc>
              <w:tc>
                <w:tcPr>
                  <w:tcW w:w="9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w:t>
                  </w:r>
                </w:p>
              </w:tc>
              <w:tc>
                <w:tcPr>
                  <w:tcW w:w="96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w:t>
                  </w:r>
                </w:p>
              </w:tc>
              <w:tc>
                <w:tcPr>
                  <w:tcW w:w="2087"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17800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808" w:type="dxa"/>
                  <w:gridSpan w:val="9"/>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Times New Roman" w:hAnsi="Times New Roman" w:eastAsia="宋体" w:cs="Times New Roman"/>
                      <w:b w:val="0"/>
                      <w:bCs/>
                      <w:color w:val="auto"/>
                      <w:kern w:val="0"/>
                      <w:sz w:val="18"/>
                      <w:szCs w:val="18"/>
                      <w:highlight w:val="none"/>
                      <w:vertAlign w:val="baseline"/>
                      <w:lang w:val="en-US" w:eastAsia="zh-CN"/>
                    </w:rPr>
                  </w:pPr>
                  <w:r>
                    <w:rPr>
                      <w:rFonts w:hint="eastAsia" w:ascii="Times New Roman" w:hAnsi="Times New Roman" w:eastAsia="宋体" w:cs="Times New Roman"/>
                      <w:b w:val="0"/>
                      <w:bCs/>
                      <w:color w:val="auto"/>
                      <w:kern w:val="0"/>
                      <w:sz w:val="18"/>
                      <w:szCs w:val="18"/>
                      <w:highlight w:val="none"/>
                      <w:vertAlign w:val="baseline"/>
                      <w:lang w:val="en-US" w:eastAsia="zh-CN"/>
                    </w:rPr>
                    <w:t>注：本项目磨头工序采用负压吸气管收集，每个工位配备一个负压吸气管，单个设计风量1500m</w:t>
                  </w:r>
                  <w:r>
                    <w:rPr>
                      <w:rFonts w:hint="eastAsia" w:ascii="Times New Roman" w:hAnsi="Times New Roman" w:eastAsia="宋体" w:cs="Times New Roman"/>
                      <w:b w:val="0"/>
                      <w:bCs/>
                      <w:color w:val="auto"/>
                      <w:kern w:val="0"/>
                      <w:sz w:val="18"/>
                      <w:szCs w:val="18"/>
                      <w:highlight w:val="none"/>
                      <w:vertAlign w:val="superscript"/>
                      <w:lang w:val="en-US" w:eastAsia="zh-CN"/>
                    </w:rPr>
                    <w:t>3</w:t>
                  </w:r>
                  <w:r>
                    <w:rPr>
                      <w:rFonts w:hint="eastAsia" w:ascii="Times New Roman" w:hAnsi="Times New Roman" w:eastAsia="宋体" w:cs="Times New Roman"/>
                      <w:b w:val="0"/>
                      <w:bCs/>
                      <w:color w:val="auto"/>
                      <w:kern w:val="0"/>
                      <w:sz w:val="18"/>
                      <w:szCs w:val="18"/>
                      <w:highlight w:val="none"/>
                      <w:vertAlign w:val="baseline"/>
                      <w:lang w:val="en-US" w:eastAsia="zh-CN"/>
                    </w:rPr>
                    <w:t>/h，则磨头工序总风量为6000m</w:t>
                  </w:r>
                  <w:r>
                    <w:rPr>
                      <w:rFonts w:hint="eastAsia" w:ascii="Times New Roman" w:hAnsi="Times New Roman" w:eastAsia="宋体" w:cs="Times New Roman"/>
                      <w:b w:val="0"/>
                      <w:bCs/>
                      <w:color w:val="auto"/>
                      <w:kern w:val="0"/>
                      <w:sz w:val="18"/>
                      <w:szCs w:val="18"/>
                      <w:highlight w:val="none"/>
                      <w:vertAlign w:val="superscript"/>
                      <w:lang w:val="en-US" w:eastAsia="zh-CN"/>
                    </w:rPr>
                    <w:t>3</w:t>
                  </w:r>
                  <w:r>
                    <w:rPr>
                      <w:rFonts w:hint="eastAsia" w:ascii="Times New Roman" w:hAnsi="Times New Roman" w:eastAsia="宋体" w:cs="Times New Roman"/>
                      <w:b w:val="0"/>
                      <w:bCs/>
                      <w:color w:val="auto"/>
                      <w:kern w:val="0"/>
                      <w:sz w:val="18"/>
                      <w:szCs w:val="18"/>
                      <w:highlight w:val="none"/>
                      <w:vertAlign w:val="baseline"/>
                      <w:lang w:val="en-US" w:eastAsia="zh-CN"/>
                    </w:rPr>
                    <w:t>/h。</w:t>
                  </w:r>
                </w:p>
              </w:tc>
            </w:tr>
          </w:tbl>
          <w:p>
            <w:pPr>
              <w:pStyle w:val="14"/>
              <w:adjustRightInd w:val="0"/>
              <w:snapToGrid w:val="0"/>
              <w:spacing w:line="360" w:lineRule="auto"/>
              <w:ind w:firstLine="480" w:firstLineChars="200"/>
              <w:rPr>
                <w:rFonts w:hint="default"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综上，考虑系统漏风量，DA001排气筒风量为17800m</w:t>
            </w:r>
            <w:r>
              <w:rPr>
                <w:rFonts w:hint="eastAsia" w:ascii="Times New Roman" w:hAnsi="Times New Roman" w:cs="Times New Roman"/>
                <w:b w:val="0"/>
                <w:bCs/>
                <w:color w:val="auto"/>
                <w:kern w:val="2"/>
                <w:sz w:val="24"/>
                <w:szCs w:val="24"/>
                <w:vertAlign w:val="superscript"/>
                <w:lang w:val="en-US" w:eastAsia="zh-CN" w:bidi="ar-SA"/>
              </w:rPr>
              <w:t>3</w:t>
            </w:r>
            <w:r>
              <w:rPr>
                <w:rFonts w:hint="eastAsia" w:ascii="Times New Roman" w:hAnsi="Times New Roman" w:cs="Times New Roman"/>
                <w:b w:val="0"/>
                <w:bCs/>
                <w:color w:val="auto"/>
                <w:kern w:val="2"/>
                <w:sz w:val="24"/>
                <w:szCs w:val="24"/>
                <w:lang w:val="en-US" w:eastAsia="zh-CN" w:bidi="ar-SA"/>
              </w:rPr>
              <w:t>/h。</w:t>
            </w:r>
          </w:p>
          <w:p>
            <w:pPr>
              <w:pStyle w:val="14"/>
              <w:adjustRightInd w:val="0"/>
              <w:snapToGrid w:val="0"/>
              <w:spacing w:line="360" w:lineRule="auto"/>
              <w:ind w:firstLine="482" w:firstLineChars="200"/>
              <w:rPr>
                <w:rFonts w:hint="default" w:ascii="Times New Roman" w:hAnsi="Times New Roman" w:cs="Times New Roman"/>
                <w:b/>
                <w:bCs w:val="0"/>
                <w:color w:val="auto"/>
                <w:kern w:val="2"/>
                <w:sz w:val="24"/>
                <w:szCs w:val="24"/>
                <w:lang w:val="en-US" w:eastAsia="zh-CN" w:bidi="ar-SA"/>
              </w:rPr>
            </w:pPr>
            <w:r>
              <w:rPr>
                <w:rFonts w:hint="eastAsia" w:ascii="Times New Roman" w:hAnsi="Times New Roman" w:cs="Times New Roman"/>
                <w:b/>
                <w:bCs w:val="0"/>
                <w:color w:val="auto"/>
                <w:kern w:val="2"/>
                <w:sz w:val="24"/>
                <w:szCs w:val="24"/>
                <w:lang w:val="en-US" w:eastAsia="zh-CN" w:bidi="ar-SA"/>
              </w:rPr>
              <w:t>②DA002排气筒：</w:t>
            </w:r>
          </w:p>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4"/>
                <w:szCs w:val="24"/>
                <w:highlight w:val="none"/>
                <w:vertAlign w:val="baseline"/>
                <w:lang w:val="en-US" w:eastAsia="zh-CN"/>
              </w:rPr>
            </w:pPr>
            <w:r>
              <w:rPr>
                <w:rFonts w:hint="eastAsia" w:ascii="Times New Roman" w:hAnsi="Times New Roman" w:eastAsia="宋体" w:cs="Times New Roman"/>
                <w:b/>
                <w:color w:val="auto"/>
                <w:kern w:val="0"/>
                <w:sz w:val="24"/>
                <w:szCs w:val="24"/>
                <w:highlight w:val="none"/>
                <w:lang w:val="en-US" w:eastAsia="zh-CN"/>
              </w:rPr>
              <w:t>表</w:t>
            </w:r>
            <w:r>
              <w:rPr>
                <w:rFonts w:hint="eastAsia" w:cs="Times New Roman"/>
                <w:b/>
                <w:color w:val="auto"/>
                <w:kern w:val="0"/>
                <w:sz w:val="24"/>
                <w:szCs w:val="24"/>
                <w:highlight w:val="none"/>
                <w:lang w:val="en-US" w:eastAsia="zh-CN"/>
              </w:rPr>
              <w:t>4.1-2</w:t>
            </w:r>
            <w:r>
              <w:rPr>
                <w:rFonts w:hint="eastAsia" w:ascii="Times New Roman" w:hAnsi="Times New Roman" w:eastAsia="宋体" w:cs="Times New Roman"/>
                <w:b/>
                <w:color w:val="auto"/>
                <w:kern w:val="0"/>
                <w:sz w:val="24"/>
                <w:szCs w:val="24"/>
                <w:highlight w:val="none"/>
                <w:lang w:val="en-US" w:eastAsia="zh-CN"/>
              </w:rPr>
              <w:t xml:space="preserve"> 各污染工序风量</w:t>
            </w:r>
          </w:p>
          <w:tbl>
            <w:tblPr>
              <w:tblStyle w:val="26"/>
              <w:tblW w:w="780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30"/>
              <w:gridCol w:w="780"/>
              <w:gridCol w:w="727"/>
              <w:gridCol w:w="780"/>
              <w:gridCol w:w="925"/>
              <w:gridCol w:w="955"/>
              <w:gridCol w:w="1048"/>
              <w:gridCol w:w="1027"/>
              <w:gridCol w:w="73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工序</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工位尺寸（m）</w:t>
                  </w:r>
                </w:p>
              </w:tc>
              <w:tc>
                <w:tcPr>
                  <w:tcW w:w="7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工位数量</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集</w:t>
                  </w:r>
                  <w:r>
                    <w:rPr>
                      <w:rFonts w:hint="eastAsia" w:cs="Times New Roman"/>
                      <w:b/>
                      <w:color w:val="auto"/>
                      <w:kern w:val="0"/>
                      <w:sz w:val="21"/>
                      <w:szCs w:val="21"/>
                      <w:highlight w:val="none"/>
                      <w:vertAlign w:val="baseline"/>
                      <w:lang w:val="en-US" w:eastAsia="zh-CN"/>
                    </w:rPr>
                    <w:t>气</w:t>
                  </w:r>
                  <w:r>
                    <w:rPr>
                      <w:rFonts w:hint="eastAsia" w:ascii="Times New Roman" w:hAnsi="Times New Roman" w:eastAsia="宋体" w:cs="Times New Roman"/>
                      <w:b/>
                      <w:color w:val="auto"/>
                      <w:kern w:val="0"/>
                      <w:sz w:val="21"/>
                      <w:szCs w:val="21"/>
                      <w:highlight w:val="none"/>
                      <w:vertAlign w:val="baseline"/>
                      <w:lang w:val="en-US" w:eastAsia="zh-CN"/>
                    </w:rPr>
                    <w:t>罩尺寸（m）</w:t>
                  </w:r>
                </w:p>
              </w:tc>
              <w:tc>
                <w:tcPr>
                  <w:tcW w:w="92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风速（m/s）</w:t>
                  </w:r>
                </w:p>
              </w:tc>
              <w:tc>
                <w:tcPr>
                  <w:tcW w:w="9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集</w:t>
                  </w:r>
                  <w:r>
                    <w:rPr>
                      <w:rFonts w:hint="eastAsia" w:cs="Times New Roman"/>
                      <w:b/>
                      <w:color w:val="auto"/>
                      <w:kern w:val="0"/>
                      <w:sz w:val="21"/>
                      <w:szCs w:val="21"/>
                      <w:highlight w:val="none"/>
                      <w:vertAlign w:val="baseline"/>
                      <w:lang w:val="en-US" w:eastAsia="zh-CN"/>
                    </w:rPr>
                    <w:t>气</w:t>
                  </w:r>
                  <w:r>
                    <w:rPr>
                      <w:rFonts w:hint="eastAsia" w:ascii="Times New Roman" w:hAnsi="Times New Roman" w:eastAsia="宋体" w:cs="Times New Roman"/>
                      <w:b/>
                      <w:color w:val="auto"/>
                      <w:kern w:val="0"/>
                      <w:sz w:val="21"/>
                      <w:szCs w:val="21"/>
                      <w:highlight w:val="none"/>
                      <w:vertAlign w:val="baseline"/>
                      <w:lang w:val="en-US" w:eastAsia="zh-CN"/>
                    </w:rPr>
                    <w:t>罩距污染源距离（m）</w:t>
                  </w:r>
                </w:p>
              </w:tc>
              <w:tc>
                <w:tcPr>
                  <w:tcW w:w="10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风量（m</w:t>
                  </w:r>
                  <w:r>
                    <w:rPr>
                      <w:rFonts w:hint="eastAsia" w:ascii="Times New Roman" w:hAnsi="Times New Roman" w:eastAsia="宋体" w:cs="Times New Roman"/>
                      <w:b/>
                      <w:color w:val="auto"/>
                      <w:kern w:val="0"/>
                      <w:sz w:val="21"/>
                      <w:szCs w:val="21"/>
                      <w:highlight w:val="none"/>
                      <w:vertAlign w:val="superscript"/>
                      <w:lang w:val="en-US" w:eastAsia="zh-CN"/>
                    </w:rPr>
                    <w:t>3</w:t>
                  </w:r>
                  <w:r>
                    <w:rPr>
                      <w:rFonts w:hint="eastAsia" w:ascii="Times New Roman" w:hAnsi="Times New Roman" w:eastAsia="宋体" w:cs="Times New Roman"/>
                      <w:b/>
                      <w:color w:val="auto"/>
                      <w:kern w:val="0"/>
                      <w:sz w:val="21"/>
                      <w:szCs w:val="21"/>
                      <w:highlight w:val="none"/>
                      <w:vertAlign w:val="baseline"/>
                      <w:lang w:val="en-US" w:eastAsia="zh-CN"/>
                    </w:rPr>
                    <w:t>/h）</w:t>
                  </w:r>
                </w:p>
              </w:tc>
              <w:tc>
                <w:tcPr>
                  <w:tcW w:w="10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color w:val="auto"/>
                      <w:kern w:val="0"/>
                      <w:sz w:val="21"/>
                      <w:szCs w:val="21"/>
                      <w:highlight w:val="none"/>
                      <w:vertAlign w:val="baseline"/>
                      <w:lang w:val="en-US" w:eastAsia="zh-CN"/>
                    </w:rPr>
                  </w:pPr>
                  <w:r>
                    <w:rPr>
                      <w:rFonts w:hint="eastAsia" w:cs="Times New Roman"/>
                      <w:b/>
                      <w:color w:val="auto"/>
                      <w:kern w:val="0"/>
                      <w:sz w:val="21"/>
                      <w:szCs w:val="21"/>
                      <w:highlight w:val="none"/>
                      <w:vertAlign w:val="baseline"/>
                      <w:lang w:val="en-US" w:eastAsia="zh-CN"/>
                    </w:rPr>
                    <w:t>考虑系统漏风量</w:t>
                  </w:r>
                  <w:r>
                    <w:rPr>
                      <w:rFonts w:hint="eastAsia" w:ascii="Times New Roman" w:hAnsi="Times New Roman" w:eastAsia="宋体" w:cs="Times New Roman"/>
                      <w:b/>
                      <w:color w:val="auto"/>
                      <w:kern w:val="0"/>
                      <w:sz w:val="21"/>
                      <w:szCs w:val="21"/>
                      <w:highlight w:val="none"/>
                      <w:vertAlign w:val="baseline"/>
                      <w:lang w:val="en-US" w:eastAsia="zh-CN"/>
                    </w:rPr>
                    <w:t>（m</w:t>
                  </w:r>
                  <w:r>
                    <w:rPr>
                      <w:rFonts w:hint="eastAsia" w:ascii="Times New Roman" w:hAnsi="Times New Roman" w:eastAsia="宋体" w:cs="Times New Roman"/>
                      <w:b/>
                      <w:color w:val="auto"/>
                      <w:kern w:val="0"/>
                      <w:sz w:val="21"/>
                      <w:szCs w:val="21"/>
                      <w:highlight w:val="none"/>
                      <w:vertAlign w:val="superscript"/>
                      <w:lang w:val="en-US" w:eastAsia="zh-CN"/>
                    </w:rPr>
                    <w:t>3</w:t>
                  </w:r>
                  <w:r>
                    <w:rPr>
                      <w:rFonts w:hint="eastAsia" w:ascii="Times New Roman" w:hAnsi="Times New Roman" w:eastAsia="宋体" w:cs="Times New Roman"/>
                      <w:b/>
                      <w:color w:val="auto"/>
                      <w:kern w:val="0"/>
                      <w:sz w:val="21"/>
                      <w:szCs w:val="21"/>
                      <w:highlight w:val="none"/>
                      <w:vertAlign w:val="baseline"/>
                      <w:lang w:val="en-US" w:eastAsia="zh-CN"/>
                    </w:rPr>
                    <w:t>/h）</w:t>
                  </w:r>
                </w:p>
              </w:tc>
              <w:tc>
                <w:tcPr>
                  <w:tcW w:w="7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color w:val="auto"/>
                      <w:kern w:val="0"/>
                      <w:sz w:val="21"/>
                      <w:szCs w:val="21"/>
                      <w:highlight w:val="none"/>
                      <w:vertAlign w:val="baseline"/>
                      <w:lang w:val="en-US" w:eastAsia="zh-CN"/>
                    </w:rPr>
                  </w:pPr>
                  <w:r>
                    <w:rPr>
                      <w:rFonts w:hint="eastAsia" w:ascii="Times New Roman" w:hAnsi="Times New Roman" w:eastAsia="宋体" w:cs="Times New Roman"/>
                      <w:b/>
                      <w:color w:val="auto"/>
                      <w:kern w:val="0"/>
                      <w:sz w:val="21"/>
                      <w:szCs w:val="21"/>
                      <w:highlight w:val="none"/>
                      <w:vertAlign w:val="baseline"/>
                      <w:lang w:val="en-US" w:eastAsia="zh-CN"/>
                    </w:rPr>
                    <w:t>排气筒</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板刷</w:t>
                  </w:r>
                  <w:r>
                    <w:rPr>
                      <w:rFonts w:hint="eastAsia" w:ascii="Times New Roman" w:hAnsi="Times New Roman" w:eastAsia="宋体" w:cs="Times New Roman"/>
                      <w:b w:val="0"/>
                      <w:bCs/>
                      <w:color w:val="auto"/>
                      <w:kern w:val="0"/>
                      <w:sz w:val="21"/>
                      <w:szCs w:val="21"/>
                      <w:highlight w:val="none"/>
                      <w:vertAlign w:val="baseline"/>
                      <w:lang w:val="en-US" w:eastAsia="zh-CN"/>
                    </w:rPr>
                    <w:t>注塑</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0.9*0.9</w:t>
                  </w:r>
                </w:p>
              </w:tc>
              <w:tc>
                <w:tcPr>
                  <w:tcW w:w="7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12</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1*1</w:t>
                  </w:r>
                </w:p>
              </w:tc>
              <w:tc>
                <w:tcPr>
                  <w:tcW w:w="92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9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0.3</w:t>
                  </w:r>
                </w:p>
              </w:tc>
              <w:tc>
                <w:tcPr>
                  <w:tcW w:w="1048"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12960</w:t>
                  </w:r>
                </w:p>
              </w:tc>
              <w:tc>
                <w:tcPr>
                  <w:tcW w:w="10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14000</w:t>
                  </w:r>
                </w:p>
              </w:tc>
              <w:tc>
                <w:tcPr>
                  <w:tcW w:w="736" w:type="dxa"/>
                  <w:vMerge w:val="restar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DA002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83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cs="Times New Roman"/>
                      <w:b w:val="0"/>
                      <w:bCs/>
                      <w:color w:val="auto"/>
                      <w:kern w:val="0"/>
                      <w:sz w:val="21"/>
                      <w:szCs w:val="21"/>
                      <w:highlight w:val="none"/>
                      <w:vertAlign w:val="baseline"/>
                      <w:lang w:val="en-US" w:eastAsia="zh-CN"/>
                    </w:rPr>
                    <w:t>漆刷</w:t>
                  </w:r>
                  <w:r>
                    <w:rPr>
                      <w:rFonts w:hint="eastAsia" w:ascii="Times New Roman" w:hAnsi="Times New Roman" w:eastAsia="宋体" w:cs="Times New Roman"/>
                      <w:b w:val="0"/>
                      <w:bCs/>
                      <w:color w:val="auto"/>
                      <w:kern w:val="0"/>
                      <w:sz w:val="21"/>
                      <w:szCs w:val="21"/>
                      <w:highlight w:val="none"/>
                      <w:vertAlign w:val="baseline"/>
                      <w:lang w:val="en-US" w:eastAsia="zh-CN"/>
                    </w:rPr>
                    <w:t>浸漆</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727"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780"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92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955"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w:t>
                  </w:r>
                </w:p>
              </w:tc>
              <w:tc>
                <w:tcPr>
                  <w:tcW w:w="2075" w:type="dxa"/>
                  <w:gridSpan w:val="2"/>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Times New Roman" w:hAnsi="Times New Roman" w:eastAsia="宋体" w:cs="Times New Roman"/>
                      <w:b w:val="0"/>
                      <w:bCs/>
                      <w:color w:val="auto"/>
                      <w:kern w:val="0"/>
                      <w:sz w:val="21"/>
                      <w:szCs w:val="21"/>
                      <w:highlight w:val="none"/>
                      <w:vertAlign w:val="baseline"/>
                      <w:lang w:val="en-US" w:eastAsia="zh-CN"/>
                    </w:rPr>
                  </w:pPr>
                  <w:r>
                    <w:rPr>
                      <w:rFonts w:hint="eastAsia" w:ascii="Times New Roman" w:hAnsi="Times New Roman" w:eastAsia="宋体" w:cs="Times New Roman"/>
                      <w:b w:val="0"/>
                      <w:bCs/>
                      <w:color w:val="auto"/>
                      <w:kern w:val="0"/>
                      <w:sz w:val="21"/>
                      <w:szCs w:val="21"/>
                      <w:highlight w:val="none"/>
                      <w:vertAlign w:val="baseline"/>
                      <w:lang w:val="en-US" w:eastAsia="zh-CN"/>
                    </w:rPr>
                    <w:t>8000</w:t>
                  </w:r>
                </w:p>
              </w:tc>
              <w:tc>
                <w:tcPr>
                  <w:tcW w:w="736" w:type="dxa"/>
                  <w:vMerge w:val="continue"/>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default" w:ascii="Times New Roman" w:hAnsi="Times New Roman" w:eastAsia="宋体" w:cs="Times New Roman"/>
                      <w:b w:val="0"/>
                      <w:bCs/>
                      <w:color w:val="auto"/>
                      <w:kern w:val="0"/>
                      <w:sz w:val="21"/>
                      <w:szCs w:val="21"/>
                      <w:highlight w:val="none"/>
                      <w:vertAlign w:val="baseli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072" w:type="dxa"/>
                  <w:gridSpan w:val="8"/>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default" w:ascii="Times New Roman" w:hAnsi="Times New Roman" w:eastAsia="宋体" w:cs="Times New Roman"/>
                      <w:b w:val="0"/>
                      <w:bCs/>
                      <w:color w:val="auto"/>
                      <w:kern w:val="0"/>
                      <w:sz w:val="18"/>
                      <w:szCs w:val="18"/>
                      <w:highlight w:val="none"/>
                      <w:vertAlign w:val="baseline"/>
                      <w:lang w:val="en-US" w:eastAsia="zh-CN"/>
                    </w:rPr>
                  </w:pPr>
                  <w:r>
                    <w:rPr>
                      <w:rFonts w:hint="eastAsia" w:ascii="Times New Roman" w:hAnsi="Times New Roman" w:eastAsia="宋体" w:cs="Times New Roman"/>
                      <w:b w:val="0"/>
                      <w:bCs/>
                      <w:color w:val="auto"/>
                      <w:kern w:val="0"/>
                      <w:sz w:val="18"/>
                      <w:szCs w:val="18"/>
                      <w:highlight w:val="none"/>
                      <w:vertAlign w:val="baseline"/>
                      <w:lang w:val="en-US" w:eastAsia="zh-CN"/>
                    </w:rPr>
                    <w:t>注：本项目浸漆房尺寸为20*10*4m，设计换风频次为10次/h，则风量为8000m</w:t>
                  </w:r>
                  <w:r>
                    <w:rPr>
                      <w:rFonts w:hint="eastAsia" w:ascii="Times New Roman" w:hAnsi="Times New Roman" w:eastAsia="宋体" w:cs="Times New Roman"/>
                      <w:b w:val="0"/>
                      <w:bCs/>
                      <w:color w:val="auto"/>
                      <w:kern w:val="0"/>
                      <w:sz w:val="18"/>
                      <w:szCs w:val="18"/>
                      <w:highlight w:val="none"/>
                      <w:vertAlign w:val="superscript"/>
                      <w:lang w:val="en-US" w:eastAsia="zh-CN"/>
                    </w:rPr>
                    <w:t>3/</w:t>
                  </w:r>
                  <w:r>
                    <w:rPr>
                      <w:rFonts w:hint="eastAsia" w:ascii="Times New Roman" w:hAnsi="Times New Roman" w:eastAsia="宋体" w:cs="Times New Roman"/>
                      <w:b w:val="0"/>
                      <w:bCs/>
                      <w:color w:val="auto"/>
                      <w:kern w:val="0"/>
                      <w:sz w:val="18"/>
                      <w:szCs w:val="18"/>
                      <w:highlight w:val="none"/>
                      <w:vertAlign w:val="baseline"/>
                      <w:lang w:val="en-US" w:eastAsia="zh-CN"/>
                    </w:rPr>
                    <w:t>h。</w:t>
                  </w:r>
                </w:p>
              </w:tc>
              <w:tc>
                <w:tcPr>
                  <w:tcW w:w="736" w:type="dxa"/>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Times New Roman" w:hAnsi="Times New Roman" w:eastAsia="宋体" w:cs="Times New Roman"/>
                      <w:b w:val="0"/>
                      <w:bCs/>
                      <w:color w:val="auto"/>
                      <w:kern w:val="0"/>
                      <w:sz w:val="18"/>
                      <w:szCs w:val="18"/>
                      <w:highlight w:val="none"/>
                      <w:vertAlign w:val="baseline"/>
                      <w:lang w:val="en-US" w:eastAsia="zh-CN"/>
                    </w:rPr>
                  </w:pPr>
                </w:p>
              </w:tc>
            </w:tr>
          </w:tbl>
          <w:p>
            <w:pPr>
              <w:pStyle w:val="14"/>
              <w:adjustRightInd w:val="0"/>
              <w:snapToGrid w:val="0"/>
              <w:spacing w:line="360" w:lineRule="auto"/>
              <w:ind w:firstLine="480" w:firstLineChars="200"/>
              <w:rPr>
                <w:rFonts w:hint="default"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综上，考虑系统漏风量，DA002排气筒风量为22000m</w:t>
            </w:r>
            <w:r>
              <w:rPr>
                <w:rFonts w:hint="eastAsia" w:ascii="Times New Roman" w:hAnsi="Times New Roman" w:cs="Times New Roman"/>
                <w:b w:val="0"/>
                <w:bCs/>
                <w:color w:val="auto"/>
                <w:kern w:val="2"/>
                <w:sz w:val="24"/>
                <w:szCs w:val="24"/>
                <w:vertAlign w:val="superscript"/>
                <w:lang w:val="en-US" w:eastAsia="zh-CN" w:bidi="ar-SA"/>
              </w:rPr>
              <w:t>3</w:t>
            </w:r>
            <w:r>
              <w:rPr>
                <w:rFonts w:hint="eastAsia" w:ascii="Times New Roman" w:hAnsi="Times New Roman" w:cs="Times New Roman"/>
                <w:b w:val="0"/>
                <w:bCs/>
                <w:color w:val="auto"/>
                <w:kern w:val="2"/>
                <w:sz w:val="24"/>
                <w:szCs w:val="24"/>
                <w:lang w:val="en-US" w:eastAsia="zh-CN" w:bidi="ar-SA"/>
              </w:rPr>
              <w:t>/h.</w:t>
            </w:r>
          </w:p>
        </w:tc>
      </w:tr>
    </w:tbl>
    <w:p>
      <w:pPr>
        <w:pStyle w:val="22"/>
        <w:jc w:val="center"/>
        <w:outlineLvl w:val="0"/>
        <w:rPr>
          <w:rFonts w:hint="default" w:ascii="Times New Roman" w:hAnsi="Times New Roman" w:cs="Times New Roman"/>
          <w:b/>
          <w:snapToGrid w:val="0"/>
          <w:color w:val="auto"/>
          <w:sz w:val="30"/>
          <w:szCs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
        <w:gridCol w:w="137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 w:type="dxa"/>
            <w:vAlign w:val="center"/>
          </w:tcPr>
          <w:p>
            <w:pPr>
              <w:adjustRightInd w:val="0"/>
              <w:snapToGrid w:val="0"/>
              <w:rPr>
                <w:rFonts w:hint="default" w:ascii="Times New Roman" w:hAnsi="Times New Roman" w:cs="Times New Roman"/>
                <w:b/>
                <w:snapToGrid w:val="0"/>
                <w:color w:val="auto"/>
                <w:kern w:val="0"/>
                <w:sz w:val="21"/>
                <w:szCs w:val="21"/>
                <w:highlight w:val="none"/>
              </w:rPr>
            </w:pPr>
            <w:r>
              <w:rPr>
                <w:rFonts w:hint="default" w:ascii="Times New Roman" w:hAnsi="Times New Roman" w:cs="Times New Roman"/>
                <w:bCs/>
                <w:color w:val="auto"/>
                <w:kern w:val="0"/>
                <w:sz w:val="21"/>
                <w:szCs w:val="21"/>
                <w:highlight w:val="none"/>
              </w:rPr>
              <w:t>运营期环境影响和保护措施</w:t>
            </w:r>
          </w:p>
        </w:tc>
        <w:tc>
          <w:tcPr>
            <w:tcW w:w="13760" w:type="dxa"/>
            <w:vAlign w:val="center"/>
          </w:tcPr>
          <w:p>
            <w:pPr>
              <w:jc w:val="center"/>
              <w:rPr>
                <w:rFonts w:hint="default" w:ascii="Times New Roman" w:hAnsi="Times New Roman" w:cs="Times New Roman"/>
                <w:b/>
                <w:bCs/>
                <w:color w:val="auto"/>
                <w:sz w:val="24"/>
                <w:szCs w:val="32"/>
                <w:highlight w:val="none"/>
                <w:lang w:val="en-US" w:eastAsia="zh-CN"/>
              </w:rPr>
            </w:pPr>
            <w:bookmarkStart w:id="6" w:name="_Hlk99028031"/>
            <w:r>
              <w:rPr>
                <w:rFonts w:hint="eastAsia" w:ascii="Times New Roman" w:hAnsi="Times New Roman"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 xml:space="preserve">3 </w:t>
            </w:r>
            <w:r>
              <w:rPr>
                <w:rFonts w:hint="eastAsia" w:ascii="Times New Roman" w:hAnsi="Times New Roman" w:cs="Times New Roman"/>
                <w:b/>
                <w:bCs/>
                <w:color w:val="auto"/>
                <w:sz w:val="24"/>
                <w:szCs w:val="32"/>
                <w:highlight w:val="none"/>
                <w:lang w:val="en-US" w:eastAsia="zh-CN"/>
              </w:rPr>
              <w:t>废气收集、处理、排放方式情况一览表</w:t>
            </w:r>
          </w:p>
          <w:tbl>
            <w:tblPr>
              <w:tblStyle w:val="26"/>
              <w:tblW w:w="13536"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91"/>
              <w:gridCol w:w="1295"/>
              <w:gridCol w:w="1270"/>
              <w:gridCol w:w="1219"/>
              <w:gridCol w:w="2216"/>
              <w:gridCol w:w="1140"/>
              <w:gridCol w:w="796"/>
              <w:gridCol w:w="1078"/>
              <w:gridCol w:w="707"/>
              <w:gridCol w:w="1861"/>
              <w:gridCol w:w="540"/>
              <w:gridCol w:w="5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891"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污染源</w:t>
                  </w:r>
                </w:p>
              </w:tc>
              <w:tc>
                <w:tcPr>
                  <w:tcW w:w="1295"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污染源编号</w:t>
                  </w:r>
                </w:p>
              </w:tc>
              <w:tc>
                <w:tcPr>
                  <w:tcW w:w="1270"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污染物种类</w:t>
                  </w:r>
                </w:p>
              </w:tc>
              <w:tc>
                <w:tcPr>
                  <w:tcW w:w="1219"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污染源强核算t/a</w:t>
                  </w:r>
                </w:p>
              </w:tc>
              <w:tc>
                <w:tcPr>
                  <w:tcW w:w="2216"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源强核算依据</w:t>
                  </w:r>
                </w:p>
              </w:tc>
              <w:tc>
                <w:tcPr>
                  <w:tcW w:w="1140"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废气收集方式</w:t>
                  </w:r>
                </w:p>
              </w:tc>
              <w:tc>
                <w:tcPr>
                  <w:tcW w:w="796" w:type="dxa"/>
                  <w:vMerge w:val="restart"/>
                  <w:vAlign w:val="center"/>
                </w:tcPr>
                <w:p>
                  <w:pPr>
                    <w:adjustRightInd w:val="0"/>
                    <w:snapToGrid w:val="0"/>
                    <w:spacing w:line="240" w:lineRule="auto"/>
                    <w:jc w:val="center"/>
                    <w:rPr>
                      <w:b/>
                      <w:bCs/>
                      <w:color w:val="auto"/>
                      <w:sz w:val="21"/>
                      <w:szCs w:val="21"/>
                    </w:rPr>
                  </w:pPr>
                  <w:r>
                    <w:rPr>
                      <w:rFonts w:hint="eastAsia"/>
                      <w:b/>
                      <w:bCs/>
                      <w:color w:val="auto"/>
                      <w:sz w:val="21"/>
                      <w:szCs w:val="21"/>
                    </w:rPr>
                    <w:t>收集效率</w:t>
                  </w:r>
                </w:p>
              </w:tc>
              <w:tc>
                <w:tcPr>
                  <w:tcW w:w="3646" w:type="dxa"/>
                  <w:gridSpan w:val="3"/>
                  <w:vAlign w:val="center"/>
                </w:tcPr>
                <w:p>
                  <w:pPr>
                    <w:adjustRightInd w:val="0"/>
                    <w:snapToGrid w:val="0"/>
                    <w:spacing w:line="240" w:lineRule="auto"/>
                    <w:jc w:val="center"/>
                    <w:rPr>
                      <w:b/>
                      <w:bCs/>
                      <w:color w:val="auto"/>
                      <w:sz w:val="21"/>
                      <w:szCs w:val="21"/>
                    </w:rPr>
                  </w:pPr>
                  <w:r>
                    <w:rPr>
                      <w:rFonts w:hint="eastAsia"/>
                      <w:b/>
                      <w:bCs/>
                      <w:color w:val="auto"/>
                      <w:sz w:val="21"/>
                      <w:szCs w:val="21"/>
                    </w:rPr>
                    <w:t>治理措施</w:t>
                  </w:r>
                </w:p>
              </w:tc>
              <w:tc>
                <w:tcPr>
                  <w:tcW w:w="1063" w:type="dxa"/>
                  <w:gridSpan w:val="2"/>
                  <w:vAlign w:val="center"/>
                </w:tcPr>
                <w:p>
                  <w:pPr>
                    <w:adjustRightInd w:val="0"/>
                    <w:snapToGrid w:val="0"/>
                    <w:spacing w:line="240" w:lineRule="auto"/>
                    <w:jc w:val="center"/>
                    <w:rPr>
                      <w:b/>
                      <w:bCs/>
                      <w:color w:val="auto"/>
                      <w:sz w:val="21"/>
                      <w:szCs w:val="21"/>
                    </w:rPr>
                  </w:pPr>
                  <w:r>
                    <w:rPr>
                      <w:rFonts w:hint="eastAsia"/>
                      <w:b/>
                      <w:bCs/>
                      <w:color w:val="auto"/>
                      <w:sz w:val="21"/>
                      <w:szCs w:val="21"/>
                    </w:rPr>
                    <w:t>排放形式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91" w:type="dxa"/>
                  <w:vMerge w:val="continue"/>
                  <w:vAlign w:val="center"/>
                </w:tcPr>
                <w:p>
                  <w:pPr>
                    <w:adjustRightInd w:val="0"/>
                    <w:snapToGrid w:val="0"/>
                    <w:spacing w:line="240" w:lineRule="auto"/>
                    <w:jc w:val="center"/>
                    <w:rPr>
                      <w:color w:val="auto"/>
                      <w:sz w:val="21"/>
                      <w:szCs w:val="21"/>
                    </w:rPr>
                  </w:pPr>
                </w:p>
              </w:tc>
              <w:tc>
                <w:tcPr>
                  <w:tcW w:w="1295" w:type="dxa"/>
                  <w:vMerge w:val="continue"/>
                  <w:vAlign w:val="center"/>
                </w:tcPr>
                <w:p>
                  <w:pPr>
                    <w:adjustRightInd w:val="0"/>
                    <w:snapToGrid w:val="0"/>
                    <w:spacing w:line="240" w:lineRule="auto"/>
                    <w:jc w:val="center"/>
                    <w:rPr>
                      <w:color w:val="auto"/>
                      <w:sz w:val="21"/>
                      <w:szCs w:val="21"/>
                    </w:rPr>
                  </w:pPr>
                </w:p>
              </w:tc>
              <w:tc>
                <w:tcPr>
                  <w:tcW w:w="1270" w:type="dxa"/>
                  <w:vMerge w:val="continue"/>
                  <w:vAlign w:val="center"/>
                </w:tcPr>
                <w:p>
                  <w:pPr>
                    <w:adjustRightInd w:val="0"/>
                    <w:snapToGrid w:val="0"/>
                    <w:spacing w:line="240" w:lineRule="auto"/>
                    <w:jc w:val="center"/>
                    <w:rPr>
                      <w:color w:val="auto"/>
                      <w:sz w:val="21"/>
                      <w:szCs w:val="21"/>
                    </w:rPr>
                  </w:pPr>
                </w:p>
              </w:tc>
              <w:tc>
                <w:tcPr>
                  <w:tcW w:w="1219" w:type="dxa"/>
                  <w:vMerge w:val="continue"/>
                  <w:vAlign w:val="center"/>
                </w:tcPr>
                <w:p>
                  <w:pPr>
                    <w:adjustRightInd w:val="0"/>
                    <w:snapToGrid w:val="0"/>
                    <w:spacing w:line="240" w:lineRule="auto"/>
                    <w:jc w:val="center"/>
                    <w:rPr>
                      <w:color w:val="auto"/>
                      <w:sz w:val="21"/>
                      <w:szCs w:val="21"/>
                    </w:rPr>
                  </w:pPr>
                </w:p>
              </w:tc>
              <w:tc>
                <w:tcPr>
                  <w:tcW w:w="2216" w:type="dxa"/>
                  <w:vMerge w:val="continue"/>
                  <w:vAlign w:val="center"/>
                </w:tcPr>
                <w:p>
                  <w:pPr>
                    <w:adjustRightInd w:val="0"/>
                    <w:snapToGrid w:val="0"/>
                    <w:spacing w:line="240" w:lineRule="auto"/>
                    <w:jc w:val="center"/>
                    <w:rPr>
                      <w:color w:val="auto"/>
                      <w:sz w:val="21"/>
                      <w:szCs w:val="21"/>
                    </w:rPr>
                  </w:pPr>
                </w:p>
              </w:tc>
              <w:tc>
                <w:tcPr>
                  <w:tcW w:w="1140" w:type="dxa"/>
                  <w:vMerge w:val="continue"/>
                  <w:vAlign w:val="center"/>
                </w:tcPr>
                <w:p>
                  <w:pPr>
                    <w:adjustRightInd w:val="0"/>
                    <w:snapToGrid w:val="0"/>
                    <w:spacing w:line="240" w:lineRule="auto"/>
                    <w:jc w:val="center"/>
                    <w:rPr>
                      <w:color w:val="auto"/>
                      <w:sz w:val="21"/>
                      <w:szCs w:val="21"/>
                    </w:rPr>
                  </w:pPr>
                </w:p>
              </w:tc>
              <w:tc>
                <w:tcPr>
                  <w:tcW w:w="796" w:type="dxa"/>
                  <w:vMerge w:val="continue"/>
                  <w:vAlign w:val="center"/>
                </w:tcPr>
                <w:p>
                  <w:pPr>
                    <w:adjustRightInd w:val="0"/>
                    <w:snapToGrid w:val="0"/>
                    <w:spacing w:line="240" w:lineRule="auto"/>
                    <w:jc w:val="center"/>
                    <w:rPr>
                      <w:color w:val="auto"/>
                      <w:sz w:val="21"/>
                      <w:szCs w:val="21"/>
                    </w:rPr>
                  </w:pPr>
                </w:p>
              </w:tc>
              <w:tc>
                <w:tcPr>
                  <w:tcW w:w="1078" w:type="dxa"/>
                  <w:vAlign w:val="center"/>
                </w:tcPr>
                <w:p>
                  <w:pPr>
                    <w:adjustRightInd w:val="0"/>
                    <w:snapToGrid w:val="0"/>
                    <w:spacing w:line="240" w:lineRule="auto"/>
                    <w:jc w:val="center"/>
                    <w:rPr>
                      <w:b/>
                      <w:bCs/>
                      <w:color w:val="auto"/>
                      <w:sz w:val="21"/>
                      <w:szCs w:val="21"/>
                    </w:rPr>
                  </w:pPr>
                  <w:r>
                    <w:rPr>
                      <w:rFonts w:hint="eastAsia"/>
                      <w:b/>
                      <w:bCs/>
                      <w:color w:val="auto"/>
                      <w:sz w:val="21"/>
                      <w:szCs w:val="21"/>
                    </w:rPr>
                    <w:t>治理工艺</w:t>
                  </w:r>
                </w:p>
              </w:tc>
              <w:tc>
                <w:tcPr>
                  <w:tcW w:w="707" w:type="dxa"/>
                  <w:vAlign w:val="center"/>
                </w:tcPr>
                <w:p>
                  <w:pPr>
                    <w:adjustRightInd w:val="0"/>
                    <w:snapToGrid w:val="0"/>
                    <w:spacing w:line="240" w:lineRule="auto"/>
                    <w:jc w:val="center"/>
                    <w:rPr>
                      <w:b/>
                      <w:bCs/>
                      <w:color w:val="auto"/>
                      <w:sz w:val="21"/>
                      <w:szCs w:val="21"/>
                    </w:rPr>
                  </w:pPr>
                  <w:r>
                    <w:rPr>
                      <w:rFonts w:hint="eastAsia"/>
                      <w:b/>
                      <w:bCs/>
                      <w:color w:val="auto"/>
                      <w:sz w:val="21"/>
                      <w:szCs w:val="21"/>
                    </w:rPr>
                    <w:t>去除效率</w:t>
                  </w:r>
                </w:p>
              </w:tc>
              <w:tc>
                <w:tcPr>
                  <w:tcW w:w="1861" w:type="dxa"/>
                  <w:vAlign w:val="center"/>
                </w:tcPr>
                <w:p>
                  <w:pPr>
                    <w:adjustRightInd w:val="0"/>
                    <w:snapToGrid w:val="0"/>
                    <w:spacing w:line="240" w:lineRule="auto"/>
                    <w:jc w:val="center"/>
                    <w:rPr>
                      <w:rFonts w:hint="eastAsia" w:eastAsia="宋体"/>
                      <w:b/>
                      <w:bCs/>
                      <w:color w:val="auto"/>
                      <w:sz w:val="21"/>
                      <w:szCs w:val="21"/>
                    </w:rPr>
                  </w:pPr>
                  <w:r>
                    <w:rPr>
                      <w:rFonts w:hint="eastAsia" w:eastAsia="宋体"/>
                      <w:b/>
                      <w:bCs/>
                      <w:color w:val="auto"/>
                      <w:sz w:val="21"/>
                      <w:szCs w:val="21"/>
                      <w:lang w:val="en-US" w:eastAsia="zh-CN"/>
                    </w:rPr>
                    <w:t>对照《排污许可证申请与核发技术规范总则》（HJ942-2018）</w:t>
                  </w:r>
                  <w:r>
                    <w:rPr>
                      <w:rFonts w:hint="eastAsia" w:eastAsia="宋体"/>
                      <w:b/>
                      <w:bCs/>
                      <w:color w:val="auto"/>
                      <w:sz w:val="21"/>
                      <w:szCs w:val="21"/>
                    </w:rPr>
                    <w:t>是否为可行技术</w:t>
                  </w:r>
                </w:p>
              </w:tc>
              <w:tc>
                <w:tcPr>
                  <w:tcW w:w="540" w:type="dxa"/>
                  <w:vAlign w:val="center"/>
                </w:tcPr>
                <w:p>
                  <w:pPr>
                    <w:adjustRightInd w:val="0"/>
                    <w:snapToGrid w:val="0"/>
                    <w:spacing w:line="240" w:lineRule="auto"/>
                    <w:jc w:val="center"/>
                    <w:rPr>
                      <w:rFonts w:hint="eastAsia" w:eastAsia="宋体"/>
                      <w:b/>
                      <w:bCs/>
                      <w:color w:val="auto"/>
                      <w:sz w:val="21"/>
                      <w:szCs w:val="21"/>
                    </w:rPr>
                  </w:pPr>
                  <w:r>
                    <w:rPr>
                      <w:rFonts w:hint="eastAsia" w:eastAsia="宋体"/>
                      <w:b/>
                      <w:bCs/>
                      <w:color w:val="auto"/>
                      <w:sz w:val="21"/>
                      <w:szCs w:val="21"/>
                    </w:rPr>
                    <w:t>有组织</w:t>
                  </w:r>
                </w:p>
              </w:tc>
              <w:tc>
                <w:tcPr>
                  <w:tcW w:w="523" w:type="dxa"/>
                  <w:vAlign w:val="center"/>
                </w:tcPr>
                <w:p>
                  <w:pPr>
                    <w:adjustRightInd w:val="0"/>
                    <w:snapToGrid w:val="0"/>
                    <w:spacing w:line="240" w:lineRule="auto"/>
                    <w:jc w:val="center"/>
                    <w:rPr>
                      <w:b/>
                      <w:bCs/>
                      <w:color w:val="auto"/>
                      <w:sz w:val="21"/>
                      <w:szCs w:val="21"/>
                    </w:rPr>
                  </w:pPr>
                  <w:r>
                    <w:rPr>
                      <w:rFonts w:hint="eastAsia"/>
                      <w:b/>
                      <w:bCs/>
                      <w:color w:val="auto"/>
                      <w:sz w:val="21"/>
                      <w:szCs w:val="21"/>
                    </w:rPr>
                    <w:t>无组织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891"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调胶、上胶废气</w:t>
                  </w:r>
                </w:p>
              </w:tc>
              <w:tc>
                <w:tcPr>
                  <w:tcW w:w="1295"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G1-1</w:t>
                  </w:r>
                </w:p>
              </w:tc>
              <w:tc>
                <w:tcPr>
                  <w:tcW w:w="1270" w:type="dxa"/>
                  <w:vAlign w:val="center"/>
                </w:tcPr>
                <w:p>
                  <w:pPr>
                    <w:adjustRightInd w:val="0"/>
                    <w:snapToGrid w:val="0"/>
                    <w:spacing w:line="240" w:lineRule="auto"/>
                    <w:jc w:val="center"/>
                    <w:rPr>
                      <w:rFonts w:hint="eastAsia" w:eastAsia="宋体"/>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0.0462</w:t>
                  </w:r>
                </w:p>
              </w:tc>
              <w:tc>
                <w:tcPr>
                  <w:tcW w:w="2216" w:type="dxa"/>
                  <w:vAlign w:val="center"/>
                </w:tcPr>
                <w:p>
                  <w:pPr>
                    <w:adjustRightInd w:val="0"/>
                    <w:snapToGrid w:val="0"/>
                    <w:spacing w:line="240" w:lineRule="auto"/>
                    <w:jc w:val="center"/>
                    <w:rPr>
                      <w:rFonts w:hint="eastAsia" w:eastAsia="宋体"/>
                      <w:color w:val="auto"/>
                      <w:sz w:val="21"/>
                      <w:szCs w:val="21"/>
                      <w:lang w:val="en-US" w:eastAsia="zh-CN"/>
                    </w:rPr>
                  </w:pPr>
                  <w:r>
                    <w:rPr>
                      <w:rFonts w:hint="eastAsia"/>
                      <w:color w:val="auto"/>
                      <w:sz w:val="21"/>
                      <w:szCs w:val="21"/>
                      <w:lang w:val="en-US" w:eastAsia="zh-CN"/>
                    </w:rPr>
                    <w:t>实测法，VOCs检测报告</w:t>
                  </w:r>
                </w:p>
              </w:tc>
              <w:tc>
                <w:tcPr>
                  <w:tcW w:w="1140"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集气罩</w:t>
                  </w:r>
                </w:p>
              </w:tc>
              <w:tc>
                <w:tcPr>
                  <w:tcW w:w="796"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90%</w:t>
                  </w:r>
                </w:p>
              </w:tc>
              <w:tc>
                <w:tcPr>
                  <w:tcW w:w="1078"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二级活性炭</w:t>
                  </w:r>
                </w:p>
              </w:tc>
              <w:tc>
                <w:tcPr>
                  <w:tcW w:w="707" w:type="dxa"/>
                  <w:vMerge w:val="restart"/>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90%</w:t>
                  </w:r>
                </w:p>
              </w:tc>
              <w:tc>
                <w:tcPr>
                  <w:tcW w:w="1861" w:type="dxa"/>
                  <w:vMerge w:val="restart"/>
                  <w:vAlign w:val="center"/>
                </w:tcPr>
                <w:p>
                  <w:pPr>
                    <w:adjustRightInd w:val="0"/>
                    <w:snapToGrid w:val="0"/>
                    <w:spacing w:line="240" w:lineRule="auto"/>
                    <w:jc w:val="center"/>
                    <w:rPr>
                      <w:rFonts w:hint="eastAsia" w:eastAsia="宋体"/>
                      <w:color w:val="auto"/>
                      <w:sz w:val="21"/>
                      <w:szCs w:val="21"/>
                      <w:lang w:val="en-US" w:eastAsia="zh-CN"/>
                    </w:rPr>
                  </w:pPr>
                  <w:r>
                    <w:rPr>
                      <w:rFonts w:hint="eastAsia"/>
                      <w:color w:val="auto"/>
                      <w:sz w:val="21"/>
                      <w:szCs w:val="21"/>
                      <w:lang w:val="en-US" w:eastAsia="zh-CN"/>
                    </w:rPr>
                    <w:t>是</w:t>
                  </w:r>
                </w:p>
              </w:tc>
              <w:tc>
                <w:tcPr>
                  <w:tcW w:w="540" w:type="dxa"/>
                  <w:vMerge w:val="restart"/>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c>
                <w:tcPr>
                  <w:tcW w:w="523" w:type="dxa"/>
                  <w:vMerge w:val="restart"/>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891"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295"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27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MDI</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0.0005</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产污系数法</w:t>
                  </w:r>
                </w:p>
              </w:tc>
              <w:tc>
                <w:tcPr>
                  <w:tcW w:w="1140"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796"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078"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707"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1861" w:type="dxa"/>
                  <w:vMerge w:val="continue"/>
                  <w:vAlign w:val="center"/>
                </w:tcPr>
                <w:p>
                  <w:pPr>
                    <w:adjustRightInd w:val="0"/>
                    <w:snapToGrid w:val="0"/>
                    <w:spacing w:line="240" w:lineRule="auto"/>
                    <w:jc w:val="center"/>
                    <w:rPr>
                      <w:rFonts w:hint="eastAsia"/>
                      <w:color w:val="auto"/>
                      <w:sz w:val="21"/>
                      <w:szCs w:val="21"/>
                      <w:lang w:val="en-US" w:eastAsia="zh-CN"/>
                    </w:rPr>
                  </w:pPr>
                </w:p>
              </w:tc>
              <w:tc>
                <w:tcPr>
                  <w:tcW w:w="540" w:type="dxa"/>
                  <w:vMerge w:val="continue"/>
                  <w:vAlign w:val="center"/>
                </w:tcPr>
                <w:p>
                  <w:pPr>
                    <w:adjustRightInd w:val="0"/>
                    <w:snapToGrid w:val="0"/>
                    <w:spacing w:line="240" w:lineRule="auto"/>
                    <w:jc w:val="center"/>
                    <w:rPr>
                      <w:color w:val="auto"/>
                    </w:rPr>
                  </w:pPr>
                </w:p>
              </w:tc>
              <w:tc>
                <w:tcPr>
                  <w:tcW w:w="523" w:type="dxa"/>
                  <w:vMerge w:val="continue"/>
                  <w:vAlign w:val="center"/>
                </w:tcPr>
                <w:p>
                  <w:pPr>
                    <w:adjustRightInd w:val="0"/>
                    <w:snapToGrid w:val="0"/>
                    <w:spacing w:line="240" w:lineRule="auto"/>
                    <w:jc w:val="center"/>
                    <w:rPr>
                      <w:color w:val="auto"/>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89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磨头废气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G1-2</w:t>
                  </w:r>
                </w:p>
              </w:tc>
              <w:tc>
                <w:tcPr>
                  <w:tcW w:w="127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颗粒物</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15</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类比现有项目</w:t>
                  </w:r>
                </w:p>
              </w:tc>
              <w:tc>
                <w:tcPr>
                  <w:tcW w:w="114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吸气管</w:t>
                  </w:r>
                </w:p>
              </w:tc>
              <w:tc>
                <w:tcPr>
                  <w:tcW w:w="796"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90%</w:t>
                  </w:r>
                </w:p>
              </w:tc>
              <w:tc>
                <w:tcPr>
                  <w:tcW w:w="1078"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布袋除尘器</w:t>
                  </w:r>
                </w:p>
              </w:tc>
              <w:tc>
                <w:tcPr>
                  <w:tcW w:w="707"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99%</w:t>
                  </w:r>
                </w:p>
              </w:tc>
              <w:tc>
                <w:tcPr>
                  <w:tcW w:w="186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hint="eastAsia" w:eastAsia="宋体"/>
                      <w:color w:val="auto"/>
                      <w:lang w:eastAsia="zh-CN"/>
                    </w:rPr>
                  </w:pPr>
                  <w:r>
                    <w:rPr>
                      <w:color w:val="auto"/>
                    </w:rPr>
                    <w:t>√</w:t>
                  </w:r>
                </w:p>
              </w:tc>
              <w:tc>
                <w:tcPr>
                  <w:tcW w:w="523" w:type="dxa"/>
                  <w:vAlign w:val="center"/>
                </w:tcPr>
                <w:p>
                  <w:pPr>
                    <w:adjustRightInd w:val="0"/>
                    <w:snapToGrid w:val="0"/>
                    <w:spacing w:line="240" w:lineRule="auto"/>
                    <w:jc w:val="center"/>
                    <w:rPr>
                      <w:color w:val="auto"/>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jc w:val="center"/>
              </w:trPr>
              <w:tc>
                <w:tcPr>
                  <w:tcW w:w="891"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植绒、烘干废气</w:t>
                  </w:r>
                </w:p>
              </w:tc>
              <w:tc>
                <w:tcPr>
                  <w:tcW w:w="1295"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G2-1、G2-2</w:t>
                  </w:r>
                </w:p>
              </w:tc>
              <w:tc>
                <w:tcPr>
                  <w:tcW w:w="1270" w:type="dxa"/>
                  <w:vAlign w:val="center"/>
                </w:tcPr>
                <w:p>
                  <w:pPr>
                    <w:adjustRightInd w:val="0"/>
                    <w:snapToGrid w:val="0"/>
                    <w:spacing w:line="240" w:lineRule="auto"/>
                    <w:jc w:val="center"/>
                    <w:rPr>
                      <w:rFonts w:hint="eastAsia" w:eastAsia="宋体"/>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0.078</w:t>
                  </w:r>
                </w:p>
              </w:tc>
              <w:tc>
                <w:tcPr>
                  <w:tcW w:w="2216" w:type="dxa"/>
                  <w:vAlign w:val="center"/>
                </w:tcPr>
                <w:p>
                  <w:pPr>
                    <w:adjustRightInd w:val="0"/>
                    <w:snapToGrid w:val="0"/>
                    <w:spacing w:line="240" w:lineRule="auto"/>
                    <w:jc w:val="center"/>
                    <w:rPr>
                      <w:rFonts w:hint="eastAsia"/>
                      <w:color w:val="auto"/>
                      <w:sz w:val="21"/>
                      <w:szCs w:val="21"/>
                    </w:rPr>
                  </w:pPr>
                  <w:r>
                    <w:rPr>
                      <w:rFonts w:hint="eastAsia"/>
                      <w:color w:val="auto"/>
                      <w:sz w:val="21"/>
                      <w:szCs w:val="21"/>
                      <w:lang w:val="en-US" w:eastAsia="zh-CN"/>
                    </w:rPr>
                    <w:t>实测法，VOCs检测报告</w:t>
                  </w:r>
                </w:p>
              </w:tc>
              <w:tc>
                <w:tcPr>
                  <w:tcW w:w="1140"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集气罩</w:t>
                  </w:r>
                </w:p>
              </w:tc>
              <w:tc>
                <w:tcPr>
                  <w:tcW w:w="796"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078"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二级活性炭</w:t>
                  </w:r>
                </w:p>
              </w:tc>
              <w:tc>
                <w:tcPr>
                  <w:tcW w:w="707"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861"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c>
                <w:tcPr>
                  <w:tcW w:w="523"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852" w:hRule="atLeast"/>
                <w:jc w:val="center"/>
              </w:trPr>
              <w:tc>
                <w:tcPr>
                  <w:tcW w:w="891"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注塑废气</w:t>
                  </w:r>
                </w:p>
              </w:tc>
              <w:tc>
                <w:tcPr>
                  <w:tcW w:w="1295" w:type="dxa"/>
                  <w:vAlign w:val="center"/>
                </w:tcPr>
                <w:p>
                  <w:pPr>
                    <w:adjustRightInd w:val="0"/>
                    <w:snapToGrid w:val="0"/>
                    <w:spacing w:line="240" w:lineRule="auto"/>
                    <w:jc w:val="center"/>
                    <w:rPr>
                      <w:rFonts w:hint="default" w:eastAsia="宋体"/>
                      <w:color w:val="auto"/>
                      <w:sz w:val="21"/>
                      <w:szCs w:val="21"/>
                      <w:lang w:val="en-US" w:eastAsia="zh-CN"/>
                    </w:rPr>
                  </w:pPr>
                  <w:r>
                    <w:rPr>
                      <w:rFonts w:hint="eastAsia"/>
                      <w:color w:val="auto"/>
                      <w:sz w:val="21"/>
                      <w:szCs w:val="21"/>
                      <w:lang w:val="en-US" w:eastAsia="zh-CN"/>
                    </w:rPr>
                    <w:t>G2-4</w:t>
                  </w:r>
                </w:p>
              </w:tc>
              <w:tc>
                <w:tcPr>
                  <w:tcW w:w="1270"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0.27</w:t>
                  </w:r>
                </w:p>
              </w:tc>
              <w:tc>
                <w:tcPr>
                  <w:tcW w:w="2216" w:type="dxa"/>
                  <w:vAlign w:val="center"/>
                </w:tcPr>
                <w:p>
                  <w:pPr>
                    <w:adjustRightInd w:val="0"/>
                    <w:snapToGrid w:val="0"/>
                    <w:spacing w:line="240" w:lineRule="auto"/>
                    <w:jc w:val="center"/>
                    <w:rPr>
                      <w:rFonts w:hint="eastAsia" w:eastAsia="宋体"/>
                      <w:color w:val="auto"/>
                      <w:sz w:val="21"/>
                      <w:szCs w:val="21"/>
                      <w:lang w:eastAsia="zh-CN"/>
                    </w:rPr>
                  </w:pPr>
                  <w:r>
                    <w:rPr>
                      <w:rFonts w:hint="eastAsia"/>
                      <w:color w:val="auto"/>
                      <w:sz w:val="21"/>
                      <w:szCs w:val="21"/>
                      <w:lang w:val="en-US" w:eastAsia="zh-CN"/>
                    </w:rPr>
                    <w:t>产污系数法，根据《排放源统计调查产排污核算方法和系数手册》塑料制品业系数手册（292）</w:t>
                  </w:r>
                </w:p>
              </w:tc>
              <w:tc>
                <w:tcPr>
                  <w:tcW w:w="1140"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集气罩</w:t>
                  </w:r>
                </w:p>
              </w:tc>
              <w:tc>
                <w:tcPr>
                  <w:tcW w:w="796"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078"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二级活性炭</w:t>
                  </w:r>
                </w:p>
              </w:tc>
              <w:tc>
                <w:tcPr>
                  <w:tcW w:w="707"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861"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c>
                <w:tcPr>
                  <w:tcW w:w="523"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852" w:hRule="atLeast"/>
                <w:jc w:val="center"/>
              </w:trPr>
              <w:tc>
                <w:tcPr>
                  <w:tcW w:w="891"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注塑投料、破碎废气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G2-3、G2-5</w:t>
                  </w:r>
                </w:p>
              </w:tc>
              <w:tc>
                <w:tcPr>
                  <w:tcW w:w="127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颗粒物</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0.001</w:t>
                  </w:r>
                </w:p>
              </w:tc>
              <w:tc>
                <w:tcPr>
                  <w:tcW w:w="2216"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产污系数法</w:t>
                  </w:r>
                </w:p>
              </w:tc>
              <w:tc>
                <w:tcPr>
                  <w:tcW w:w="114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无组织</w:t>
                  </w:r>
                </w:p>
              </w:tc>
              <w:tc>
                <w:tcPr>
                  <w:tcW w:w="79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w:t>
                  </w:r>
                </w:p>
              </w:tc>
              <w:tc>
                <w:tcPr>
                  <w:tcW w:w="1078"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707"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1861"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540" w:type="dxa"/>
                  <w:vAlign w:val="center"/>
                </w:tcPr>
                <w:p>
                  <w:pPr>
                    <w:adjustRightInd w:val="0"/>
                    <w:snapToGrid w:val="0"/>
                    <w:spacing w:line="240" w:lineRule="auto"/>
                    <w:jc w:val="center"/>
                    <w:rPr>
                      <w:color w:val="auto"/>
                    </w:rPr>
                  </w:pPr>
                  <w:r>
                    <w:rPr>
                      <w:rFonts w:hint="eastAsia"/>
                      <w:color w:val="auto"/>
                      <w:sz w:val="21"/>
                      <w:szCs w:val="21"/>
                      <w:lang w:val="en-US" w:eastAsia="zh-CN"/>
                    </w:rPr>
                    <w:t>/</w:t>
                  </w:r>
                </w:p>
              </w:tc>
              <w:tc>
                <w:tcPr>
                  <w:tcW w:w="523" w:type="dxa"/>
                  <w:vAlign w:val="center"/>
                </w:tcPr>
                <w:p>
                  <w:pPr>
                    <w:adjustRightInd w:val="0"/>
                    <w:snapToGrid w:val="0"/>
                    <w:spacing w:line="240" w:lineRule="auto"/>
                    <w:jc w:val="center"/>
                    <w:rPr>
                      <w:color w:val="auto"/>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444" w:hRule="atLeast"/>
                <w:jc w:val="center"/>
              </w:trPr>
              <w:tc>
                <w:tcPr>
                  <w:tcW w:w="89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胶合板刷废气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G2-6</w:t>
                  </w:r>
                </w:p>
              </w:tc>
              <w:tc>
                <w:tcPr>
                  <w:tcW w:w="1270"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0.0016</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实测法，VOCs检测报告</w:t>
                  </w:r>
                </w:p>
              </w:tc>
              <w:tc>
                <w:tcPr>
                  <w:tcW w:w="1140"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集气罩</w:t>
                  </w:r>
                </w:p>
              </w:tc>
              <w:tc>
                <w:tcPr>
                  <w:tcW w:w="796"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078"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二级活性炭</w:t>
                  </w:r>
                </w:p>
              </w:tc>
              <w:tc>
                <w:tcPr>
                  <w:tcW w:w="707"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861"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hint="eastAsia" w:eastAsia="宋体"/>
                      <w:color w:val="auto"/>
                      <w:lang w:val="en-US" w:eastAsia="zh-CN"/>
                    </w:rPr>
                  </w:pPr>
                  <w:r>
                    <w:rPr>
                      <w:color w:val="auto"/>
                    </w:rPr>
                    <w:t>√</w:t>
                  </w:r>
                </w:p>
              </w:tc>
              <w:tc>
                <w:tcPr>
                  <w:tcW w:w="523" w:type="dxa"/>
                  <w:vAlign w:val="center"/>
                </w:tcPr>
                <w:p>
                  <w:pPr>
                    <w:adjustRightInd w:val="0"/>
                    <w:snapToGrid w:val="0"/>
                    <w:spacing w:line="240" w:lineRule="auto"/>
                    <w:jc w:val="center"/>
                    <w:rPr>
                      <w:color w:val="auto"/>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254" w:hRule="atLeast"/>
                <w:jc w:val="center"/>
              </w:trPr>
              <w:tc>
                <w:tcPr>
                  <w:tcW w:w="89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灌胶废气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G3-1</w:t>
                  </w:r>
                </w:p>
              </w:tc>
              <w:tc>
                <w:tcPr>
                  <w:tcW w:w="127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0.04</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实测法，VOCs检测报告</w:t>
                  </w:r>
                </w:p>
              </w:tc>
              <w:tc>
                <w:tcPr>
                  <w:tcW w:w="1140"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集气罩</w:t>
                  </w:r>
                </w:p>
              </w:tc>
              <w:tc>
                <w:tcPr>
                  <w:tcW w:w="796"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078"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二级活性炭</w:t>
                  </w:r>
                </w:p>
              </w:tc>
              <w:tc>
                <w:tcPr>
                  <w:tcW w:w="707"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861"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c>
                <w:tcPr>
                  <w:tcW w:w="523"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jc w:val="center"/>
              </w:trPr>
              <w:tc>
                <w:tcPr>
                  <w:tcW w:w="89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浸漆废气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G3-2</w:t>
                  </w:r>
                </w:p>
              </w:tc>
              <w:tc>
                <w:tcPr>
                  <w:tcW w:w="1270"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0.6273</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实测法，VOCs检测报告</w:t>
                  </w:r>
                </w:p>
              </w:tc>
              <w:tc>
                <w:tcPr>
                  <w:tcW w:w="1140" w:type="dxa"/>
                  <w:vAlign w:val="center"/>
                </w:tcPr>
                <w:p>
                  <w:pPr>
                    <w:adjustRightInd w:val="0"/>
                    <w:snapToGrid w:val="0"/>
                    <w:spacing w:line="240" w:lineRule="auto"/>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kern w:val="2"/>
                      <w:sz w:val="21"/>
                      <w:szCs w:val="21"/>
                      <w:lang w:val="en-US" w:eastAsia="zh-CN" w:bidi="ar-SA"/>
                    </w:rPr>
                    <w:t>浸漆房换风</w:t>
                  </w:r>
                </w:p>
              </w:tc>
              <w:tc>
                <w:tcPr>
                  <w:tcW w:w="796"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95%</w:t>
                  </w:r>
                </w:p>
              </w:tc>
              <w:tc>
                <w:tcPr>
                  <w:tcW w:w="1078"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二级活性炭</w:t>
                  </w:r>
                </w:p>
              </w:tc>
              <w:tc>
                <w:tcPr>
                  <w:tcW w:w="707"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90%</w:t>
                  </w:r>
                </w:p>
              </w:tc>
              <w:tc>
                <w:tcPr>
                  <w:tcW w:w="1861" w:type="dxa"/>
                  <w:vAlign w:val="center"/>
                </w:tcPr>
                <w:p>
                  <w:pPr>
                    <w:adjustRightInd w:val="0"/>
                    <w:snapToGrid w:val="0"/>
                    <w:spacing w:line="240" w:lineRule="auto"/>
                    <w:jc w:val="center"/>
                    <w:rPr>
                      <w:rFonts w:hint="eastAsia" w:ascii="Times New Roman" w:hAnsi="Times New Roman" w:eastAsia="宋体" w:cs="Times New Roman"/>
                      <w:color w:val="auto"/>
                      <w:kern w:val="2"/>
                      <w:sz w:val="21"/>
                      <w:szCs w:val="21"/>
                      <w:lang w:val="en-US" w:eastAsia="zh-CN" w:bidi="ar-SA"/>
                    </w:rPr>
                  </w:pPr>
                  <w:r>
                    <w:rPr>
                      <w:rFonts w:hint="eastAsia"/>
                      <w:color w:val="auto"/>
                      <w:sz w:val="21"/>
                      <w:szCs w:val="21"/>
                      <w:lang w:val="en-US" w:eastAsia="zh-CN"/>
                    </w:rPr>
                    <w:t>是</w:t>
                  </w:r>
                </w:p>
              </w:tc>
              <w:tc>
                <w:tcPr>
                  <w:tcW w:w="540"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c>
                <w:tcPr>
                  <w:tcW w:w="523" w:type="dxa"/>
                  <w:vAlign w:val="center"/>
                </w:tcPr>
                <w:p>
                  <w:pPr>
                    <w:adjustRightInd w:val="0"/>
                    <w:snapToGrid w:val="0"/>
                    <w:spacing w:line="240" w:lineRule="auto"/>
                    <w:jc w:val="center"/>
                    <w:rPr>
                      <w:rFonts w:ascii="Times New Roman" w:hAnsi="Times New Roman" w:eastAsia="宋体" w:cs="Times New Roman"/>
                      <w:color w:val="auto"/>
                      <w:kern w:val="2"/>
                      <w:sz w:val="21"/>
                      <w:szCs w:val="21"/>
                      <w:lang w:val="en-US" w:eastAsia="zh-CN" w:bidi="ar-SA"/>
                    </w:rPr>
                  </w:pPr>
                  <w:r>
                    <w:rPr>
                      <w:color w:val="auto"/>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47" w:hRule="atLeast"/>
                <w:jc w:val="center"/>
              </w:trPr>
              <w:tc>
                <w:tcPr>
                  <w:tcW w:w="891"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危废仓库废气</w:t>
                  </w:r>
                </w:p>
              </w:tc>
              <w:tc>
                <w:tcPr>
                  <w:tcW w:w="1295"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G</w:t>
                  </w:r>
                </w:p>
              </w:tc>
              <w:tc>
                <w:tcPr>
                  <w:tcW w:w="1270"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非甲烷总烃</w:t>
                  </w:r>
                </w:p>
              </w:tc>
              <w:tc>
                <w:tcPr>
                  <w:tcW w:w="1219"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0.0108</w:t>
                  </w:r>
                </w:p>
              </w:tc>
              <w:tc>
                <w:tcPr>
                  <w:tcW w:w="2216" w:type="dxa"/>
                  <w:vAlign w:val="center"/>
                </w:tcPr>
                <w:p>
                  <w:pPr>
                    <w:adjustRightInd w:val="0"/>
                    <w:snapToGrid w:val="0"/>
                    <w:spacing w:line="240" w:lineRule="auto"/>
                    <w:jc w:val="center"/>
                    <w:rPr>
                      <w:rFonts w:hint="default"/>
                      <w:color w:val="auto"/>
                      <w:sz w:val="21"/>
                      <w:szCs w:val="21"/>
                      <w:lang w:val="en-US" w:eastAsia="zh-CN"/>
                    </w:rPr>
                  </w:pPr>
                  <w:r>
                    <w:rPr>
                      <w:rFonts w:hint="eastAsia"/>
                      <w:color w:val="auto"/>
                      <w:sz w:val="21"/>
                      <w:szCs w:val="21"/>
                      <w:lang w:val="en-US" w:eastAsia="zh-CN"/>
                    </w:rPr>
                    <w:t>产污系数法</w:t>
                  </w:r>
                </w:p>
              </w:tc>
              <w:tc>
                <w:tcPr>
                  <w:tcW w:w="1140" w:type="dxa"/>
                  <w:vAlign w:val="center"/>
                </w:tcPr>
                <w:p>
                  <w:pPr>
                    <w:adjustRightInd w:val="0"/>
                    <w:snapToGrid w:val="0"/>
                    <w:spacing w:line="240" w:lineRule="auto"/>
                    <w:jc w:val="center"/>
                    <w:rPr>
                      <w:rFonts w:hint="eastAsia" w:cs="Times New Roman"/>
                      <w:color w:val="auto"/>
                      <w:kern w:val="2"/>
                      <w:sz w:val="21"/>
                      <w:szCs w:val="21"/>
                      <w:lang w:val="en-US" w:eastAsia="zh-CN" w:bidi="ar-SA"/>
                    </w:rPr>
                  </w:pPr>
                  <w:r>
                    <w:rPr>
                      <w:rFonts w:hint="eastAsia"/>
                      <w:color w:val="auto"/>
                      <w:sz w:val="21"/>
                      <w:szCs w:val="21"/>
                      <w:lang w:val="en-US" w:eastAsia="zh-CN"/>
                    </w:rPr>
                    <w:t>无组织</w:t>
                  </w:r>
                </w:p>
              </w:tc>
              <w:tc>
                <w:tcPr>
                  <w:tcW w:w="796"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1078"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707"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1861" w:type="dxa"/>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w:t>
                  </w:r>
                </w:p>
              </w:tc>
              <w:tc>
                <w:tcPr>
                  <w:tcW w:w="540" w:type="dxa"/>
                  <w:vAlign w:val="center"/>
                </w:tcPr>
                <w:p>
                  <w:pPr>
                    <w:adjustRightInd w:val="0"/>
                    <w:snapToGrid w:val="0"/>
                    <w:spacing w:line="240" w:lineRule="auto"/>
                    <w:jc w:val="center"/>
                    <w:rPr>
                      <w:color w:val="auto"/>
                    </w:rPr>
                  </w:pPr>
                  <w:r>
                    <w:rPr>
                      <w:rFonts w:hint="eastAsia"/>
                      <w:color w:val="auto"/>
                      <w:sz w:val="21"/>
                      <w:szCs w:val="21"/>
                      <w:lang w:val="en-US" w:eastAsia="zh-CN"/>
                    </w:rPr>
                    <w:t>/</w:t>
                  </w:r>
                </w:p>
              </w:tc>
              <w:tc>
                <w:tcPr>
                  <w:tcW w:w="523" w:type="dxa"/>
                  <w:vAlign w:val="center"/>
                </w:tcPr>
                <w:p>
                  <w:pPr>
                    <w:adjustRightInd w:val="0"/>
                    <w:snapToGrid w:val="0"/>
                    <w:spacing w:line="240" w:lineRule="auto"/>
                    <w:jc w:val="center"/>
                    <w:rPr>
                      <w:color w:val="auto"/>
                    </w:rPr>
                  </w:pPr>
                  <w:r>
                    <w:rPr>
                      <w:color w:val="auto"/>
                    </w:rPr>
                    <w:t>√</w:t>
                  </w:r>
                </w:p>
              </w:tc>
            </w:tr>
            <w:bookmarkEnd w:id="6"/>
          </w:tbl>
          <w:p>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Times New Roman" w:hAnsi="Times New Roman" w:eastAsia="宋体" w:cs="Times New Roman"/>
                <w:b/>
                <w:bCs/>
                <w:color w:val="auto"/>
                <w:sz w:val="24"/>
                <w:szCs w:val="32"/>
                <w:lang w:val="en-US" w:eastAsia="zh-CN"/>
              </w:rPr>
            </w:pPr>
            <w:r>
              <w:rPr>
                <w:rFonts w:hint="eastAsia" w:ascii="Times New Roman" w:hAnsi="Times New Roman" w:eastAsia="宋体" w:cs="Times New Roman"/>
                <w:b/>
                <w:bCs/>
                <w:color w:val="auto"/>
                <w:sz w:val="24"/>
                <w:szCs w:val="32"/>
                <w:lang w:val="en-US" w:eastAsia="zh-CN"/>
              </w:rPr>
              <w:t>2、有组织废气产生和排放情况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宋体" w:cs="Times New Roman"/>
                <w:b w:val="0"/>
                <w:bCs w:val="0"/>
                <w:color w:val="auto"/>
                <w:sz w:val="24"/>
                <w:szCs w:val="32"/>
                <w:lang w:val="en-US" w:eastAsia="zh-CN"/>
              </w:rPr>
            </w:pPr>
            <w:r>
              <w:rPr>
                <w:rFonts w:hint="eastAsia" w:ascii="Times New Roman" w:hAnsi="Times New Roman" w:eastAsia="宋体" w:cs="Times New Roman"/>
                <w:b w:val="0"/>
                <w:bCs w:val="0"/>
                <w:color w:val="auto"/>
                <w:sz w:val="24"/>
                <w:szCs w:val="32"/>
                <w:lang w:eastAsia="zh-CN"/>
              </w:rPr>
              <w:t>（</w:t>
            </w:r>
            <w:r>
              <w:rPr>
                <w:rFonts w:hint="eastAsia" w:ascii="Times New Roman" w:hAnsi="Times New Roman" w:eastAsia="宋体" w:cs="Times New Roman"/>
                <w:b w:val="0"/>
                <w:bCs w:val="0"/>
                <w:color w:val="auto"/>
                <w:sz w:val="24"/>
                <w:szCs w:val="32"/>
                <w:lang w:val="en-US" w:eastAsia="zh-CN"/>
              </w:rPr>
              <w:t>1</w:t>
            </w:r>
            <w:r>
              <w:rPr>
                <w:rFonts w:hint="eastAsia" w:ascii="Times New Roman" w:hAnsi="Times New Roman" w:eastAsia="宋体" w:cs="Times New Roman"/>
                <w:b w:val="0"/>
                <w:bCs w:val="0"/>
                <w:color w:val="auto"/>
                <w:sz w:val="24"/>
                <w:szCs w:val="32"/>
                <w:lang w:eastAsia="zh-CN"/>
              </w:rPr>
              <w:t>）</w:t>
            </w:r>
            <w:r>
              <w:rPr>
                <w:rFonts w:hint="eastAsia" w:ascii="Times New Roman" w:hAnsi="Times New Roman" w:eastAsia="宋体" w:cs="Times New Roman"/>
                <w:b w:val="0"/>
                <w:bCs w:val="0"/>
                <w:color w:val="auto"/>
                <w:sz w:val="24"/>
                <w:szCs w:val="32"/>
                <w:lang w:val="en-US" w:eastAsia="zh-CN"/>
              </w:rPr>
              <w:t>正常排放情况</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4"/>
                <w:szCs w:val="32"/>
              </w:rPr>
            </w:pPr>
            <w:r>
              <w:rPr>
                <w:rFonts w:hint="default" w:ascii="Times New Roman" w:hAnsi="Times New Roman" w:eastAsia="宋体" w:cs="Times New Roman"/>
                <w:b/>
                <w:bCs/>
                <w:color w:val="auto"/>
                <w:sz w:val="24"/>
                <w:szCs w:val="32"/>
              </w:rPr>
              <w:t>4.</w:t>
            </w:r>
            <w:r>
              <w:rPr>
                <w:rFonts w:hint="default" w:ascii="Times New Roman" w:hAnsi="Times New Roman" w:eastAsia="宋体" w:cs="Times New Roman"/>
                <w:b/>
                <w:bCs/>
                <w:color w:val="auto"/>
                <w:sz w:val="24"/>
                <w:szCs w:val="32"/>
                <w:lang w:val="en-US" w:eastAsia="zh-CN"/>
              </w:rPr>
              <w:t>1-</w:t>
            </w:r>
            <w:r>
              <w:rPr>
                <w:rFonts w:hint="eastAsia" w:cs="Times New Roman"/>
                <w:b/>
                <w:bCs/>
                <w:color w:val="auto"/>
                <w:sz w:val="24"/>
                <w:szCs w:val="32"/>
                <w:lang w:val="en-US" w:eastAsia="zh-CN"/>
              </w:rPr>
              <w:t>4本项目建成后全厂</w:t>
            </w:r>
            <w:r>
              <w:rPr>
                <w:rFonts w:hint="default" w:ascii="Times New Roman" w:hAnsi="Times New Roman" w:eastAsia="宋体" w:cs="Times New Roman"/>
                <w:b/>
                <w:bCs/>
                <w:color w:val="auto"/>
                <w:sz w:val="24"/>
                <w:szCs w:val="32"/>
              </w:rPr>
              <w:t>有组织废气产生及排放情况一览表</w:t>
            </w:r>
          </w:p>
          <w:tbl>
            <w:tblPr>
              <w:tblStyle w:val="25"/>
              <w:tblW w:w="13527"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67"/>
              <w:gridCol w:w="790"/>
              <w:gridCol w:w="790"/>
              <w:gridCol w:w="929"/>
              <w:gridCol w:w="863"/>
              <w:gridCol w:w="941"/>
              <w:gridCol w:w="640"/>
              <w:gridCol w:w="691"/>
              <w:gridCol w:w="745"/>
              <w:gridCol w:w="932"/>
              <w:gridCol w:w="963"/>
              <w:gridCol w:w="938"/>
              <w:gridCol w:w="881"/>
              <w:gridCol w:w="884"/>
              <w:gridCol w:w="837"/>
              <w:gridCol w:w="636"/>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55" w:hRule="atLeast"/>
              </w:trPr>
              <w:tc>
                <w:tcPr>
                  <w:tcW w:w="1067"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产排污环节</w:t>
                  </w:r>
                </w:p>
              </w:tc>
              <w:tc>
                <w:tcPr>
                  <w:tcW w:w="790"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污染物名称</w:t>
                  </w:r>
                </w:p>
              </w:tc>
              <w:tc>
                <w:tcPr>
                  <w:tcW w:w="790"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排气量m</w:t>
                  </w:r>
                  <w:r>
                    <w:rPr>
                      <w:rFonts w:hint="default" w:ascii="Times New Roman" w:hAnsi="Times New Roman" w:cs="Times New Roman"/>
                      <w:color w:val="auto"/>
                      <w:kern w:val="0"/>
                      <w:szCs w:val="21"/>
                      <w:highlight w:val="none"/>
                      <w:vertAlign w:val="superscript"/>
                    </w:rPr>
                    <w:t>3</w:t>
                  </w:r>
                  <w:r>
                    <w:rPr>
                      <w:rFonts w:hint="default" w:ascii="Times New Roman" w:hAnsi="Times New Roman" w:cs="Times New Roman"/>
                      <w:color w:val="auto"/>
                      <w:kern w:val="0"/>
                      <w:szCs w:val="21"/>
                      <w:highlight w:val="none"/>
                    </w:rPr>
                    <w:t>/h</w:t>
                  </w:r>
                </w:p>
              </w:tc>
              <w:tc>
                <w:tcPr>
                  <w:tcW w:w="2733" w:type="dxa"/>
                  <w:gridSpan w:val="3"/>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产生情况</w:t>
                  </w:r>
                </w:p>
              </w:tc>
              <w:tc>
                <w:tcPr>
                  <w:tcW w:w="2076" w:type="dxa"/>
                  <w:gridSpan w:val="3"/>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治理设施</w:t>
                  </w:r>
                </w:p>
              </w:tc>
              <w:tc>
                <w:tcPr>
                  <w:tcW w:w="2833" w:type="dxa"/>
                  <w:gridSpan w:val="3"/>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排放情况</w:t>
                  </w:r>
                </w:p>
              </w:tc>
              <w:tc>
                <w:tcPr>
                  <w:tcW w:w="1765" w:type="dxa"/>
                  <w:gridSpan w:val="2"/>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排放标准</w:t>
                  </w:r>
                </w:p>
              </w:tc>
              <w:tc>
                <w:tcPr>
                  <w:tcW w:w="837"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排放口</w:t>
                  </w:r>
                </w:p>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编号</w:t>
                  </w:r>
                </w:p>
              </w:tc>
              <w:tc>
                <w:tcPr>
                  <w:tcW w:w="636" w:type="dxa"/>
                  <w:vMerge w:val="restart"/>
                  <w:tcBorders>
                    <w:tl2br w:val="nil"/>
                    <w:tr2bl w:val="nil"/>
                  </w:tcBorders>
                  <w:shd w:val="clear" w:color="auto" w:fill="auto"/>
                  <w:noWrap/>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运行</w:t>
                  </w:r>
                </w:p>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时间</w:t>
                  </w:r>
                </w:p>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h</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60" w:hRule="atLeast"/>
              </w:trPr>
              <w:tc>
                <w:tcPr>
                  <w:tcW w:w="1067" w:type="dxa"/>
                  <w:vMerge w:val="continue"/>
                  <w:tcBorders>
                    <w:tl2br w:val="nil"/>
                    <w:tr2bl w:val="nil"/>
                  </w:tcBorders>
                  <w:vAlign w:val="center"/>
                </w:tcPr>
                <w:p>
                  <w:pPr>
                    <w:widowControl/>
                    <w:jc w:val="center"/>
                    <w:rPr>
                      <w:rFonts w:hint="default" w:ascii="Times New Roman" w:hAnsi="Times New Roman" w:cs="Times New Roman"/>
                      <w:color w:val="auto"/>
                      <w:kern w:val="0"/>
                      <w:szCs w:val="21"/>
                      <w:highlight w:val="none"/>
                    </w:rPr>
                  </w:pPr>
                </w:p>
              </w:tc>
              <w:tc>
                <w:tcPr>
                  <w:tcW w:w="790" w:type="dxa"/>
                  <w:vMerge w:val="continue"/>
                  <w:tcBorders>
                    <w:tl2br w:val="nil"/>
                    <w:tr2bl w:val="nil"/>
                  </w:tcBorders>
                  <w:vAlign w:val="center"/>
                </w:tcPr>
                <w:p>
                  <w:pPr>
                    <w:widowControl/>
                    <w:jc w:val="center"/>
                    <w:rPr>
                      <w:rFonts w:hint="default" w:ascii="Times New Roman" w:hAnsi="Times New Roman" w:cs="Times New Roman"/>
                      <w:color w:val="auto"/>
                      <w:kern w:val="0"/>
                      <w:szCs w:val="21"/>
                      <w:highlight w:val="none"/>
                    </w:rPr>
                  </w:pPr>
                </w:p>
              </w:tc>
              <w:tc>
                <w:tcPr>
                  <w:tcW w:w="790" w:type="dxa"/>
                  <w:vMerge w:val="continue"/>
                  <w:tcBorders>
                    <w:tl2br w:val="nil"/>
                    <w:tr2bl w:val="nil"/>
                  </w:tcBorders>
                  <w:vAlign w:val="center"/>
                </w:tcPr>
                <w:p>
                  <w:pPr>
                    <w:widowControl/>
                    <w:jc w:val="center"/>
                    <w:rPr>
                      <w:rFonts w:hint="default" w:ascii="Times New Roman" w:hAnsi="Times New Roman" w:cs="Times New Roman"/>
                      <w:color w:val="auto"/>
                      <w:kern w:val="0"/>
                      <w:szCs w:val="21"/>
                      <w:highlight w:val="none"/>
                    </w:rPr>
                  </w:pPr>
                </w:p>
              </w:tc>
              <w:tc>
                <w:tcPr>
                  <w:tcW w:w="92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产生浓度mg/m</w:t>
                  </w:r>
                  <w:r>
                    <w:rPr>
                      <w:rFonts w:hint="default" w:ascii="Times New Roman" w:hAnsi="Times New Roman" w:cs="Times New Roman"/>
                      <w:color w:val="auto"/>
                      <w:kern w:val="0"/>
                      <w:szCs w:val="21"/>
                      <w:highlight w:val="none"/>
                      <w:vertAlign w:val="superscript"/>
                    </w:rPr>
                    <w:t>3</w:t>
                  </w:r>
                </w:p>
              </w:tc>
              <w:tc>
                <w:tcPr>
                  <w:tcW w:w="86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产生速率kg/h</w:t>
                  </w:r>
                </w:p>
              </w:tc>
              <w:tc>
                <w:tcPr>
                  <w:tcW w:w="941"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产生量（t/a）</w:t>
                  </w:r>
                </w:p>
              </w:tc>
              <w:tc>
                <w:tcPr>
                  <w:tcW w:w="64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污染防治设施</w:t>
                  </w:r>
                </w:p>
              </w:tc>
              <w:tc>
                <w:tcPr>
                  <w:tcW w:w="691"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去除率（%）</w:t>
                  </w:r>
                </w:p>
              </w:tc>
              <w:tc>
                <w:tcPr>
                  <w:tcW w:w="74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是否为可行技术</w:t>
                  </w:r>
                </w:p>
              </w:tc>
              <w:tc>
                <w:tcPr>
                  <w:tcW w:w="932"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排放浓度mg/m</w:t>
                  </w:r>
                  <w:r>
                    <w:rPr>
                      <w:rFonts w:hint="default" w:ascii="Times New Roman" w:hAnsi="Times New Roman" w:cs="Times New Roman"/>
                      <w:color w:val="auto"/>
                      <w:kern w:val="0"/>
                      <w:szCs w:val="21"/>
                      <w:highlight w:val="none"/>
                      <w:vertAlign w:val="superscript"/>
                    </w:rPr>
                    <w:t>3</w:t>
                  </w:r>
                </w:p>
              </w:tc>
              <w:tc>
                <w:tcPr>
                  <w:tcW w:w="96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排放速率kg/h</w:t>
                  </w:r>
                </w:p>
              </w:tc>
              <w:tc>
                <w:tcPr>
                  <w:tcW w:w="938"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排放量（t/a）</w:t>
                  </w:r>
                </w:p>
              </w:tc>
              <w:tc>
                <w:tcPr>
                  <w:tcW w:w="881"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浓度mg/m</w:t>
                  </w:r>
                  <w:r>
                    <w:rPr>
                      <w:rFonts w:hint="default" w:ascii="Times New Roman" w:hAnsi="Times New Roman" w:cs="Times New Roman"/>
                      <w:color w:val="auto"/>
                      <w:kern w:val="0"/>
                      <w:szCs w:val="21"/>
                      <w:highlight w:val="none"/>
                      <w:vertAlign w:val="superscript"/>
                    </w:rPr>
                    <w:t>3</w:t>
                  </w:r>
                </w:p>
              </w:tc>
              <w:tc>
                <w:tcPr>
                  <w:tcW w:w="884"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速率kg/h</w:t>
                  </w: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vMerge w:val="continue"/>
                  <w:tcBorders>
                    <w:tl2br w:val="nil"/>
                    <w:tr2bl w:val="nil"/>
                  </w:tcBorders>
                  <w:vAlign w:val="center"/>
                </w:tcPr>
                <w:p>
                  <w:pPr>
                    <w:widowControl/>
                    <w:jc w:val="center"/>
                    <w:rPr>
                      <w:rFonts w:hint="default" w:ascii="Times New Roman" w:hAnsi="Times New Roman" w:cs="Times New Roman"/>
                      <w:color w:val="auto"/>
                      <w:kern w:val="0"/>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067" w:type="dxa"/>
                  <w:tcBorders>
                    <w:tl2br w:val="nil"/>
                    <w:tr2bl w:val="nil"/>
                  </w:tcBorders>
                  <w:vAlign w:val="center"/>
                </w:tcPr>
                <w:p>
                  <w:pPr>
                    <w:widowControl/>
                    <w:jc w:val="center"/>
                    <w:rPr>
                      <w:rFonts w:hint="eastAsia"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磨头废气</w:t>
                  </w:r>
                </w:p>
              </w:tc>
              <w:tc>
                <w:tcPr>
                  <w:tcW w:w="790" w:type="dxa"/>
                  <w:tcBorders>
                    <w:tl2br w:val="nil"/>
                    <w:tr2bl w:val="nil"/>
                  </w:tcBorders>
                  <w:vAlign w:val="center"/>
                </w:tcPr>
                <w:p>
                  <w:pPr>
                    <w:widowControl/>
                    <w:jc w:val="center"/>
                    <w:rPr>
                      <w:rFonts w:hint="eastAsia"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颗粒物</w:t>
                  </w:r>
                </w:p>
              </w:tc>
              <w:tc>
                <w:tcPr>
                  <w:tcW w:w="790" w:type="dxa"/>
                  <w:tcBorders>
                    <w:tl2br w:val="nil"/>
                    <w:tr2bl w:val="nil"/>
                  </w:tcBorders>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6000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kern w:val="0"/>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937.5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kern w:val="0"/>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5.625 </w:t>
                  </w:r>
                </w:p>
              </w:tc>
              <w:tc>
                <w:tcPr>
                  <w:tcW w:w="941"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13.5</w:t>
                  </w:r>
                </w:p>
              </w:tc>
              <w:tc>
                <w:tcPr>
                  <w:tcW w:w="640"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布袋除尘器</w:t>
                  </w:r>
                </w:p>
              </w:tc>
              <w:tc>
                <w:tcPr>
                  <w:tcW w:w="691"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99</w:t>
                  </w:r>
                </w:p>
              </w:tc>
              <w:tc>
                <w:tcPr>
                  <w:tcW w:w="74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eastAsia="宋体" w:cs="Times New Roman"/>
                      <w:color w:val="auto"/>
                      <w:szCs w:val="21"/>
                      <w:highlight w:val="none"/>
                      <w:lang w:val="en-US" w:eastAsia="zh-CN"/>
                    </w:rPr>
                    <w:t>是</w:t>
                  </w:r>
                </w:p>
              </w:tc>
              <w:tc>
                <w:tcPr>
                  <w:tcW w:w="932"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3.1601 </w:t>
                  </w:r>
                </w:p>
              </w:tc>
              <w:tc>
                <w:tcPr>
                  <w:tcW w:w="9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0.0563 </w:t>
                  </w:r>
                </w:p>
              </w:tc>
              <w:tc>
                <w:tcPr>
                  <w:tcW w:w="938"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0.135</w:t>
                  </w:r>
                </w:p>
              </w:tc>
              <w:tc>
                <w:tcPr>
                  <w:tcW w:w="881"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20</w:t>
                  </w:r>
                </w:p>
              </w:tc>
              <w:tc>
                <w:tcPr>
                  <w:tcW w:w="884"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1</w:t>
                  </w:r>
                </w:p>
              </w:tc>
              <w:tc>
                <w:tcPr>
                  <w:tcW w:w="837" w:type="dxa"/>
                  <w:vMerge w:val="restart"/>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DA001</w:t>
                  </w:r>
                </w:p>
              </w:tc>
              <w:tc>
                <w:tcPr>
                  <w:tcW w:w="636" w:type="dxa"/>
                  <w:tcBorders>
                    <w:tl2br w:val="nil"/>
                    <w:tr2bl w:val="nil"/>
                  </w:tcBorders>
                  <w:vAlign w:val="center"/>
                </w:tcPr>
                <w:p>
                  <w:pPr>
                    <w:widowControl/>
                    <w:jc w:val="center"/>
                    <w:rPr>
                      <w:rFonts w:hint="default" w:ascii="Times New Roman" w:hAnsi="Times New Roman" w:cs="Times New Roman"/>
                      <w:color w:val="auto"/>
                      <w:kern w:val="0"/>
                      <w:szCs w:val="21"/>
                      <w:highlight w:val="none"/>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67" w:type="dxa"/>
                  <w:vMerge w:val="restart"/>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kern w:val="0"/>
                      <w:szCs w:val="21"/>
                      <w:highlight w:val="none"/>
                      <w:lang w:val="en-US" w:eastAsia="zh-CN"/>
                    </w:rPr>
                  </w:pPr>
                  <w:r>
                    <w:rPr>
                      <w:rFonts w:hint="eastAsia"/>
                      <w:color w:val="auto"/>
                      <w:sz w:val="21"/>
                      <w:szCs w:val="21"/>
                      <w:lang w:val="en-US" w:eastAsia="zh-CN"/>
                    </w:rPr>
                    <w:t>调胶、上胶废气</w:t>
                  </w:r>
                </w:p>
              </w:tc>
              <w:tc>
                <w:tcPr>
                  <w:tcW w:w="790" w:type="dxa"/>
                  <w:tcBorders>
                    <w:tl2br w:val="nil"/>
                    <w:tr2bl w:val="nil"/>
                  </w:tcBorders>
                  <w:vAlign w:val="center"/>
                </w:tcPr>
                <w:p>
                  <w:pPr>
                    <w:adjustRightInd w:val="0"/>
                    <w:snapToGrid w:val="0"/>
                    <w:spacing w:line="240" w:lineRule="auto"/>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790" w:type="dxa"/>
                  <w:vMerge w:val="restart"/>
                  <w:tcBorders>
                    <w:tl2br w:val="nil"/>
                    <w:tr2bl w:val="nil"/>
                  </w:tcBorders>
                  <w:vAlign w:val="center"/>
                </w:tcPr>
                <w:p>
                  <w:pPr>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4500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0.0926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0.0004 </w:t>
                  </w:r>
                </w:p>
              </w:tc>
              <w:tc>
                <w:tcPr>
                  <w:tcW w:w="941" w:type="dxa"/>
                  <w:tcBorders>
                    <w:tl2br w:val="nil"/>
                    <w:tr2bl w:val="nil"/>
                  </w:tcBorders>
                  <w:shd w:val="clear" w:color="auto" w:fill="auto"/>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0.00045</w:t>
                  </w:r>
                </w:p>
              </w:tc>
              <w:tc>
                <w:tcPr>
                  <w:tcW w:w="640"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二级活性炭</w:t>
                  </w:r>
                </w:p>
              </w:tc>
              <w:tc>
                <w:tcPr>
                  <w:tcW w:w="691"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90</w:t>
                  </w:r>
                </w:p>
              </w:tc>
              <w:tc>
                <w:tcPr>
                  <w:tcW w:w="745"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color w:val="auto"/>
                      <w:szCs w:val="21"/>
                      <w:highlight w:val="none"/>
                      <w:lang w:val="en-US" w:eastAsia="zh-CN"/>
                    </w:rPr>
                    <w:t>是</w:t>
                  </w:r>
                </w:p>
              </w:tc>
              <w:tc>
                <w:tcPr>
                  <w:tcW w:w="932"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11</w:t>
                  </w:r>
                </w:p>
              </w:tc>
              <w:tc>
                <w:tcPr>
                  <w:tcW w:w="9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0.0000</w:t>
                  </w:r>
                  <w:r>
                    <w:rPr>
                      <w:rFonts w:hint="eastAsia" w:cs="Times New Roman"/>
                      <w:i w:val="0"/>
                      <w:iCs w:val="0"/>
                      <w:color w:val="auto"/>
                      <w:kern w:val="0"/>
                      <w:sz w:val="21"/>
                      <w:szCs w:val="21"/>
                      <w:u w:val="none"/>
                      <w:lang w:val="en-US" w:eastAsia="zh-CN" w:bidi="ar"/>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938"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0.000</w:t>
                  </w:r>
                  <w:r>
                    <w:rPr>
                      <w:rFonts w:hint="eastAsia" w:cs="Times New Roman"/>
                      <w:i w:val="0"/>
                      <w:iCs w:val="0"/>
                      <w:color w:val="auto"/>
                      <w:kern w:val="0"/>
                      <w:sz w:val="21"/>
                      <w:szCs w:val="21"/>
                      <w:u w:val="none"/>
                      <w:lang w:val="en-US" w:eastAsia="zh-CN" w:bidi="ar"/>
                    </w:rPr>
                    <w:t>05</w:t>
                  </w:r>
                </w:p>
              </w:tc>
              <w:tc>
                <w:tcPr>
                  <w:tcW w:w="881" w:type="dxa"/>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884" w:type="dxa"/>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w:t>
                  </w: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p>
              </w:tc>
              <w:tc>
                <w:tcPr>
                  <w:tcW w:w="636" w:type="dxa"/>
                  <w:tcBorders>
                    <w:tl2br w:val="nil"/>
                    <w:tr2bl w:val="nil"/>
                  </w:tcBorders>
                  <w:vAlign w:val="center"/>
                </w:tcPr>
                <w:p>
                  <w:pPr>
                    <w:widowControl/>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67" w:type="dxa"/>
                  <w:vMerge w:val="continue"/>
                  <w:tcBorders>
                    <w:tl2br w:val="nil"/>
                    <w:tr2bl w:val="nil"/>
                  </w:tcBorders>
                  <w:vAlign w:val="center"/>
                </w:tcPr>
                <w:p>
                  <w:pPr>
                    <w:adjustRightInd w:val="0"/>
                    <w:snapToGrid w:val="0"/>
                    <w:spacing w:line="240" w:lineRule="auto"/>
                    <w:jc w:val="center"/>
                    <w:rPr>
                      <w:rFonts w:hint="eastAsia"/>
                      <w:color w:val="auto"/>
                      <w:sz w:val="21"/>
                      <w:szCs w:val="21"/>
                      <w:lang w:val="en-US" w:eastAsia="zh-CN"/>
                    </w:rPr>
                  </w:pPr>
                </w:p>
              </w:tc>
              <w:tc>
                <w:tcPr>
                  <w:tcW w:w="790" w:type="dxa"/>
                  <w:vMerge w:val="restart"/>
                  <w:tcBorders>
                    <w:tl2br w:val="nil"/>
                    <w:tr2bl w:val="nil"/>
                  </w:tcBorders>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非甲烷总烃</w:t>
                  </w:r>
                </w:p>
                <w:p>
                  <w:pPr>
                    <w:adjustRightInd w:val="0"/>
                    <w:snapToGrid w:val="0"/>
                    <w:spacing w:line="240" w:lineRule="auto"/>
                    <w:jc w:val="center"/>
                    <w:rPr>
                      <w:rFonts w:hint="eastAsia" w:cs="Times New Roman"/>
                      <w:color w:val="auto"/>
                      <w:kern w:val="0"/>
                      <w:szCs w:val="21"/>
                      <w:highlight w:val="none"/>
                      <w:lang w:val="en-US" w:eastAsia="zh-CN"/>
                    </w:rPr>
                  </w:pPr>
                </w:p>
              </w:tc>
              <w:tc>
                <w:tcPr>
                  <w:tcW w:w="790" w:type="dxa"/>
                  <w:vMerge w:val="continue"/>
                  <w:tcBorders>
                    <w:tl2br w:val="nil"/>
                    <w:tr2bl w:val="nil"/>
                  </w:tcBorders>
                  <w:vAlign w:val="center"/>
                </w:tcPr>
                <w:p>
                  <w:pPr>
                    <w:jc w:val="center"/>
                    <w:rPr>
                      <w:rFonts w:hint="eastAsia" w:cs="Times New Roman"/>
                      <w:color w:val="auto"/>
                      <w:szCs w:val="21"/>
                      <w:highlight w:val="none"/>
                      <w:lang w:val="en-US" w:eastAsia="zh-CN"/>
                    </w:rPr>
                  </w:pP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3.8519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0.0173 </w:t>
                  </w:r>
                </w:p>
              </w:tc>
              <w:tc>
                <w:tcPr>
                  <w:tcW w:w="941" w:type="dxa"/>
                  <w:tcBorders>
                    <w:tl2br w:val="nil"/>
                    <w:tr2bl w:val="nil"/>
                  </w:tcBorders>
                  <w:shd w:val="clear" w:color="auto" w:fill="auto"/>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0.0416</w:t>
                  </w:r>
                </w:p>
              </w:tc>
              <w:tc>
                <w:tcPr>
                  <w:tcW w:w="640"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0.3493 </w:t>
                  </w:r>
                </w:p>
              </w:tc>
              <w:tc>
                <w:tcPr>
                  <w:tcW w:w="963"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0.0062 </w:t>
                  </w:r>
                </w:p>
              </w:tc>
              <w:tc>
                <w:tcPr>
                  <w:tcW w:w="938"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0.0149 </w:t>
                  </w:r>
                </w:p>
              </w:tc>
              <w:tc>
                <w:tcPr>
                  <w:tcW w:w="881" w:type="dxa"/>
                  <w:vMerge w:val="restart"/>
                  <w:tcBorders>
                    <w:tl2br w:val="nil"/>
                    <w:tr2bl w:val="nil"/>
                  </w:tcBorders>
                  <w:shd w:val="clear" w:color="auto" w:fill="auto"/>
                  <w:vAlign w:val="center"/>
                </w:tcPr>
                <w:p>
                  <w:pPr>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60</w:t>
                  </w:r>
                </w:p>
              </w:tc>
              <w:tc>
                <w:tcPr>
                  <w:tcW w:w="884" w:type="dxa"/>
                  <w:vMerge w:val="restart"/>
                  <w:tcBorders>
                    <w:tl2br w:val="nil"/>
                    <w:tr2bl w:val="nil"/>
                  </w:tcBorders>
                  <w:shd w:val="clear" w:color="auto" w:fill="auto"/>
                  <w:vAlign w:val="center"/>
                </w:tcPr>
                <w:p>
                  <w:pPr>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w:t>
                  </w: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Cs w:val="21"/>
                      <w:highlight w:val="none"/>
                      <w:lang w:val="en-US" w:eastAsia="zh-CN"/>
                    </w:rPr>
                  </w:pPr>
                </w:p>
              </w:tc>
              <w:tc>
                <w:tcPr>
                  <w:tcW w:w="636" w:type="dxa"/>
                  <w:tcBorders>
                    <w:tl2br w:val="nil"/>
                    <w:tr2bl w:val="nil"/>
                  </w:tcBorders>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67" w:type="dxa"/>
                  <w:tcBorders>
                    <w:tl2br w:val="nil"/>
                    <w:tr2bl w:val="nil"/>
                  </w:tcBorders>
                  <w:vAlign w:val="center"/>
                </w:tcPr>
                <w:p>
                  <w:pPr>
                    <w:adjustRightInd w:val="0"/>
                    <w:snapToGrid w:val="0"/>
                    <w:spacing w:line="240" w:lineRule="auto"/>
                    <w:jc w:val="center"/>
                    <w:rPr>
                      <w:rFonts w:hint="default" w:ascii="Times New Roman" w:hAnsi="Times New Roman" w:eastAsia="宋体" w:cs="Times New Roman"/>
                      <w:color w:val="auto"/>
                      <w:kern w:val="0"/>
                      <w:szCs w:val="21"/>
                      <w:highlight w:val="none"/>
                      <w:lang w:val="en-US" w:eastAsia="zh-CN"/>
                    </w:rPr>
                  </w:pPr>
                  <w:r>
                    <w:rPr>
                      <w:rFonts w:hint="eastAsia"/>
                      <w:color w:val="auto"/>
                      <w:sz w:val="21"/>
                      <w:szCs w:val="21"/>
                      <w:lang w:val="en-US" w:eastAsia="zh-CN"/>
                    </w:rPr>
                    <w:t>植绒、烘干</w:t>
                  </w:r>
                </w:p>
              </w:tc>
              <w:tc>
                <w:tcPr>
                  <w:tcW w:w="790" w:type="dxa"/>
                  <w:vMerge w:val="continue"/>
                  <w:tcBorders>
                    <w:tl2br w:val="nil"/>
                    <w:tr2bl w:val="nil"/>
                  </w:tcBorders>
                  <w:vAlign w:val="center"/>
                </w:tcPr>
                <w:p>
                  <w:pPr>
                    <w:adjustRightInd w:val="0"/>
                    <w:snapToGrid w:val="0"/>
                    <w:spacing w:line="240" w:lineRule="auto"/>
                    <w:jc w:val="center"/>
                    <w:rPr>
                      <w:rFonts w:hint="eastAsia" w:ascii="Times New Roman" w:hAnsi="Times New Roman" w:eastAsia="宋体" w:cs="Times New Roman"/>
                      <w:color w:val="auto"/>
                      <w:kern w:val="0"/>
                      <w:szCs w:val="21"/>
                      <w:highlight w:val="none"/>
                      <w:lang w:val="en-US" w:eastAsia="zh-CN"/>
                    </w:rPr>
                  </w:pP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2000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14.6250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0.0293 </w:t>
                  </w:r>
                </w:p>
              </w:tc>
              <w:tc>
                <w:tcPr>
                  <w:tcW w:w="941" w:type="dxa"/>
                  <w:tcBorders>
                    <w:tl2br w:val="nil"/>
                    <w:tr2bl w:val="nil"/>
                  </w:tcBorders>
                  <w:shd w:val="clear" w:color="auto" w:fill="auto"/>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0.0702</w:t>
                  </w:r>
                </w:p>
              </w:tc>
              <w:tc>
                <w:tcPr>
                  <w:tcW w:w="640"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6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38"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8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884"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tcBorders>
                    <w:tl2br w:val="nil"/>
                    <w:tr2bl w:val="nil"/>
                  </w:tcBorders>
                  <w:vAlign w:val="center"/>
                </w:tcPr>
                <w:p>
                  <w:pPr>
                    <w:widowControl/>
                    <w:jc w:val="center"/>
                    <w:rPr>
                      <w:rFonts w:hint="default" w:ascii="Times New Roman" w:hAnsi="Times New Roman"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67" w:type="dxa"/>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r>
                    <w:rPr>
                      <w:rFonts w:hint="eastAsia"/>
                      <w:color w:val="auto"/>
                      <w:sz w:val="21"/>
                      <w:szCs w:val="21"/>
                      <w:lang w:val="en-US" w:eastAsia="zh-CN"/>
                    </w:rPr>
                    <w:t>胶合板刷废气</w:t>
                  </w:r>
                </w:p>
              </w:tc>
              <w:tc>
                <w:tcPr>
                  <w:tcW w:w="790" w:type="dxa"/>
                  <w:vMerge w:val="continue"/>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4500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0.1296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0.0006 </w:t>
                  </w:r>
                </w:p>
              </w:tc>
              <w:tc>
                <w:tcPr>
                  <w:tcW w:w="941" w:type="dxa"/>
                  <w:tcBorders>
                    <w:tl2br w:val="nil"/>
                    <w:tr2bl w:val="nil"/>
                  </w:tcBorders>
                  <w:shd w:val="clear" w:color="auto" w:fill="auto"/>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0.0014</w:t>
                  </w:r>
                </w:p>
              </w:tc>
              <w:tc>
                <w:tcPr>
                  <w:tcW w:w="640"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96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38"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8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884"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tcBorders>
                    <w:tl2br w:val="nil"/>
                    <w:tr2bl w:val="nil"/>
                  </w:tcBorders>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1067" w:type="dxa"/>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r>
                    <w:rPr>
                      <w:rFonts w:hint="eastAsia"/>
                      <w:color w:val="auto"/>
                      <w:sz w:val="21"/>
                      <w:szCs w:val="21"/>
                      <w:lang w:val="en-US" w:eastAsia="zh-CN"/>
                    </w:rPr>
                    <w:t>灌胶废气</w:t>
                  </w:r>
                </w:p>
              </w:tc>
              <w:tc>
                <w:tcPr>
                  <w:tcW w:w="790" w:type="dxa"/>
                  <w:vMerge w:val="continue"/>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800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18.75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0.015 </w:t>
                  </w:r>
                </w:p>
              </w:tc>
              <w:tc>
                <w:tcPr>
                  <w:tcW w:w="94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0.036</w:t>
                  </w:r>
                </w:p>
              </w:tc>
              <w:tc>
                <w:tcPr>
                  <w:tcW w:w="640"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p>
              </w:tc>
              <w:tc>
                <w:tcPr>
                  <w:tcW w:w="963"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938" w:type="dxa"/>
                  <w:vMerge w:val="continue"/>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p>
              </w:tc>
              <w:tc>
                <w:tcPr>
                  <w:tcW w:w="88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884"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tcBorders>
                    <w:tl2br w:val="nil"/>
                    <w:tr2bl w:val="nil"/>
                  </w:tcBorders>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508" w:hRule="atLeast"/>
              </w:trPr>
              <w:tc>
                <w:tcPr>
                  <w:tcW w:w="1067" w:type="dxa"/>
                  <w:tcBorders>
                    <w:tl2br w:val="nil"/>
                    <w:tr2bl w:val="nil"/>
                  </w:tcBorders>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注塑废气</w:t>
                  </w:r>
                </w:p>
              </w:tc>
              <w:tc>
                <w:tcPr>
                  <w:tcW w:w="790" w:type="dxa"/>
                  <w:vMerge w:val="restart"/>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r>
                    <w:rPr>
                      <w:rFonts w:hint="eastAsia"/>
                      <w:color w:val="auto"/>
                      <w:sz w:val="21"/>
                      <w:szCs w:val="21"/>
                      <w:lang w:val="en-US" w:eastAsia="zh-CN"/>
                    </w:rPr>
                    <w:t>非甲烷总烃</w:t>
                  </w: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14000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7.2321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0.1013 </w:t>
                  </w:r>
                </w:p>
              </w:tc>
              <w:tc>
                <w:tcPr>
                  <w:tcW w:w="941"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0.243</w:t>
                  </w:r>
                </w:p>
              </w:tc>
              <w:tc>
                <w:tcPr>
                  <w:tcW w:w="640"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二级活性炭</w:t>
                  </w:r>
                </w:p>
              </w:tc>
              <w:tc>
                <w:tcPr>
                  <w:tcW w:w="691"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90</w:t>
                  </w:r>
                </w:p>
              </w:tc>
              <w:tc>
                <w:tcPr>
                  <w:tcW w:w="745"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是</w:t>
                  </w:r>
                </w:p>
              </w:tc>
              <w:tc>
                <w:tcPr>
                  <w:tcW w:w="932"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1.5295 </w:t>
                  </w:r>
                </w:p>
              </w:tc>
              <w:tc>
                <w:tcPr>
                  <w:tcW w:w="963"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0.0337 </w:t>
                  </w:r>
                </w:p>
              </w:tc>
              <w:tc>
                <w:tcPr>
                  <w:tcW w:w="938"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0.0808 </w:t>
                  </w:r>
                </w:p>
              </w:tc>
              <w:tc>
                <w:tcPr>
                  <w:tcW w:w="881"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50</w:t>
                  </w:r>
                </w:p>
              </w:tc>
              <w:tc>
                <w:tcPr>
                  <w:tcW w:w="884"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837"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kern w:val="0"/>
                      <w:szCs w:val="21"/>
                      <w:highlight w:val="none"/>
                    </w:rPr>
                    <w:t>DA002</w:t>
                  </w:r>
                </w:p>
              </w:tc>
              <w:tc>
                <w:tcPr>
                  <w:tcW w:w="636" w:type="dxa"/>
                  <w:tcBorders>
                    <w:tl2br w:val="nil"/>
                    <w:tr2bl w:val="nil"/>
                  </w:tcBorders>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067" w:type="dxa"/>
                  <w:tcBorders>
                    <w:tl2br w:val="nil"/>
                    <w:tr2bl w:val="nil"/>
                  </w:tcBorders>
                  <w:vAlign w:val="center"/>
                </w:tcPr>
                <w:p>
                  <w:pPr>
                    <w:adjustRightInd w:val="0"/>
                    <w:snapToGrid w:val="0"/>
                    <w:spacing w:line="240" w:lineRule="auto"/>
                    <w:jc w:val="center"/>
                    <w:rPr>
                      <w:rFonts w:hint="eastAsia"/>
                      <w:color w:val="auto"/>
                      <w:sz w:val="21"/>
                      <w:szCs w:val="21"/>
                      <w:lang w:val="en-US" w:eastAsia="zh-CN"/>
                    </w:rPr>
                  </w:pPr>
                  <w:r>
                    <w:rPr>
                      <w:rFonts w:hint="eastAsia"/>
                      <w:color w:val="auto"/>
                      <w:sz w:val="21"/>
                      <w:szCs w:val="21"/>
                      <w:lang w:val="en-US" w:eastAsia="zh-CN"/>
                    </w:rPr>
                    <w:t>浸漆废气</w:t>
                  </w:r>
                </w:p>
              </w:tc>
              <w:tc>
                <w:tcPr>
                  <w:tcW w:w="790" w:type="dxa"/>
                  <w:vMerge w:val="continue"/>
                  <w:tcBorders>
                    <w:tl2br w:val="nil"/>
                    <w:tr2bl w:val="nil"/>
                  </w:tcBorders>
                  <w:vAlign w:val="center"/>
                </w:tcPr>
                <w:p>
                  <w:pPr>
                    <w:adjustRightInd w:val="0"/>
                    <w:snapToGrid w:val="0"/>
                    <w:spacing w:line="240" w:lineRule="auto"/>
                    <w:jc w:val="center"/>
                    <w:rPr>
                      <w:rFonts w:hint="eastAsia" w:cs="Times New Roman"/>
                      <w:color w:val="auto"/>
                      <w:kern w:val="0"/>
                      <w:szCs w:val="21"/>
                      <w:highlight w:val="none"/>
                      <w:lang w:val="en-US" w:eastAsia="zh-CN"/>
                    </w:rPr>
                  </w:pP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8000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eastAsia"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29.4063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0.2353 </w:t>
                  </w:r>
                </w:p>
              </w:tc>
              <w:tc>
                <w:tcPr>
                  <w:tcW w:w="941"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0.5646</w:t>
                  </w:r>
                </w:p>
              </w:tc>
              <w:tc>
                <w:tcPr>
                  <w:tcW w:w="640"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963"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8"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88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884" w:type="dxa"/>
                  <w:vMerge w:val="continue"/>
                  <w:tcBorders>
                    <w:tl2br w:val="nil"/>
                    <w:tr2bl w:val="nil"/>
                  </w:tcBorders>
                  <w:shd w:val="clear" w:color="auto" w:fill="auto"/>
                  <w:vAlign w:val="center"/>
                </w:tcPr>
                <w:p>
                  <w:pPr>
                    <w:jc w:val="center"/>
                    <w:rPr>
                      <w:rFonts w:hint="eastAsia" w:ascii="Times New Roman" w:hAnsi="Times New Roman" w:eastAsia="宋体" w:cs="Times New Roman"/>
                      <w:color w:val="auto"/>
                      <w:szCs w:val="21"/>
                      <w:highlight w:val="none"/>
                      <w:lang w:val="en-US" w:eastAsia="zh-CN"/>
                    </w:rPr>
                  </w:pP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tcBorders>
                    <w:tl2br w:val="nil"/>
                    <w:tr2bl w:val="nil"/>
                  </w:tcBorders>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1857" w:type="dxa"/>
                  <w:gridSpan w:val="2"/>
                  <w:tcBorders>
                    <w:tl2br w:val="nil"/>
                    <w:tr2bl w:val="nil"/>
                  </w:tcBorders>
                  <w:vAlign w:val="center"/>
                </w:tcPr>
                <w:p>
                  <w:pPr>
                    <w:adjustRightInd w:val="0"/>
                    <w:snapToGrid w:val="0"/>
                    <w:spacing w:line="240" w:lineRule="auto"/>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TVOC</w:t>
                  </w:r>
                </w:p>
              </w:tc>
              <w:tc>
                <w:tcPr>
                  <w:tcW w:w="790" w:type="dxa"/>
                  <w:tcBorders>
                    <w:tl2br w:val="nil"/>
                    <w:tr2bl w:val="nil"/>
                  </w:tcBorders>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22000</w:t>
                  </w:r>
                </w:p>
              </w:tc>
              <w:tc>
                <w:tcPr>
                  <w:tcW w:w="929"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15.2955 </w:t>
                  </w:r>
                </w:p>
              </w:tc>
              <w:tc>
                <w:tcPr>
                  <w:tcW w:w="8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0.3365</w:t>
                  </w:r>
                </w:p>
              </w:tc>
              <w:tc>
                <w:tcPr>
                  <w:tcW w:w="941"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 xml:space="preserve">0.8076 </w:t>
                  </w:r>
                </w:p>
              </w:tc>
              <w:tc>
                <w:tcPr>
                  <w:tcW w:w="640"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691"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745" w:type="dxa"/>
                  <w:vMerge w:val="continue"/>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p>
              </w:tc>
              <w:tc>
                <w:tcPr>
                  <w:tcW w:w="93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1.5295 </w:t>
                  </w:r>
                </w:p>
              </w:tc>
              <w:tc>
                <w:tcPr>
                  <w:tcW w:w="963"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0.0337 </w:t>
                  </w:r>
                </w:p>
              </w:tc>
              <w:tc>
                <w:tcPr>
                  <w:tcW w:w="938"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0.0808 </w:t>
                  </w:r>
                </w:p>
              </w:tc>
              <w:tc>
                <w:tcPr>
                  <w:tcW w:w="881" w:type="dxa"/>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80</w:t>
                  </w:r>
                </w:p>
              </w:tc>
              <w:tc>
                <w:tcPr>
                  <w:tcW w:w="884" w:type="dxa"/>
                  <w:tcBorders>
                    <w:tl2br w:val="nil"/>
                    <w:tr2bl w:val="nil"/>
                  </w:tcBorders>
                  <w:shd w:val="clear" w:color="auto" w:fill="auto"/>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3.2</w:t>
                  </w:r>
                </w:p>
              </w:tc>
              <w:tc>
                <w:tcPr>
                  <w:tcW w:w="837"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Cs w:val="21"/>
                      <w:highlight w:val="none"/>
                    </w:rPr>
                  </w:pPr>
                </w:p>
              </w:tc>
              <w:tc>
                <w:tcPr>
                  <w:tcW w:w="636" w:type="dxa"/>
                  <w:tcBorders>
                    <w:tl2br w:val="nil"/>
                    <w:tr2bl w:val="nil"/>
                  </w:tcBorders>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2400</w:t>
                  </w:r>
                </w:p>
              </w:tc>
            </w:tr>
          </w:tbl>
          <w:p>
            <w:pPr>
              <w:pStyle w:val="9"/>
              <w:spacing w:line="360" w:lineRule="auto"/>
              <w:ind w:firstLine="422" w:firstLineChars="200"/>
              <w:rPr>
                <w:rFonts w:hint="default" w:ascii="Times New Roman" w:hAnsi="Times New Roman" w:cs="Times New Roman"/>
                <w:b/>
                <w:snapToGrid w:val="0"/>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14" w:type="dxa"/>
            <w:vAlign w:val="center"/>
          </w:tcPr>
          <w:p>
            <w:pPr>
              <w:adjustRightInd w:val="0"/>
              <w:snapToGrid w:val="0"/>
              <w:rPr>
                <w:rFonts w:hint="default" w:ascii="Times New Roman" w:hAnsi="Times New Roman" w:cs="Times New Roman"/>
                <w:bCs/>
                <w:color w:val="auto"/>
                <w:kern w:val="0"/>
                <w:sz w:val="21"/>
                <w:szCs w:val="21"/>
                <w:highlight w:val="none"/>
              </w:rPr>
            </w:pPr>
          </w:p>
        </w:tc>
        <w:tc>
          <w:tcPr>
            <w:tcW w:w="13760" w:type="dxa"/>
            <w:vAlign w:val="center"/>
          </w:tcPr>
          <w:p>
            <w:pPr>
              <w:pStyle w:val="9"/>
              <w:spacing w:line="360" w:lineRule="auto"/>
              <w:ind w:firstLine="422" w:firstLineChars="200"/>
              <w:rPr>
                <w:rFonts w:hint="default" w:ascii="Times New Roman" w:hAnsi="Times New Roman" w:cs="Times New Roman"/>
                <w:b/>
                <w:snapToGrid w:val="0"/>
                <w:color w:val="auto"/>
                <w:kern w:val="0"/>
                <w:sz w:val="21"/>
                <w:szCs w:val="21"/>
                <w:highlight w:val="none"/>
              </w:rPr>
            </w:pPr>
          </w:p>
        </w:tc>
      </w:tr>
    </w:tbl>
    <w:p>
      <w:pPr>
        <w:pStyle w:val="22"/>
        <w:jc w:val="center"/>
        <w:outlineLvl w:val="0"/>
        <w:rPr>
          <w:rFonts w:hint="default" w:ascii="Times New Roman" w:hAnsi="Times New Roman" w:cs="Times New Roman"/>
          <w:b/>
          <w:snapToGrid w:val="0"/>
          <w:color w:val="auto"/>
          <w:sz w:val="30"/>
          <w:szCs w:val="30"/>
          <w:highlight w:val="none"/>
        </w:rPr>
        <w:sectPr>
          <w:pgSz w:w="16838" w:h="11906" w:orient="landscape"/>
          <w:pgMar w:top="1134" w:right="1440" w:bottom="1134"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6"/>
        <w:gridCol w:w="81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66" w:type="dxa"/>
            <w:vAlign w:val="center"/>
          </w:tcPr>
          <w:p>
            <w:pPr>
              <w:pStyle w:val="22"/>
              <w:jc w:val="center"/>
              <w:outlineLvl w:val="0"/>
              <w:rPr>
                <w:rFonts w:hint="default" w:ascii="Times New Roman" w:hAnsi="Times New Roman" w:cs="Times New Roman"/>
                <w:b/>
                <w:snapToGrid w:val="0"/>
                <w:color w:val="auto"/>
                <w:sz w:val="30"/>
                <w:szCs w:val="30"/>
                <w:highlight w:val="none"/>
              </w:rPr>
            </w:pPr>
            <w:r>
              <w:rPr>
                <w:rFonts w:hint="default" w:ascii="Times New Roman" w:hAnsi="Times New Roman" w:cs="Times New Roman"/>
                <w:bCs/>
                <w:color w:val="auto"/>
                <w:sz w:val="21"/>
                <w:szCs w:val="21"/>
                <w:highlight w:val="none"/>
              </w:rPr>
              <w:t>运营期环境影响和保护措施</w:t>
            </w:r>
          </w:p>
        </w:tc>
        <w:tc>
          <w:tcPr>
            <w:tcW w:w="8154" w:type="dxa"/>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4"/>
                <w:szCs w:val="32"/>
                <w:lang w:val="en-US" w:eastAsia="zh-CN"/>
              </w:rPr>
            </w:pPr>
            <w:r>
              <w:rPr>
                <w:rFonts w:hint="default" w:ascii="Times New Roman" w:hAnsi="Times New Roman" w:eastAsia="宋体" w:cs="Times New Roman"/>
                <w:b/>
                <w:bCs/>
                <w:color w:val="auto"/>
                <w:sz w:val="24"/>
                <w:szCs w:val="32"/>
              </w:rPr>
              <w:t>表4</w:t>
            </w:r>
            <w:r>
              <w:rPr>
                <w:rFonts w:hint="eastAsia" w:cs="Times New Roman"/>
                <w:b/>
                <w:bCs/>
                <w:color w:val="auto"/>
                <w:sz w:val="24"/>
                <w:szCs w:val="32"/>
                <w:lang w:val="en-US" w:eastAsia="zh-CN"/>
              </w:rPr>
              <w:t>.1</w:t>
            </w:r>
            <w:r>
              <w:rPr>
                <w:rFonts w:hint="default" w:ascii="Times New Roman" w:hAnsi="Times New Roman" w:eastAsia="宋体" w:cs="Times New Roman"/>
                <w:b/>
                <w:bCs/>
                <w:color w:val="auto"/>
                <w:sz w:val="24"/>
                <w:szCs w:val="32"/>
              </w:rPr>
              <w:t>-</w:t>
            </w:r>
            <w:r>
              <w:rPr>
                <w:rFonts w:hint="eastAsia" w:cs="Times New Roman"/>
                <w:b/>
                <w:bCs/>
                <w:color w:val="auto"/>
                <w:sz w:val="24"/>
                <w:szCs w:val="32"/>
                <w:lang w:val="en-US" w:eastAsia="zh-CN"/>
              </w:rPr>
              <w:t>5 全厂</w:t>
            </w:r>
            <w:r>
              <w:rPr>
                <w:rFonts w:hint="default" w:ascii="Times New Roman" w:hAnsi="Times New Roman" w:eastAsia="宋体" w:cs="Times New Roman"/>
                <w:b/>
                <w:bCs/>
                <w:color w:val="auto"/>
                <w:sz w:val="24"/>
                <w:szCs w:val="32"/>
              </w:rPr>
              <w:t>废气排放口基本情况表</w:t>
            </w:r>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49"/>
              <w:gridCol w:w="1153"/>
              <w:gridCol w:w="1153"/>
              <w:gridCol w:w="1047"/>
              <w:gridCol w:w="1255"/>
              <w:gridCol w:w="1023"/>
              <w:gridCol w:w="115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49" w:type="dxa"/>
                  <w:vMerge w:val="restart"/>
                  <w:noWrap w:val="0"/>
                  <w:vAlign w:val="center"/>
                </w:tcPr>
                <w:p>
                  <w:pPr>
                    <w:adjustRightInd w:val="0"/>
                    <w:snapToGrid w:val="0"/>
                    <w:ind w:left="-105" w:leftChars="-50" w:right="-105" w:rightChars="-50"/>
                    <w:jc w:val="center"/>
                    <w:rPr>
                      <w:color w:val="auto"/>
                      <w:szCs w:val="21"/>
                    </w:rPr>
                  </w:pPr>
                  <w:r>
                    <w:rPr>
                      <w:color w:val="auto"/>
                      <w:szCs w:val="21"/>
                    </w:rPr>
                    <w:t>排气筒</w:t>
                  </w:r>
                </w:p>
                <w:p>
                  <w:pPr>
                    <w:adjustRightInd w:val="0"/>
                    <w:snapToGrid w:val="0"/>
                    <w:ind w:left="-105" w:leftChars="-50" w:right="-105" w:rightChars="-50"/>
                    <w:jc w:val="center"/>
                    <w:rPr>
                      <w:color w:val="auto"/>
                      <w:szCs w:val="21"/>
                    </w:rPr>
                  </w:pPr>
                  <w:r>
                    <w:rPr>
                      <w:color w:val="auto"/>
                      <w:szCs w:val="21"/>
                    </w:rPr>
                    <w:t>编号</w:t>
                  </w:r>
                </w:p>
              </w:tc>
              <w:tc>
                <w:tcPr>
                  <w:tcW w:w="3353" w:type="dxa"/>
                  <w:gridSpan w:val="3"/>
                  <w:noWrap w:val="0"/>
                  <w:vAlign w:val="center"/>
                </w:tcPr>
                <w:p>
                  <w:pPr>
                    <w:adjustRightInd w:val="0"/>
                    <w:snapToGrid w:val="0"/>
                    <w:ind w:left="-105" w:leftChars="-50" w:right="-105" w:rightChars="-50"/>
                    <w:jc w:val="center"/>
                    <w:rPr>
                      <w:color w:val="auto"/>
                      <w:szCs w:val="21"/>
                    </w:rPr>
                  </w:pPr>
                  <w:r>
                    <w:rPr>
                      <w:color w:val="auto"/>
                      <w:szCs w:val="21"/>
                    </w:rPr>
                    <w:t>排气筒基本情况</w:t>
                  </w:r>
                </w:p>
              </w:tc>
              <w:tc>
                <w:tcPr>
                  <w:tcW w:w="1255" w:type="dxa"/>
                  <w:vMerge w:val="restart"/>
                  <w:noWrap w:val="0"/>
                  <w:vAlign w:val="center"/>
                </w:tcPr>
                <w:p>
                  <w:pPr>
                    <w:adjustRightInd w:val="0"/>
                    <w:snapToGrid w:val="0"/>
                    <w:ind w:left="-105" w:leftChars="-50" w:right="-105" w:rightChars="-50"/>
                    <w:jc w:val="center"/>
                    <w:rPr>
                      <w:color w:val="auto"/>
                      <w:szCs w:val="21"/>
                    </w:rPr>
                  </w:pPr>
                  <w:r>
                    <w:rPr>
                      <w:color w:val="auto"/>
                      <w:szCs w:val="21"/>
                    </w:rPr>
                    <w:t>污染防治设施名称及工艺</w:t>
                  </w:r>
                </w:p>
              </w:tc>
              <w:tc>
                <w:tcPr>
                  <w:tcW w:w="1023" w:type="dxa"/>
                  <w:vMerge w:val="restart"/>
                  <w:noWrap w:val="0"/>
                  <w:vAlign w:val="center"/>
                </w:tcPr>
                <w:p>
                  <w:pPr>
                    <w:adjustRightInd w:val="0"/>
                    <w:snapToGrid w:val="0"/>
                    <w:ind w:left="-105" w:leftChars="-50" w:right="-105" w:rightChars="-50"/>
                    <w:jc w:val="center"/>
                    <w:rPr>
                      <w:color w:val="auto"/>
                      <w:szCs w:val="21"/>
                    </w:rPr>
                  </w:pPr>
                  <w:r>
                    <w:rPr>
                      <w:color w:val="auto"/>
                      <w:szCs w:val="21"/>
                    </w:rPr>
                    <w:t>是否为可行性技术</w:t>
                  </w:r>
                </w:p>
              </w:tc>
              <w:tc>
                <w:tcPr>
                  <w:tcW w:w="1158" w:type="dxa"/>
                  <w:vMerge w:val="restart"/>
                  <w:noWrap w:val="0"/>
                  <w:vAlign w:val="center"/>
                </w:tcPr>
                <w:p>
                  <w:pPr>
                    <w:adjustRightInd w:val="0"/>
                    <w:snapToGrid w:val="0"/>
                    <w:ind w:left="-105" w:leftChars="-50" w:right="-105" w:rightChars="-50"/>
                    <w:jc w:val="center"/>
                    <w:rPr>
                      <w:color w:val="auto"/>
                      <w:szCs w:val="21"/>
                    </w:rPr>
                  </w:pPr>
                  <w:r>
                    <w:rPr>
                      <w:color w:val="auto"/>
                      <w:szCs w:val="21"/>
                    </w:rPr>
                    <w:t>排放口</w:t>
                  </w:r>
                </w:p>
                <w:p>
                  <w:pPr>
                    <w:adjustRightInd w:val="0"/>
                    <w:snapToGrid w:val="0"/>
                    <w:ind w:left="-105" w:leftChars="-50" w:right="-105" w:rightChars="-50"/>
                    <w:jc w:val="center"/>
                    <w:rPr>
                      <w:color w:val="auto"/>
                      <w:szCs w:val="21"/>
                    </w:rPr>
                  </w:pPr>
                  <w:r>
                    <w:rPr>
                      <w:color w:val="auto"/>
                      <w:szCs w:val="21"/>
                    </w:rPr>
                    <w:t>类型</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49" w:type="dxa"/>
                  <w:vMerge w:val="continue"/>
                  <w:noWrap w:val="0"/>
                  <w:vAlign w:val="center"/>
                </w:tcPr>
                <w:p>
                  <w:pPr>
                    <w:adjustRightInd w:val="0"/>
                    <w:snapToGrid w:val="0"/>
                    <w:ind w:left="-105" w:leftChars="-50" w:right="-105" w:rightChars="-50"/>
                    <w:jc w:val="center"/>
                    <w:rPr>
                      <w:color w:val="auto"/>
                      <w:szCs w:val="21"/>
                    </w:rPr>
                  </w:pPr>
                </w:p>
              </w:tc>
              <w:tc>
                <w:tcPr>
                  <w:tcW w:w="1153" w:type="dxa"/>
                  <w:noWrap w:val="0"/>
                  <w:vAlign w:val="center"/>
                </w:tcPr>
                <w:p>
                  <w:pPr>
                    <w:adjustRightInd w:val="0"/>
                    <w:snapToGrid w:val="0"/>
                    <w:ind w:left="-105" w:leftChars="-50" w:right="-105" w:rightChars="-50"/>
                    <w:jc w:val="center"/>
                    <w:rPr>
                      <w:color w:val="auto"/>
                      <w:szCs w:val="21"/>
                    </w:rPr>
                  </w:pPr>
                  <w:r>
                    <w:rPr>
                      <w:color w:val="auto"/>
                      <w:szCs w:val="21"/>
                    </w:rPr>
                    <w:t>高度m</w:t>
                  </w:r>
                </w:p>
              </w:tc>
              <w:tc>
                <w:tcPr>
                  <w:tcW w:w="1153" w:type="dxa"/>
                  <w:noWrap w:val="0"/>
                  <w:vAlign w:val="center"/>
                </w:tcPr>
                <w:p>
                  <w:pPr>
                    <w:adjustRightInd w:val="0"/>
                    <w:snapToGrid w:val="0"/>
                    <w:ind w:left="-105" w:leftChars="-50" w:right="-105" w:rightChars="-50"/>
                    <w:jc w:val="center"/>
                    <w:rPr>
                      <w:color w:val="auto"/>
                      <w:szCs w:val="21"/>
                    </w:rPr>
                  </w:pPr>
                  <w:r>
                    <w:rPr>
                      <w:color w:val="auto"/>
                      <w:szCs w:val="21"/>
                    </w:rPr>
                    <w:t>直径m</w:t>
                  </w:r>
                </w:p>
              </w:tc>
              <w:tc>
                <w:tcPr>
                  <w:tcW w:w="1047" w:type="dxa"/>
                  <w:noWrap w:val="0"/>
                  <w:vAlign w:val="center"/>
                </w:tcPr>
                <w:p>
                  <w:pPr>
                    <w:adjustRightInd w:val="0"/>
                    <w:snapToGrid w:val="0"/>
                    <w:ind w:left="-105" w:leftChars="-50" w:right="-105" w:rightChars="-50"/>
                    <w:jc w:val="center"/>
                    <w:rPr>
                      <w:color w:val="auto"/>
                      <w:szCs w:val="21"/>
                    </w:rPr>
                  </w:pPr>
                  <w:r>
                    <w:rPr>
                      <w:color w:val="auto"/>
                      <w:szCs w:val="21"/>
                    </w:rPr>
                    <w:t>温度℃</w:t>
                  </w:r>
                </w:p>
              </w:tc>
              <w:tc>
                <w:tcPr>
                  <w:tcW w:w="1255" w:type="dxa"/>
                  <w:vMerge w:val="continue"/>
                  <w:noWrap w:val="0"/>
                  <w:vAlign w:val="center"/>
                </w:tcPr>
                <w:p>
                  <w:pPr>
                    <w:adjustRightInd w:val="0"/>
                    <w:snapToGrid w:val="0"/>
                    <w:ind w:left="-105" w:leftChars="-50" w:right="-105" w:rightChars="-50"/>
                    <w:jc w:val="center"/>
                    <w:rPr>
                      <w:color w:val="auto"/>
                      <w:szCs w:val="21"/>
                    </w:rPr>
                  </w:pPr>
                </w:p>
              </w:tc>
              <w:tc>
                <w:tcPr>
                  <w:tcW w:w="1023" w:type="dxa"/>
                  <w:vMerge w:val="continue"/>
                  <w:noWrap w:val="0"/>
                  <w:vAlign w:val="center"/>
                </w:tcPr>
                <w:p>
                  <w:pPr>
                    <w:adjustRightInd w:val="0"/>
                    <w:snapToGrid w:val="0"/>
                    <w:ind w:left="-105" w:leftChars="-50" w:right="-105" w:rightChars="-50"/>
                    <w:jc w:val="center"/>
                    <w:rPr>
                      <w:color w:val="auto"/>
                      <w:szCs w:val="21"/>
                    </w:rPr>
                  </w:pPr>
                </w:p>
              </w:tc>
              <w:tc>
                <w:tcPr>
                  <w:tcW w:w="1158" w:type="dxa"/>
                  <w:vMerge w:val="continue"/>
                  <w:noWrap w:val="0"/>
                  <w:vAlign w:val="center"/>
                </w:tcPr>
                <w:p>
                  <w:pPr>
                    <w:adjustRightInd w:val="0"/>
                    <w:snapToGrid w:val="0"/>
                    <w:ind w:left="-105" w:leftChars="-50" w:right="-105" w:rightChars="-50"/>
                    <w:jc w:val="center"/>
                    <w:rPr>
                      <w:color w:val="auto"/>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49"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DA001</w:t>
                  </w:r>
                </w:p>
              </w:tc>
              <w:tc>
                <w:tcPr>
                  <w:tcW w:w="1153"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15</w:t>
                  </w:r>
                </w:p>
              </w:tc>
              <w:tc>
                <w:tcPr>
                  <w:tcW w:w="1153"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0.7</w:t>
                  </w:r>
                </w:p>
              </w:tc>
              <w:tc>
                <w:tcPr>
                  <w:tcW w:w="1047"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c>
                <w:tcPr>
                  <w:tcW w:w="1255"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布袋除尘器、二级活性炭</w:t>
                  </w:r>
                </w:p>
              </w:tc>
              <w:tc>
                <w:tcPr>
                  <w:tcW w:w="1023" w:type="dxa"/>
                  <w:noWrap w:val="0"/>
                  <w:vAlign w:val="center"/>
                </w:tcPr>
                <w:p>
                  <w:pPr>
                    <w:adjustRightInd w:val="0"/>
                    <w:snapToGrid w:val="0"/>
                    <w:ind w:left="-105" w:leftChars="-50" w:right="-105" w:rightChars="-50"/>
                    <w:jc w:val="center"/>
                    <w:rPr>
                      <w:color w:val="auto"/>
                      <w:szCs w:val="21"/>
                    </w:rPr>
                  </w:pPr>
                  <w:r>
                    <w:rPr>
                      <w:color w:val="auto"/>
                      <w:szCs w:val="21"/>
                    </w:rPr>
                    <w:t>是</w:t>
                  </w:r>
                </w:p>
              </w:tc>
              <w:tc>
                <w:tcPr>
                  <w:tcW w:w="1158" w:type="dxa"/>
                  <w:noWrap w:val="0"/>
                  <w:vAlign w:val="center"/>
                </w:tcPr>
                <w:p>
                  <w:pPr>
                    <w:adjustRightInd w:val="0"/>
                    <w:snapToGrid w:val="0"/>
                    <w:ind w:left="-105" w:leftChars="-50" w:right="-105" w:rightChars="-50"/>
                    <w:jc w:val="center"/>
                    <w:rPr>
                      <w:color w:val="auto"/>
                      <w:szCs w:val="21"/>
                    </w:rPr>
                  </w:pPr>
                  <w:r>
                    <w:rPr>
                      <w:color w:val="auto"/>
                      <w:szCs w:val="21"/>
                    </w:rPr>
                    <w:t>一般排放口</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1149" w:type="dxa"/>
                  <w:noWrap w:val="0"/>
                  <w:vAlign w:val="center"/>
                </w:tcPr>
                <w:p>
                  <w:pPr>
                    <w:adjustRightInd w:val="0"/>
                    <w:snapToGrid w:val="0"/>
                    <w:ind w:left="-105" w:leftChars="-50" w:right="-105" w:rightChars="-50"/>
                    <w:jc w:val="center"/>
                    <w:rPr>
                      <w:rFonts w:hint="eastAsia"/>
                      <w:color w:val="auto"/>
                      <w:szCs w:val="21"/>
                    </w:rPr>
                  </w:pPr>
                  <w:r>
                    <w:rPr>
                      <w:rFonts w:hint="eastAsia"/>
                      <w:color w:val="auto"/>
                      <w:szCs w:val="21"/>
                      <w:lang w:val="en-US" w:eastAsia="zh-CN"/>
                    </w:rPr>
                    <w:t>DA002</w:t>
                  </w:r>
                </w:p>
              </w:tc>
              <w:tc>
                <w:tcPr>
                  <w:tcW w:w="1153" w:type="dxa"/>
                  <w:noWrap w:val="0"/>
                  <w:vAlign w:val="center"/>
                </w:tcPr>
                <w:p>
                  <w:pPr>
                    <w:adjustRightInd w:val="0"/>
                    <w:snapToGrid w:val="0"/>
                    <w:ind w:left="-105" w:leftChars="-50" w:right="-105" w:rightChars="-50"/>
                    <w:jc w:val="center"/>
                    <w:rPr>
                      <w:rFonts w:hint="default" w:ascii="Times New Roman" w:hAnsi="Times New Roman" w:eastAsia="宋体" w:cs="Times New Roman"/>
                      <w:color w:val="auto"/>
                      <w:kern w:val="2"/>
                      <w:sz w:val="21"/>
                      <w:szCs w:val="21"/>
                      <w:lang w:val="en-US" w:eastAsia="zh-CN" w:bidi="ar-SA"/>
                    </w:rPr>
                  </w:pPr>
                  <w:r>
                    <w:rPr>
                      <w:rFonts w:hint="eastAsia"/>
                      <w:color w:val="auto"/>
                      <w:szCs w:val="21"/>
                      <w:lang w:val="en-US" w:eastAsia="zh-CN"/>
                    </w:rPr>
                    <w:t>15</w:t>
                  </w:r>
                </w:p>
              </w:tc>
              <w:tc>
                <w:tcPr>
                  <w:tcW w:w="1153"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0.8</w:t>
                  </w:r>
                </w:p>
              </w:tc>
              <w:tc>
                <w:tcPr>
                  <w:tcW w:w="1047"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c>
                <w:tcPr>
                  <w:tcW w:w="1255"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default" w:eastAsia="宋体"/>
                      <w:color w:val="auto"/>
                      <w:szCs w:val="21"/>
                      <w:lang w:val="en-US" w:eastAsia="zh-CN"/>
                    </w:rPr>
                    <w:t>二级活性炭</w:t>
                  </w:r>
                </w:p>
              </w:tc>
              <w:tc>
                <w:tcPr>
                  <w:tcW w:w="1023" w:type="dxa"/>
                  <w:noWrap w:val="0"/>
                  <w:vAlign w:val="center"/>
                </w:tcPr>
                <w:p>
                  <w:pPr>
                    <w:adjustRightInd w:val="0"/>
                    <w:snapToGrid w:val="0"/>
                    <w:ind w:left="-105" w:leftChars="-50" w:right="-105" w:rightChars="-50"/>
                    <w:jc w:val="center"/>
                    <w:rPr>
                      <w:color w:val="auto"/>
                      <w:szCs w:val="21"/>
                    </w:rPr>
                  </w:pPr>
                  <w:r>
                    <w:rPr>
                      <w:color w:val="auto"/>
                      <w:szCs w:val="21"/>
                    </w:rPr>
                    <w:t>是</w:t>
                  </w:r>
                </w:p>
              </w:tc>
              <w:tc>
                <w:tcPr>
                  <w:tcW w:w="1158" w:type="dxa"/>
                  <w:noWrap w:val="0"/>
                  <w:vAlign w:val="center"/>
                </w:tcPr>
                <w:p>
                  <w:pPr>
                    <w:adjustRightInd w:val="0"/>
                    <w:snapToGrid w:val="0"/>
                    <w:ind w:left="-105" w:leftChars="-50" w:right="-105" w:rightChars="-50"/>
                    <w:jc w:val="center"/>
                    <w:rPr>
                      <w:color w:val="auto"/>
                      <w:szCs w:val="21"/>
                    </w:rPr>
                  </w:pPr>
                  <w:r>
                    <w:rPr>
                      <w:color w:val="auto"/>
                      <w:szCs w:val="21"/>
                    </w:rPr>
                    <w:t>一般排放口</w:t>
                  </w:r>
                </w:p>
              </w:tc>
            </w:tr>
          </w:tbl>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DA001排气筒直径为0.7m，排风量</w:t>
            </w:r>
            <w:r>
              <w:rPr>
                <w:rFonts w:hint="eastAsia" w:ascii="Times New Roman" w:hAnsi="Times New Roman" w:eastAsia="宋体" w:cs="Times New Roman"/>
                <w:b w:val="0"/>
                <w:bCs/>
                <w:color w:val="auto"/>
                <w:kern w:val="2"/>
                <w:sz w:val="24"/>
                <w:szCs w:val="24"/>
                <w:lang w:val="en-US" w:eastAsia="zh-CN" w:bidi="ar-SA"/>
              </w:rPr>
              <w:t>为</w:t>
            </w:r>
            <w:r>
              <w:rPr>
                <w:rFonts w:hint="eastAsia" w:ascii="Times New Roman" w:hAnsi="Times New Roman" w:cs="Times New Roman"/>
                <w:b w:val="0"/>
                <w:bCs/>
                <w:color w:val="auto"/>
                <w:kern w:val="2"/>
                <w:sz w:val="24"/>
                <w:szCs w:val="24"/>
                <w:lang w:val="en-US" w:eastAsia="zh-CN" w:bidi="ar-SA"/>
              </w:rPr>
              <w:t>178</w:t>
            </w:r>
            <w:r>
              <w:rPr>
                <w:rFonts w:hint="eastAsia" w:ascii="Times New Roman" w:hAnsi="Times New Roman" w:eastAsia="宋体" w:cs="Times New Roman"/>
                <w:b w:val="0"/>
                <w:bCs/>
                <w:color w:val="auto"/>
                <w:kern w:val="2"/>
                <w:sz w:val="24"/>
                <w:szCs w:val="24"/>
                <w:lang w:val="en-US" w:eastAsia="zh-CN" w:bidi="ar-SA"/>
              </w:rPr>
              <w:t>00m</w:t>
            </w:r>
            <w:r>
              <w:rPr>
                <w:rFonts w:hint="eastAsia" w:ascii="Times New Roman" w:hAnsi="Times New Roman" w:eastAsia="宋体" w:cs="Times New Roman"/>
                <w:b w:val="0"/>
                <w:bCs/>
                <w:color w:val="auto"/>
                <w:kern w:val="2"/>
                <w:sz w:val="24"/>
                <w:szCs w:val="24"/>
                <w:vertAlign w:val="superscript"/>
                <w:lang w:val="en-US" w:eastAsia="zh-CN" w:bidi="ar-SA"/>
              </w:rPr>
              <w:t>3</w:t>
            </w:r>
            <w:r>
              <w:rPr>
                <w:rFonts w:hint="eastAsia" w:ascii="Times New Roman" w:hAnsi="Times New Roman" w:eastAsia="宋体" w:cs="Times New Roman"/>
                <w:b w:val="0"/>
                <w:bCs/>
                <w:color w:val="auto"/>
                <w:kern w:val="2"/>
                <w:sz w:val="24"/>
                <w:szCs w:val="24"/>
                <w:lang w:val="en-US" w:eastAsia="zh-CN" w:bidi="ar-SA"/>
              </w:rPr>
              <w:t>/h，风速约为</w:t>
            </w:r>
            <w:r>
              <w:rPr>
                <w:rFonts w:hint="eastAsia" w:ascii="Times New Roman" w:hAnsi="Times New Roman" w:cs="Times New Roman"/>
                <w:b w:val="0"/>
                <w:bCs/>
                <w:color w:val="auto"/>
                <w:kern w:val="2"/>
                <w:sz w:val="24"/>
                <w:szCs w:val="24"/>
                <w:lang w:val="en-US" w:eastAsia="zh-CN" w:bidi="ar-SA"/>
              </w:rPr>
              <w:t>12.85m/s，DA002排气筒直径为0.8m，排风量</w:t>
            </w:r>
            <w:r>
              <w:rPr>
                <w:rFonts w:hint="eastAsia" w:ascii="Times New Roman" w:hAnsi="Times New Roman" w:eastAsia="宋体" w:cs="Times New Roman"/>
                <w:b w:val="0"/>
                <w:bCs/>
                <w:color w:val="auto"/>
                <w:kern w:val="2"/>
                <w:sz w:val="24"/>
                <w:szCs w:val="24"/>
                <w:lang w:val="en-US" w:eastAsia="zh-CN" w:bidi="ar-SA"/>
              </w:rPr>
              <w:t>为</w:t>
            </w:r>
            <w:r>
              <w:rPr>
                <w:rFonts w:hint="eastAsia" w:ascii="Times New Roman" w:hAnsi="Times New Roman" w:cs="Times New Roman"/>
                <w:b w:val="0"/>
                <w:bCs/>
                <w:color w:val="auto"/>
                <w:kern w:val="2"/>
                <w:sz w:val="24"/>
                <w:szCs w:val="24"/>
                <w:lang w:val="en-US" w:eastAsia="zh-CN" w:bidi="ar-SA"/>
              </w:rPr>
              <w:t>22000</w:t>
            </w:r>
            <w:r>
              <w:rPr>
                <w:rFonts w:hint="eastAsia" w:ascii="Times New Roman" w:hAnsi="Times New Roman" w:eastAsia="宋体" w:cs="Times New Roman"/>
                <w:b w:val="0"/>
                <w:bCs/>
                <w:color w:val="auto"/>
                <w:kern w:val="2"/>
                <w:sz w:val="24"/>
                <w:szCs w:val="24"/>
                <w:lang w:val="en-US" w:eastAsia="zh-CN" w:bidi="ar-SA"/>
              </w:rPr>
              <w:t>m</w:t>
            </w:r>
            <w:r>
              <w:rPr>
                <w:rFonts w:hint="eastAsia" w:ascii="Times New Roman" w:hAnsi="Times New Roman" w:eastAsia="宋体" w:cs="Times New Roman"/>
                <w:b w:val="0"/>
                <w:bCs/>
                <w:color w:val="auto"/>
                <w:kern w:val="2"/>
                <w:sz w:val="24"/>
                <w:szCs w:val="24"/>
                <w:vertAlign w:val="superscript"/>
                <w:lang w:val="en-US" w:eastAsia="zh-CN" w:bidi="ar-SA"/>
              </w:rPr>
              <w:t>3</w:t>
            </w:r>
            <w:r>
              <w:rPr>
                <w:rFonts w:hint="eastAsia" w:ascii="Times New Roman" w:hAnsi="Times New Roman" w:eastAsia="宋体" w:cs="Times New Roman"/>
                <w:b w:val="0"/>
                <w:bCs/>
                <w:color w:val="auto"/>
                <w:kern w:val="2"/>
                <w:sz w:val="24"/>
                <w:szCs w:val="24"/>
                <w:lang w:val="en-US" w:eastAsia="zh-CN" w:bidi="ar-SA"/>
              </w:rPr>
              <w:t>/h，风速约为</w:t>
            </w:r>
            <w:r>
              <w:rPr>
                <w:rFonts w:hint="eastAsia" w:ascii="Times New Roman" w:hAnsi="Times New Roman" w:cs="Times New Roman"/>
                <w:b w:val="0"/>
                <w:bCs/>
                <w:color w:val="auto"/>
                <w:kern w:val="2"/>
                <w:sz w:val="24"/>
                <w:szCs w:val="24"/>
                <w:lang w:val="en-US" w:eastAsia="zh-CN" w:bidi="ar-SA"/>
              </w:rPr>
              <w:t>12.16m/s，排气筒风速均符合《大气污染治理工程技术导则》（HJ2000-2010）中流速宜取10m/s~15m/s的要求。因此，本项目排气筒的设置是合理的。</w:t>
            </w:r>
          </w:p>
          <w:p>
            <w:pPr>
              <w:pStyle w:val="14"/>
              <w:adjustRightInd w:val="0"/>
              <w:snapToGrid w:val="0"/>
              <w:spacing w:line="360" w:lineRule="auto"/>
              <w:ind w:firstLine="480" w:firstLineChars="200"/>
              <w:rPr>
                <w:rFonts w:hint="eastAsia" w:ascii="Times New Roman" w:hAnsi="Times New Roman"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DA001排气筒合并排放颗粒物和有机废气，合并排气筒可以提高废气处理的效率‌。通过将颗粒物废气和有机废气合并排气筒排放，可以集中处理这些废气，减少排放口数量，从而简化处理流程，提高整体处理效率，其次，‌减少排放口数量可以方便管理‌。合并排气筒后，废气排放口数量减少，这不仅简化了排放监测和监管工作，还减少了维护成本和操作复杂度。‌</w:t>
            </w:r>
          </w:p>
          <w:p>
            <w:pPr>
              <w:pStyle w:val="14"/>
              <w:adjustRightInd w:val="0"/>
              <w:snapToGrid w:val="0"/>
              <w:spacing w:line="360" w:lineRule="auto"/>
              <w:ind w:firstLine="480" w:firstLineChars="200"/>
              <w:rPr>
                <w:rFonts w:hint="eastAsia"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（2）非正常排放情况</w:t>
            </w:r>
          </w:p>
          <w:p>
            <w:pPr>
              <w:pStyle w:val="14"/>
              <w:adjustRightInd w:val="0"/>
              <w:snapToGrid w:val="0"/>
              <w:spacing w:line="360" w:lineRule="auto"/>
              <w:ind w:firstLine="480" w:firstLineChars="200"/>
              <w:rPr>
                <w:rFonts w:hint="eastAsia"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由于生产管理不善或其它原因（如废气处理装置故障等）将可能导致废气非正常排放，以DA001、DA002排气筒废气治理设施失效为例，对应污染物处理效率降低至0时，分析非正常排放情况。</w:t>
            </w:r>
          </w:p>
          <w:p>
            <w:pPr>
              <w:jc w:val="center"/>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 xml:space="preserve">6 </w:t>
            </w:r>
            <w:r>
              <w:rPr>
                <w:rFonts w:hint="eastAsia" w:ascii="Times New Roman" w:hAnsi="Times New Roman" w:cs="Times New Roman"/>
                <w:b/>
                <w:bCs/>
                <w:color w:val="auto"/>
                <w:sz w:val="24"/>
                <w:szCs w:val="32"/>
                <w:highlight w:val="none"/>
                <w:lang w:val="en-US" w:eastAsia="zh-CN"/>
              </w:rPr>
              <w:t>非正常工况</w:t>
            </w:r>
          </w:p>
          <w:tbl>
            <w:tblPr>
              <w:tblStyle w:val="25"/>
              <w:tblW w:w="7932"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02"/>
              <w:gridCol w:w="615"/>
              <w:gridCol w:w="1605"/>
              <w:gridCol w:w="915"/>
              <w:gridCol w:w="1095"/>
              <w:gridCol w:w="819"/>
              <w:gridCol w:w="811"/>
              <w:gridCol w:w="15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02"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序号</w:t>
                  </w:r>
                </w:p>
              </w:tc>
              <w:tc>
                <w:tcPr>
                  <w:tcW w:w="615"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污染源</w:t>
                  </w:r>
                </w:p>
              </w:tc>
              <w:tc>
                <w:tcPr>
                  <w:tcW w:w="1605" w:type="dxa"/>
                  <w:vAlign w:val="center"/>
                </w:tcPr>
                <w:p>
                  <w:pPr>
                    <w:widowControl/>
                    <w:adjustRightInd w:val="0"/>
                    <w:snapToGrid w:val="0"/>
                    <w:spacing w:line="240" w:lineRule="auto"/>
                    <w:jc w:val="center"/>
                    <w:rPr>
                      <w:b/>
                      <w:color w:val="auto"/>
                      <w:kern w:val="0"/>
                      <w:sz w:val="21"/>
                      <w:highlight w:val="none"/>
                      <w:lang w:bidi="ar"/>
                    </w:rPr>
                  </w:pPr>
                  <w:r>
                    <w:rPr>
                      <w:b/>
                      <w:color w:val="auto"/>
                      <w:kern w:val="0"/>
                      <w:sz w:val="21"/>
                      <w:highlight w:val="none"/>
                      <w:lang w:bidi="ar"/>
                    </w:rPr>
                    <w:t>非正常排放原因</w:t>
                  </w:r>
                </w:p>
              </w:tc>
              <w:tc>
                <w:tcPr>
                  <w:tcW w:w="915"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污染物</w:t>
                  </w:r>
                </w:p>
              </w:tc>
              <w:tc>
                <w:tcPr>
                  <w:tcW w:w="1095"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非正常排放浓度mg/m</w:t>
                  </w:r>
                  <w:r>
                    <w:rPr>
                      <w:b/>
                      <w:color w:val="auto"/>
                      <w:kern w:val="0"/>
                      <w:sz w:val="21"/>
                      <w:highlight w:val="none"/>
                      <w:vertAlign w:val="superscript"/>
                      <w:lang w:bidi="ar"/>
                    </w:rPr>
                    <w:t>3</w:t>
                  </w:r>
                </w:p>
              </w:tc>
              <w:tc>
                <w:tcPr>
                  <w:tcW w:w="819"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单次持续时间h</w:t>
                  </w:r>
                </w:p>
              </w:tc>
              <w:tc>
                <w:tcPr>
                  <w:tcW w:w="811" w:type="dxa"/>
                  <w:vAlign w:val="center"/>
                </w:tcPr>
                <w:p>
                  <w:pPr>
                    <w:widowControl/>
                    <w:adjustRightInd w:val="0"/>
                    <w:snapToGrid w:val="0"/>
                    <w:spacing w:line="240" w:lineRule="auto"/>
                    <w:jc w:val="center"/>
                    <w:rPr>
                      <w:b/>
                      <w:color w:val="auto"/>
                      <w:kern w:val="0"/>
                      <w:sz w:val="21"/>
                      <w:highlight w:val="none"/>
                    </w:rPr>
                  </w:pPr>
                  <w:r>
                    <w:rPr>
                      <w:b/>
                      <w:color w:val="auto"/>
                      <w:kern w:val="0"/>
                      <w:sz w:val="21"/>
                      <w:highlight w:val="none"/>
                      <w:lang w:bidi="ar"/>
                    </w:rPr>
                    <w:t>频次</w:t>
                  </w:r>
                </w:p>
              </w:tc>
              <w:tc>
                <w:tcPr>
                  <w:tcW w:w="1570" w:type="dxa"/>
                  <w:vAlign w:val="center"/>
                </w:tcPr>
                <w:p>
                  <w:pPr>
                    <w:widowControl/>
                    <w:adjustRightInd w:val="0"/>
                    <w:snapToGrid w:val="0"/>
                    <w:spacing w:line="240" w:lineRule="auto"/>
                    <w:jc w:val="center"/>
                    <w:rPr>
                      <w:b/>
                      <w:color w:val="auto"/>
                      <w:kern w:val="0"/>
                      <w:sz w:val="21"/>
                      <w:highlight w:val="none"/>
                      <w:lang w:bidi="ar"/>
                    </w:rPr>
                  </w:pPr>
                  <w:r>
                    <w:rPr>
                      <w:b/>
                      <w:color w:val="auto"/>
                      <w:kern w:val="0"/>
                      <w:sz w:val="21"/>
                      <w:highlight w:val="none"/>
                      <w:lang w:bidi="ar"/>
                    </w:rPr>
                    <w:t>应对措施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27" w:hRule="atLeast"/>
                <w:jc w:val="center"/>
              </w:trPr>
              <w:tc>
                <w:tcPr>
                  <w:tcW w:w="502" w:type="dxa"/>
                  <w:vMerge w:val="restart"/>
                  <w:vAlign w:val="center"/>
                </w:tcPr>
                <w:p>
                  <w:pPr>
                    <w:widowControl/>
                    <w:adjustRightInd w:val="0"/>
                    <w:snapToGrid w:val="0"/>
                    <w:spacing w:line="240" w:lineRule="auto"/>
                    <w:jc w:val="center"/>
                    <w:rPr>
                      <w:color w:val="auto"/>
                      <w:kern w:val="0"/>
                      <w:sz w:val="21"/>
                      <w:highlight w:val="none"/>
                      <w:lang w:bidi="ar"/>
                    </w:rPr>
                  </w:pPr>
                  <w:r>
                    <w:rPr>
                      <w:color w:val="auto"/>
                      <w:kern w:val="0"/>
                      <w:sz w:val="21"/>
                      <w:highlight w:val="none"/>
                      <w:lang w:bidi="ar"/>
                    </w:rPr>
                    <w:t>1</w:t>
                  </w:r>
                </w:p>
              </w:tc>
              <w:tc>
                <w:tcPr>
                  <w:tcW w:w="615" w:type="dxa"/>
                  <w:vMerge w:val="restart"/>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color w:val="auto"/>
                      <w:sz w:val="21"/>
                      <w:highlight w:val="none"/>
                      <w:lang w:val="en-US"/>
                    </w:rPr>
                  </w:pPr>
                  <w:r>
                    <w:rPr>
                      <w:rFonts w:hint="eastAsia" w:cs="Times New Roman"/>
                      <w:i w:val="0"/>
                      <w:iCs w:val="0"/>
                      <w:color w:val="auto"/>
                      <w:kern w:val="0"/>
                      <w:sz w:val="21"/>
                      <w:szCs w:val="21"/>
                      <w:highlight w:val="none"/>
                      <w:u w:val="none"/>
                      <w:lang w:val="en-US" w:eastAsia="zh-CN" w:bidi="ar"/>
                    </w:rPr>
                    <w:t>DA001</w:t>
                  </w:r>
                </w:p>
              </w:tc>
              <w:tc>
                <w:tcPr>
                  <w:tcW w:w="1605" w:type="dxa"/>
                  <w:vMerge w:val="restart"/>
                  <w:vAlign w:val="center"/>
                </w:tcPr>
                <w:p>
                  <w:pPr>
                    <w:widowControl/>
                    <w:adjustRightInd w:val="0"/>
                    <w:snapToGrid w:val="0"/>
                    <w:spacing w:line="240" w:lineRule="auto"/>
                    <w:jc w:val="center"/>
                    <w:rPr>
                      <w:rFonts w:hint="eastAsia" w:eastAsia="宋体"/>
                      <w:color w:val="auto"/>
                      <w:kern w:val="0"/>
                      <w:sz w:val="21"/>
                      <w:highlight w:val="none"/>
                      <w:lang w:eastAsia="zh-CN" w:bidi="ar"/>
                    </w:rPr>
                  </w:pPr>
                  <w:r>
                    <w:rPr>
                      <w:rFonts w:hint="eastAsia"/>
                      <w:color w:val="auto"/>
                      <w:sz w:val="21"/>
                      <w:highlight w:val="none"/>
                      <w:lang w:val="en-US" w:eastAsia="zh-CN"/>
                    </w:rPr>
                    <w:t>布袋除尘器失效</w:t>
                  </w:r>
                  <w:r>
                    <w:rPr>
                      <w:rFonts w:hint="eastAsia"/>
                      <w:color w:val="auto"/>
                      <w:sz w:val="21"/>
                      <w:highlight w:val="none"/>
                    </w:rPr>
                    <w:t>，</w:t>
                  </w:r>
                  <w:r>
                    <w:rPr>
                      <w:rFonts w:hint="eastAsia"/>
                      <w:color w:val="auto"/>
                      <w:sz w:val="21"/>
                      <w:highlight w:val="none"/>
                      <w:lang w:val="en-US" w:eastAsia="zh-CN"/>
                    </w:rPr>
                    <w:t>颗粒物</w:t>
                  </w:r>
                  <w:r>
                    <w:rPr>
                      <w:rFonts w:hint="eastAsia"/>
                      <w:color w:val="auto"/>
                      <w:sz w:val="21"/>
                      <w:highlight w:val="none"/>
                    </w:rPr>
                    <w:t>处理效率降低至0</w:t>
                  </w:r>
                  <w:r>
                    <w:rPr>
                      <w:rFonts w:hint="eastAsia"/>
                      <w:color w:val="auto"/>
                      <w:sz w:val="21"/>
                      <w:highlight w:val="none"/>
                      <w:lang w:eastAsia="zh-CN"/>
                    </w:rPr>
                    <w:t>，</w:t>
                  </w:r>
                  <w:r>
                    <w:rPr>
                      <w:rFonts w:hint="eastAsia"/>
                      <w:color w:val="auto"/>
                      <w:sz w:val="21"/>
                      <w:highlight w:val="none"/>
                      <w:lang w:val="en-US" w:eastAsia="zh-CN"/>
                    </w:rPr>
                    <w:t>二级活性炭吸附装置失效</w:t>
                  </w:r>
                  <w:r>
                    <w:rPr>
                      <w:rFonts w:hint="eastAsia"/>
                      <w:color w:val="auto"/>
                      <w:sz w:val="21"/>
                      <w:highlight w:val="none"/>
                    </w:rPr>
                    <w:t>，</w:t>
                  </w:r>
                  <w:r>
                    <w:rPr>
                      <w:rFonts w:hint="eastAsia"/>
                      <w:color w:val="auto"/>
                      <w:sz w:val="21"/>
                      <w:highlight w:val="none"/>
                      <w:lang w:val="en-US" w:eastAsia="zh-CN"/>
                    </w:rPr>
                    <w:t>非甲烷总烃</w:t>
                  </w:r>
                  <w:r>
                    <w:rPr>
                      <w:rFonts w:hint="eastAsia"/>
                      <w:color w:val="auto"/>
                      <w:sz w:val="21"/>
                      <w:highlight w:val="none"/>
                    </w:rPr>
                    <w:t>处理效率降低至0</w:t>
                  </w:r>
                </w:p>
              </w:tc>
              <w:tc>
                <w:tcPr>
                  <w:tcW w:w="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1095"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316.0112 </w:t>
                  </w:r>
                </w:p>
              </w:tc>
              <w:tc>
                <w:tcPr>
                  <w:tcW w:w="819" w:type="dxa"/>
                  <w:vMerge w:val="restart"/>
                  <w:vAlign w:val="center"/>
                </w:tcPr>
                <w:p>
                  <w:pPr>
                    <w:widowControl/>
                    <w:adjustRightInd w:val="0"/>
                    <w:snapToGrid w:val="0"/>
                    <w:spacing w:line="240" w:lineRule="auto"/>
                    <w:jc w:val="center"/>
                    <w:rPr>
                      <w:rFonts w:hint="default" w:eastAsia="宋体"/>
                      <w:color w:val="auto"/>
                      <w:kern w:val="0"/>
                      <w:sz w:val="21"/>
                      <w:highlight w:val="none"/>
                      <w:lang w:val="en-US" w:eastAsia="zh-CN" w:bidi="ar"/>
                    </w:rPr>
                  </w:pPr>
                  <w:r>
                    <w:rPr>
                      <w:rFonts w:hint="eastAsia"/>
                      <w:color w:val="auto"/>
                      <w:kern w:val="0"/>
                      <w:sz w:val="21"/>
                      <w:highlight w:val="none"/>
                      <w:lang w:val="en-US" w:eastAsia="zh-CN" w:bidi="ar"/>
                    </w:rPr>
                    <w:t>1h</w:t>
                  </w:r>
                </w:p>
              </w:tc>
              <w:tc>
                <w:tcPr>
                  <w:tcW w:w="811" w:type="dxa"/>
                  <w:vMerge w:val="restart"/>
                  <w:vAlign w:val="center"/>
                </w:tcPr>
                <w:p>
                  <w:pPr>
                    <w:widowControl/>
                    <w:adjustRightInd w:val="0"/>
                    <w:snapToGrid w:val="0"/>
                    <w:spacing w:line="240" w:lineRule="auto"/>
                    <w:jc w:val="center"/>
                    <w:rPr>
                      <w:color w:val="auto"/>
                      <w:kern w:val="0"/>
                      <w:sz w:val="21"/>
                      <w:highlight w:val="none"/>
                      <w:lang w:bidi="ar"/>
                    </w:rPr>
                  </w:pPr>
                  <w:r>
                    <w:rPr>
                      <w:bCs/>
                      <w:color w:val="auto"/>
                      <w:kern w:val="0"/>
                      <w:sz w:val="21"/>
                      <w:highlight w:val="none"/>
                      <w:lang w:bidi="ar"/>
                    </w:rPr>
                    <w:t>年发生</w:t>
                  </w:r>
                  <w:r>
                    <w:rPr>
                      <w:rFonts w:hint="eastAsia"/>
                      <w:bCs/>
                      <w:color w:val="auto"/>
                      <w:kern w:val="0"/>
                      <w:sz w:val="21"/>
                      <w:highlight w:val="none"/>
                      <w:lang w:bidi="ar"/>
                    </w:rPr>
                    <w:t>频次</w:t>
                  </w:r>
                  <w:r>
                    <w:rPr>
                      <w:bCs/>
                      <w:color w:val="auto"/>
                      <w:sz w:val="21"/>
                      <w:highlight w:val="none"/>
                    </w:rPr>
                    <w:t>不超过2次</w:t>
                  </w:r>
                </w:p>
              </w:tc>
              <w:tc>
                <w:tcPr>
                  <w:tcW w:w="1570" w:type="dxa"/>
                  <w:vMerge w:val="restart"/>
                  <w:vAlign w:val="center"/>
                </w:tcPr>
                <w:p>
                  <w:pPr>
                    <w:widowControl/>
                    <w:adjustRightInd w:val="0"/>
                    <w:snapToGrid w:val="0"/>
                    <w:spacing w:line="240" w:lineRule="auto"/>
                    <w:jc w:val="center"/>
                    <w:rPr>
                      <w:color w:val="auto"/>
                      <w:kern w:val="0"/>
                      <w:sz w:val="21"/>
                      <w:highlight w:val="none"/>
                      <w:lang w:bidi="ar"/>
                    </w:rPr>
                  </w:pPr>
                  <w:r>
                    <w:rPr>
                      <w:color w:val="auto"/>
                      <w:kern w:val="0"/>
                      <w:sz w:val="21"/>
                      <w:highlight w:val="none"/>
                      <w:lang w:bidi="ar"/>
                    </w:rPr>
                    <w:t>定期进行设备维护</w:t>
                  </w:r>
                  <w:r>
                    <w:rPr>
                      <w:rFonts w:hint="eastAsia"/>
                      <w:color w:val="auto"/>
                      <w:kern w:val="0"/>
                      <w:sz w:val="21"/>
                      <w:highlight w:val="none"/>
                      <w:lang w:bidi="ar"/>
                    </w:rPr>
                    <w:t>和保养</w:t>
                  </w:r>
                  <w:r>
                    <w:rPr>
                      <w:color w:val="auto"/>
                      <w:kern w:val="0"/>
                      <w:sz w:val="21"/>
                      <w:highlight w:val="none"/>
                      <w:lang w:bidi="ar"/>
                    </w:rPr>
                    <w:t>，当废气处理装置出现故障不能短时间恢复时停止生产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12" w:hRule="atLeast"/>
                <w:jc w:val="center"/>
              </w:trPr>
              <w:tc>
                <w:tcPr>
                  <w:tcW w:w="502" w:type="dxa"/>
                  <w:vMerge w:val="continue"/>
                  <w:vAlign w:val="center"/>
                </w:tcPr>
                <w:p>
                  <w:pPr>
                    <w:widowControl/>
                    <w:adjustRightInd w:val="0"/>
                    <w:snapToGrid w:val="0"/>
                    <w:spacing w:line="240" w:lineRule="auto"/>
                    <w:jc w:val="center"/>
                    <w:rPr>
                      <w:color w:val="auto"/>
                      <w:kern w:val="0"/>
                      <w:sz w:val="21"/>
                      <w:highlight w:val="none"/>
                      <w:lang w:bidi="ar"/>
                    </w:rPr>
                  </w:pPr>
                </w:p>
              </w:tc>
              <w:tc>
                <w:tcPr>
                  <w:tcW w:w="61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cs="Times New Roman"/>
                      <w:i w:val="0"/>
                      <w:iCs w:val="0"/>
                      <w:color w:val="auto"/>
                      <w:kern w:val="0"/>
                      <w:sz w:val="21"/>
                      <w:szCs w:val="21"/>
                      <w:highlight w:val="none"/>
                      <w:u w:val="none"/>
                      <w:lang w:val="en-US" w:eastAsia="zh-CN" w:bidi="ar"/>
                    </w:rPr>
                  </w:pPr>
                </w:p>
              </w:tc>
              <w:tc>
                <w:tcPr>
                  <w:tcW w:w="1605" w:type="dxa"/>
                  <w:vMerge w:val="continue"/>
                  <w:vAlign w:val="center"/>
                </w:tcPr>
                <w:p>
                  <w:pPr>
                    <w:widowControl/>
                    <w:adjustRightInd w:val="0"/>
                    <w:snapToGrid w:val="0"/>
                    <w:spacing w:line="240" w:lineRule="auto"/>
                    <w:jc w:val="center"/>
                    <w:rPr>
                      <w:rFonts w:hint="eastAsia"/>
                      <w:color w:val="auto"/>
                      <w:sz w:val="21"/>
                      <w:highlight w:val="none"/>
                      <w:lang w:val="en-US" w:eastAsia="zh-CN"/>
                    </w:rPr>
                  </w:pPr>
                </w:p>
              </w:tc>
              <w:tc>
                <w:tcPr>
                  <w:tcW w:w="915" w:type="dxa"/>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95"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0.0234 </w:t>
                  </w:r>
                </w:p>
              </w:tc>
              <w:tc>
                <w:tcPr>
                  <w:tcW w:w="819" w:type="dxa"/>
                  <w:vMerge w:val="continue"/>
                  <w:vAlign w:val="center"/>
                </w:tcPr>
                <w:p>
                  <w:pPr>
                    <w:widowControl/>
                    <w:adjustRightInd w:val="0"/>
                    <w:snapToGrid w:val="0"/>
                    <w:spacing w:line="240" w:lineRule="auto"/>
                    <w:jc w:val="center"/>
                    <w:rPr>
                      <w:color w:val="auto"/>
                      <w:kern w:val="0"/>
                      <w:sz w:val="21"/>
                      <w:highlight w:val="none"/>
                      <w:lang w:bidi="ar"/>
                    </w:rPr>
                  </w:pPr>
                </w:p>
              </w:tc>
              <w:tc>
                <w:tcPr>
                  <w:tcW w:w="811" w:type="dxa"/>
                  <w:vMerge w:val="continue"/>
                  <w:vAlign w:val="center"/>
                </w:tcPr>
                <w:p>
                  <w:pPr>
                    <w:widowControl/>
                    <w:adjustRightInd w:val="0"/>
                    <w:snapToGrid w:val="0"/>
                    <w:spacing w:line="240" w:lineRule="auto"/>
                    <w:jc w:val="center"/>
                    <w:rPr>
                      <w:bCs/>
                      <w:color w:val="auto"/>
                      <w:kern w:val="0"/>
                      <w:sz w:val="21"/>
                      <w:highlight w:val="none"/>
                      <w:lang w:bidi="ar"/>
                    </w:rPr>
                  </w:pPr>
                </w:p>
              </w:tc>
              <w:tc>
                <w:tcPr>
                  <w:tcW w:w="1570" w:type="dxa"/>
                  <w:vMerge w:val="continue"/>
                  <w:vAlign w:val="center"/>
                </w:tcPr>
                <w:p>
                  <w:pPr>
                    <w:widowControl/>
                    <w:adjustRightInd w:val="0"/>
                    <w:snapToGrid w:val="0"/>
                    <w:spacing w:line="240" w:lineRule="auto"/>
                    <w:jc w:val="center"/>
                    <w:rPr>
                      <w:color w:val="auto"/>
                      <w:kern w:val="0"/>
                      <w:sz w:val="21"/>
                      <w:highlight w:val="none"/>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502" w:type="dxa"/>
                  <w:vMerge w:val="continue"/>
                  <w:vAlign w:val="center"/>
                </w:tcPr>
                <w:p>
                  <w:pPr>
                    <w:widowControl/>
                    <w:adjustRightInd w:val="0"/>
                    <w:snapToGrid w:val="0"/>
                    <w:spacing w:line="240" w:lineRule="auto"/>
                    <w:jc w:val="center"/>
                    <w:rPr>
                      <w:color w:val="auto"/>
                      <w:kern w:val="0"/>
                      <w:sz w:val="21"/>
                      <w:highlight w:val="none"/>
                      <w:lang w:bidi="ar"/>
                    </w:rPr>
                  </w:pPr>
                </w:p>
              </w:tc>
              <w:tc>
                <w:tcPr>
                  <w:tcW w:w="615" w:type="dxa"/>
                  <w:vMerge w:val="continue"/>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cs="Times New Roman"/>
                      <w:i w:val="0"/>
                      <w:iCs w:val="0"/>
                      <w:color w:val="auto"/>
                      <w:kern w:val="0"/>
                      <w:sz w:val="21"/>
                      <w:szCs w:val="21"/>
                      <w:highlight w:val="none"/>
                      <w:u w:val="none"/>
                      <w:lang w:val="en-US" w:eastAsia="zh-CN" w:bidi="ar"/>
                    </w:rPr>
                  </w:pPr>
                </w:p>
              </w:tc>
              <w:tc>
                <w:tcPr>
                  <w:tcW w:w="1605" w:type="dxa"/>
                  <w:vMerge w:val="continue"/>
                  <w:vAlign w:val="center"/>
                </w:tcPr>
                <w:p>
                  <w:pPr>
                    <w:widowControl/>
                    <w:adjustRightInd w:val="0"/>
                    <w:snapToGrid w:val="0"/>
                    <w:spacing w:line="240" w:lineRule="auto"/>
                    <w:jc w:val="center"/>
                    <w:rPr>
                      <w:rFonts w:hint="eastAsia"/>
                      <w:color w:val="auto"/>
                      <w:sz w:val="21"/>
                      <w:highlight w:val="none"/>
                      <w:lang w:val="en-US" w:eastAsia="zh-CN"/>
                    </w:rPr>
                  </w:pPr>
                </w:p>
              </w:tc>
              <w:tc>
                <w:tcPr>
                  <w:tcW w:w="915" w:type="dxa"/>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1095" w:type="dxa"/>
                  <w:vAlign w:val="center"/>
                </w:tcPr>
                <w:p>
                  <w:pPr>
                    <w:keepNext w:val="0"/>
                    <w:keepLines w:val="0"/>
                    <w:widowControl/>
                    <w:suppressLineNumbers w:val="0"/>
                    <w:jc w:val="center"/>
                    <w:textAlignment w:val="center"/>
                    <w:rPr>
                      <w:rFonts w:hint="default"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0.0035 </w:t>
                  </w:r>
                </w:p>
              </w:tc>
              <w:tc>
                <w:tcPr>
                  <w:tcW w:w="819" w:type="dxa"/>
                  <w:vMerge w:val="continue"/>
                  <w:vAlign w:val="center"/>
                </w:tcPr>
                <w:p>
                  <w:pPr>
                    <w:widowControl/>
                    <w:adjustRightInd w:val="0"/>
                    <w:snapToGrid w:val="0"/>
                    <w:spacing w:line="240" w:lineRule="auto"/>
                    <w:jc w:val="center"/>
                    <w:rPr>
                      <w:color w:val="auto"/>
                      <w:kern w:val="0"/>
                      <w:sz w:val="21"/>
                      <w:highlight w:val="none"/>
                      <w:lang w:bidi="ar"/>
                    </w:rPr>
                  </w:pPr>
                </w:p>
              </w:tc>
              <w:tc>
                <w:tcPr>
                  <w:tcW w:w="811" w:type="dxa"/>
                  <w:vMerge w:val="continue"/>
                  <w:vAlign w:val="center"/>
                </w:tcPr>
                <w:p>
                  <w:pPr>
                    <w:widowControl/>
                    <w:adjustRightInd w:val="0"/>
                    <w:snapToGrid w:val="0"/>
                    <w:spacing w:line="240" w:lineRule="auto"/>
                    <w:jc w:val="center"/>
                    <w:rPr>
                      <w:bCs/>
                      <w:color w:val="auto"/>
                      <w:kern w:val="0"/>
                      <w:sz w:val="21"/>
                      <w:highlight w:val="none"/>
                      <w:lang w:bidi="ar"/>
                    </w:rPr>
                  </w:pPr>
                </w:p>
              </w:tc>
              <w:tc>
                <w:tcPr>
                  <w:tcW w:w="1570" w:type="dxa"/>
                  <w:vMerge w:val="continue"/>
                  <w:vAlign w:val="center"/>
                </w:tcPr>
                <w:p>
                  <w:pPr>
                    <w:widowControl/>
                    <w:adjustRightInd w:val="0"/>
                    <w:snapToGrid w:val="0"/>
                    <w:spacing w:line="240" w:lineRule="auto"/>
                    <w:jc w:val="center"/>
                    <w:rPr>
                      <w:color w:val="auto"/>
                      <w:kern w:val="0"/>
                      <w:sz w:val="21"/>
                      <w:highlight w:val="none"/>
                      <w:lang w:bidi="ar"/>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76" w:hRule="atLeast"/>
                <w:jc w:val="center"/>
              </w:trPr>
              <w:tc>
                <w:tcPr>
                  <w:tcW w:w="502" w:type="dxa"/>
                  <w:vAlign w:val="center"/>
                </w:tcPr>
                <w:p>
                  <w:pPr>
                    <w:widowControl/>
                    <w:adjustRightInd w:val="0"/>
                    <w:snapToGrid w:val="0"/>
                    <w:spacing w:line="240" w:lineRule="auto"/>
                    <w:jc w:val="center"/>
                    <w:rPr>
                      <w:rFonts w:hint="eastAsia" w:eastAsia="宋体"/>
                      <w:color w:val="auto"/>
                      <w:kern w:val="0"/>
                      <w:sz w:val="21"/>
                      <w:highlight w:val="none"/>
                      <w:lang w:val="en-US" w:eastAsia="zh-CN" w:bidi="ar"/>
                    </w:rPr>
                  </w:pPr>
                  <w:r>
                    <w:rPr>
                      <w:rFonts w:hint="eastAsia"/>
                      <w:color w:val="auto"/>
                      <w:kern w:val="0"/>
                      <w:sz w:val="21"/>
                      <w:highlight w:val="none"/>
                      <w:lang w:val="en-US" w:eastAsia="zh-CN" w:bidi="ar"/>
                    </w:rPr>
                    <w:t>2</w:t>
                  </w:r>
                </w:p>
              </w:tc>
              <w:tc>
                <w:tcPr>
                  <w:tcW w:w="615" w:type="dxa"/>
                  <w:vAlign w:val="center"/>
                </w:tcPr>
                <w:p>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color w:val="auto"/>
                      <w:kern w:val="0"/>
                      <w:sz w:val="21"/>
                      <w:highlight w:val="none"/>
                      <w:lang w:val="en-US" w:bidi="ar"/>
                    </w:rPr>
                  </w:pPr>
                  <w:r>
                    <w:rPr>
                      <w:rFonts w:hint="eastAsia" w:cs="Times New Roman"/>
                      <w:i w:val="0"/>
                      <w:iCs w:val="0"/>
                      <w:color w:val="auto"/>
                      <w:kern w:val="0"/>
                      <w:sz w:val="21"/>
                      <w:szCs w:val="21"/>
                      <w:highlight w:val="none"/>
                      <w:u w:val="none"/>
                      <w:lang w:val="en-US" w:eastAsia="zh-CN" w:bidi="ar"/>
                    </w:rPr>
                    <w:t>DA002</w:t>
                  </w:r>
                </w:p>
              </w:tc>
              <w:tc>
                <w:tcPr>
                  <w:tcW w:w="1605" w:type="dxa"/>
                  <w:vAlign w:val="center"/>
                </w:tcPr>
                <w:p>
                  <w:pPr>
                    <w:widowControl/>
                    <w:adjustRightInd w:val="0"/>
                    <w:snapToGrid w:val="0"/>
                    <w:spacing w:line="240" w:lineRule="auto"/>
                    <w:jc w:val="center"/>
                    <w:rPr>
                      <w:rFonts w:hint="eastAsia"/>
                      <w:color w:val="auto"/>
                      <w:sz w:val="21"/>
                      <w:highlight w:val="none"/>
                    </w:rPr>
                  </w:pPr>
                  <w:r>
                    <w:rPr>
                      <w:rFonts w:hint="eastAsia"/>
                      <w:color w:val="auto"/>
                      <w:sz w:val="21"/>
                      <w:highlight w:val="none"/>
                      <w:lang w:val="en-US" w:eastAsia="zh-CN"/>
                    </w:rPr>
                    <w:t>二级活性炭吸附装置失效</w:t>
                  </w:r>
                  <w:r>
                    <w:rPr>
                      <w:rFonts w:hint="eastAsia"/>
                      <w:color w:val="auto"/>
                      <w:sz w:val="21"/>
                      <w:highlight w:val="none"/>
                    </w:rPr>
                    <w:t>，</w:t>
                  </w:r>
                  <w:r>
                    <w:rPr>
                      <w:rFonts w:hint="eastAsia"/>
                      <w:color w:val="auto"/>
                      <w:sz w:val="21"/>
                      <w:highlight w:val="none"/>
                      <w:lang w:val="en-US" w:eastAsia="zh-CN"/>
                    </w:rPr>
                    <w:t>非甲烷总烃</w:t>
                  </w:r>
                  <w:r>
                    <w:rPr>
                      <w:rFonts w:hint="eastAsia"/>
                      <w:color w:val="auto"/>
                      <w:sz w:val="21"/>
                      <w:highlight w:val="none"/>
                    </w:rPr>
                    <w:t>处理效率降低至0</w:t>
                  </w:r>
                </w:p>
              </w:tc>
              <w:tc>
                <w:tcPr>
                  <w:tcW w:w="915" w:type="dxa"/>
                  <w:vAlign w:val="center"/>
                </w:tcPr>
                <w:p>
                  <w:pPr>
                    <w:widowControl/>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095" w:type="dxa"/>
                  <w:vAlign w:val="center"/>
                </w:tcPr>
                <w:p>
                  <w:pPr>
                    <w:widowControl/>
                    <w:adjustRightInd w:val="0"/>
                    <w:snapToGrid w:val="0"/>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15.2955</w:t>
                  </w:r>
                </w:p>
              </w:tc>
              <w:tc>
                <w:tcPr>
                  <w:tcW w:w="819" w:type="dxa"/>
                  <w:vAlign w:val="center"/>
                </w:tcPr>
                <w:p>
                  <w:pPr>
                    <w:widowControl/>
                    <w:adjustRightInd w:val="0"/>
                    <w:snapToGrid w:val="0"/>
                    <w:spacing w:line="240" w:lineRule="auto"/>
                    <w:jc w:val="center"/>
                    <w:rPr>
                      <w:rFonts w:hint="default" w:eastAsia="宋体"/>
                      <w:color w:val="auto"/>
                      <w:kern w:val="0"/>
                      <w:sz w:val="21"/>
                      <w:highlight w:val="none"/>
                      <w:lang w:val="en-US" w:eastAsia="zh-CN" w:bidi="ar"/>
                    </w:rPr>
                  </w:pPr>
                  <w:r>
                    <w:rPr>
                      <w:rFonts w:hint="eastAsia"/>
                      <w:color w:val="auto"/>
                      <w:kern w:val="0"/>
                      <w:sz w:val="21"/>
                      <w:highlight w:val="none"/>
                      <w:lang w:val="en-US" w:eastAsia="zh-CN" w:bidi="ar"/>
                    </w:rPr>
                    <w:t>1h</w:t>
                  </w:r>
                </w:p>
              </w:tc>
              <w:tc>
                <w:tcPr>
                  <w:tcW w:w="811" w:type="dxa"/>
                  <w:vAlign w:val="center"/>
                </w:tcPr>
                <w:p>
                  <w:pPr>
                    <w:widowControl/>
                    <w:adjustRightInd w:val="0"/>
                    <w:snapToGrid w:val="0"/>
                    <w:spacing w:line="240" w:lineRule="auto"/>
                    <w:jc w:val="center"/>
                    <w:rPr>
                      <w:bCs/>
                      <w:color w:val="auto"/>
                      <w:kern w:val="0"/>
                      <w:sz w:val="21"/>
                      <w:highlight w:val="none"/>
                      <w:lang w:bidi="ar"/>
                    </w:rPr>
                  </w:pPr>
                  <w:r>
                    <w:rPr>
                      <w:bCs/>
                      <w:color w:val="auto"/>
                      <w:kern w:val="0"/>
                      <w:sz w:val="21"/>
                      <w:highlight w:val="none"/>
                      <w:lang w:bidi="ar"/>
                    </w:rPr>
                    <w:t>年发生</w:t>
                  </w:r>
                  <w:r>
                    <w:rPr>
                      <w:rFonts w:hint="eastAsia"/>
                      <w:bCs/>
                      <w:color w:val="auto"/>
                      <w:kern w:val="0"/>
                      <w:sz w:val="21"/>
                      <w:highlight w:val="none"/>
                      <w:lang w:bidi="ar"/>
                    </w:rPr>
                    <w:t>频次</w:t>
                  </w:r>
                  <w:r>
                    <w:rPr>
                      <w:bCs/>
                      <w:color w:val="auto"/>
                      <w:sz w:val="21"/>
                      <w:highlight w:val="none"/>
                    </w:rPr>
                    <w:t>不超过2次</w:t>
                  </w:r>
                </w:p>
              </w:tc>
              <w:tc>
                <w:tcPr>
                  <w:tcW w:w="1570" w:type="dxa"/>
                  <w:vAlign w:val="center"/>
                </w:tcPr>
                <w:p>
                  <w:pPr>
                    <w:widowControl/>
                    <w:adjustRightInd w:val="0"/>
                    <w:snapToGrid w:val="0"/>
                    <w:spacing w:line="240" w:lineRule="auto"/>
                    <w:jc w:val="center"/>
                    <w:rPr>
                      <w:color w:val="auto"/>
                      <w:kern w:val="0"/>
                      <w:sz w:val="21"/>
                      <w:highlight w:val="none"/>
                      <w:lang w:bidi="ar"/>
                    </w:rPr>
                  </w:pPr>
                  <w:r>
                    <w:rPr>
                      <w:color w:val="auto"/>
                      <w:kern w:val="0"/>
                      <w:sz w:val="21"/>
                      <w:highlight w:val="none"/>
                      <w:lang w:bidi="ar"/>
                    </w:rPr>
                    <w:t>定期进行设备维护</w:t>
                  </w:r>
                  <w:r>
                    <w:rPr>
                      <w:rFonts w:hint="eastAsia"/>
                      <w:color w:val="auto"/>
                      <w:kern w:val="0"/>
                      <w:sz w:val="21"/>
                      <w:highlight w:val="none"/>
                      <w:lang w:bidi="ar"/>
                    </w:rPr>
                    <w:t>和保养</w:t>
                  </w:r>
                  <w:r>
                    <w:rPr>
                      <w:color w:val="auto"/>
                      <w:kern w:val="0"/>
                      <w:sz w:val="21"/>
                      <w:highlight w:val="none"/>
                      <w:lang w:bidi="ar"/>
                    </w:rPr>
                    <w:t>，当废气处理装置出现故障不能短时间恢复时停止生产</w:t>
                  </w:r>
                </w:p>
              </w:tc>
            </w:tr>
          </w:tbl>
          <w:p>
            <w:pPr>
              <w:pStyle w:val="14"/>
              <w:adjustRightInd w:val="0"/>
              <w:snapToGrid w:val="0"/>
              <w:spacing w:line="360" w:lineRule="auto"/>
              <w:ind w:firstLine="480" w:firstLineChars="200"/>
              <w:rPr>
                <w:rFonts w:hint="eastAsia"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非正常排放下的各污染物对环境空气影响较正常排放时明显增加，对周边环境有一定影响，要求企业加强生产管理，定期进行设备维护和保养，当废气处理装置出现故障不能短时间恢复时停止生产。</w:t>
            </w:r>
          </w:p>
          <w:p>
            <w:pPr>
              <w:pStyle w:val="14"/>
              <w:adjustRightInd w:val="0"/>
              <w:snapToGrid w:val="0"/>
              <w:spacing w:line="360" w:lineRule="auto"/>
              <w:ind w:firstLine="482" w:firstLineChars="200"/>
              <w:rPr>
                <w:rFonts w:hint="eastAsia"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bCs w:val="0"/>
                <w:color w:val="auto"/>
                <w:kern w:val="2"/>
                <w:sz w:val="24"/>
                <w:szCs w:val="24"/>
                <w:lang w:val="en-US" w:eastAsia="zh-CN" w:bidi="ar-SA"/>
              </w:rPr>
              <w:t>3、无组织废气产生和排放情况</w:t>
            </w:r>
          </w:p>
          <w:p>
            <w:pPr>
              <w:pStyle w:val="14"/>
              <w:adjustRightInd w:val="0"/>
              <w:snapToGrid w:val="0"/>
              <w:spacing w:line="360" w:lineRule="auto"/>
              <w:ind w:firstLine="480" w:firstLineChars="200"/>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cs="Times New Roman"/>
                <w:b w:val="0"/>
                <w:bCs/>
                <w:color w:val="auto"/>
                <w:kern w:val="2"/>
                <w:sz w:val="24"/>
                <w:szCs w:val="24"/>
                <w:lang w:val="en-US" w:eastAsia="zh-CN" w:bidi="ar-SA"/>
              </w:rPr>
              <w:t>全厂</w:t>
            </w:r>
            <w:r>
              <w:rPr>
                <w:rFonts w:hint="eastAsia" w:ascii="Times New Roman" w:hAnsi="Times New Roman" w:eastAsia="宋体" w:cs="Times New Roman"/>
                <w:b w:val="0"/>
                <w:bCs/>
                <w:color w:val="auto"/>
                <w:kern w:val="2"/>
                <w:sz w:val="24"/>
                <w:szCs w:val="24"/>
                <w:lang w:val="en-US" w:eastAsia="zh-CN" w:bidi="ar-SA"/>
              </w:rPr>
              <w:t>无组织废气主要为</w:t>
            </w:r>
            <w:r>
              <w:rPr>
                <w:rFonts w:hint="eastAsia" w:ascii="Times New Roman" w:hAnsi="Times New Roman" w:cs="Times New Roman"/>
                <w:b w:val="0"/>
                <w:bCs/>
                <w:color w:val="auto"/>
                <w:kern w:val="2"/>
                <w:sz w:val="24"/>
                <w:szCs w:val="24"/>
                <w:lang w:val="en-US" w:eastAsia="zh-CN" w:bidi="ar-SA"/>
              </w:rPr>
              <w:t>磨头、敲盖、调胶、上胶、植绒、胶合板刷、灌胶、注塑、浸漆</w:t>
            </w:r>
            <w:r>
              <w:rPr>
                <w:rFonts w:hint="eastAsia" w:ascii="Times New Roman" w:hAnsi="Times New Roman" w:eastAsia="宋体" w:cs="Times New Roman"/>
                <w:b w:val="0"/>
                <w:bCs/>
                <w:color w:val="auto"/>
                <w:kern w:val="2"/>
                <w:sz w:val="24"/>
                <w:szCs w:val="24"/>
                <w:lang w:val="en-US" w:eastAsia="zh-CN" w:bidi="ar-SA"/>
              </w:rPr>
              <w:t>过程中未被收集的废气，无组织废气的产生及排放情况见表4.1-</w:t>
            </w:r>
            <w:r>
              <w:rPr>
                <w:rFonts w:hint="eastAsia" w:ascii="Times New Roman" w:hAnsi="Times New Roman" w:cs="Times New Roman"/>
                <w:b w:val="0"/>
                <w:bCs/>
                <w:color w:val="auto"/>
                <w:kern w:val="2"/>
                <w:sz w:val="24"/>
                <w:szCs w:val="24"/>
                <w:lang w:val="en-US" w:eastAsia="zh-CN" w:bidi="ar-SA"/>
              </w:rPr>
              <w:t>7</w:t>
            </w:r>
            <w:r>
              <w:rPr>
                <w:rFonts w:hint="eastAsia" w:ascii="Times New Roman" w:hAnsi="Times New Roman" w:eastAsia="宋体" w:cs="Times New Roman"/>
                <w:b w:val="0"/>
                <w:bCs/>
                <w:color w:val="auto"/>
                <w:kern w:val="2"/>
                <w:sz w:val="24"/>
                <w:szCs w:val="24"/>
                <w:lang w:val="en-US" w:eastAsia="zh-CN" w:bidi="ar-SA"/>
              </w:rPr>
              <w:t>。</w:t>
            </w:r>
          </w:p>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bCs/>
                <w:color w:val="auto"/>
                <w:sz w:val="24"/>
                <w:szCs w:val="32"/>
              </w:rPr>
            </w:pPr>
            <w:r>
              <w:rPr>
                <w:rFonts w:hint="default" w:ascii="Times New Roman" w:hAnsi="Times New Roman" w:eastAsia="宋体" w:cs="Times New Roman"/>
                <w:b/>
                <w:bCs/>
                <w:color w:val="auto"/>
                <w:sz w:val="24"/>
                <w:szCs w:val="32"/>
              </w:rPr>
              <w:t>表4.</w:t>
            </w:r>
            <w:r>
              <w:rPr>
                <w:rFonts w:hint="default" w:ascii="Times New Roman" w:hAnsi="Times New Roman" w:eastAsia="宋体" w:cs="Times New Roman"/>
                <w:b/>
                <w:bCs/>
                <w:color w:val="auto"/>
                <w:sz w:val="24"/>
                <w:szCs w:val="32"/>
                <w:lang w:val="en-US" w:eastAsia="zh-CN"/>
              </w:rPr>
              <w:t>1-</w:t>
            </w:r>
            <w:r>
              <w:rPr>
                <w:rFonts w:hint="eastAsia" w:cs="Times New Roman"/>
                <w:b/>
                <w:bCs/>
                <w:color w:val="auto"/>
                <w:sz w:val="24"/>
                <w:szCs w:val="32"/>
                <w:lang w:val="en-US" w:eastAsia="zh-CN"/>
              </w:rPr>
              <w:t xml:space="preserve"> 7 全厂</w:t>
            </w:r>
            <w:r>
              <w:rPr>
                <w:rFonts w:hint="default" w:ascii="Times New Roman" w:hAnsi="Times New Roman" w:eastAsia="宋体" w:cs="Times New Roman"/>
                <w:b/>
                <w:bCs/>
                <w:color w:val="auto"/>
                <w:sz w:val="24"/>
                <w:szCs w:val="32"/>
              </w:rPr>
              <w:t>无组织废气产生及排放情况一览表</w:t>
            </w:r>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387"/>
              <w:gridCol w:w="1005"/>
              <w:gridCol w:w="960"/>
              <w:gridCol w:w="1110"/>
              <w:gridCol w:w="1066"/>
              <w:gridCol w:w="15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44" w:hRule="atLeast"/>
                <w:jc w:val="center"/>
              </w:trPr>
              <w:tc>
                <w:tcPr>
                  <w:tcW w:w="827" w:type="dxa"/>
                  <w:noWrap w:val="0"/>
                  <w:vAlign w:val="center"/>
                </w:tcPr>
                <w:p>
                  <w:pPr>
                    <w:adjustRightInd w:val="0"/>
                    <w:snapToGrid w:val="0"/>
                    <w:ind w:left="-105" w:leftChars="-50" w:right="-105" w:rightChars="-50"/>
                    <w:jc w:val="center"/>
                    <w:rPr>
                      <w:color w:val="auto"/>
                      <w:szCs w:val="21"/>
                    </w:rPr>
                  </w:pPr>
                  <w:r>
                    <w:rPr>
                      <w:color w:val="auto"/>
                      <w:szCs w:val="21"/>
                    </w:rPr>
                    <w:t>污染源位置</w:t>
                  </w:r>
                </w:p>
              </w:tc>
              <w:tc>
                <w:tcPr>
                  <w:tcW w:w="1387" w:type="dxa"/>
                  <w:noWrap w:val="0"/>
                  <w:vAlign w:val="center"/>
                </w:tcPr>
                <w:p>
                  <w:pPr>
                    <w:adjustRightInd w:val="0"/>
                    <w:snapToGrid w:val="0"/>
                    <w:ind w:left="-105" w:leftChars="-50" w:right="-105" w:rightChars="-50"/>
                    <w:jc w:val="center"/>
                    <w:rPr>
                      <w:color w:val="auto"/>
                      <w:szCs w:val="21"/>
                    </w:rPr>
                  </w:pPr>
                  <w:r>
                    <w:rPr>
                      <w:color w:val="auto"/>
                      <w:szCs w:val="21"/>
                    </w:rPr>
                    <w:t>污染物名称</w:t>
                  </w:r>
                </w:p>
              </w:tc>
              <w:tc>
                <w:tcPr>
                  <w:tcW w:w="1005" w:type="dxa"/>
                  <w:noWrap w:val="0"/>
                  <w:vAlign w:val="center"/>
                </w:tcPr>
                <w:p>
                  <w:pPr>
                    <w:adjustRightInd w:val="0"/>
                    <w:snapToGrid w:val="0"/>
                    <w:ind w:left="-105" w:leftChars="-50" w:right="-105" w:rightChars="-50"/>
                    <w:jc w:val="center"/>
                    <w:rPr>
                      <w:color w:val="auto"/>
                      <w:szCs w:val="21"/>
                    </w:rPr>
                  </w:pPr>
                  <w:r>
                    <w:rPr>
                      <w:color w:val="auto"/>
                      <w:szCs w:val="21"/>
                    </w:rPr>
                    <w:t>排放量t/a</w:t>
                  </w:r>
                </w:p>
              </w:tc>
              <w:tc>
                <w:tcPr>
                  <w:tcW w:w="960" w:type="dxa"/>
                  <w:noWrap w:val="0"/>
                  <w:vAlign w:val="center"/>
                </w:tcPr>
                <w:p>
                  <w:pPr>
                    <w:adjustRightInd w:val="0"/>
                    <w:snapToGrid w:val="0"/>
                    <w:ind w:left="-105" w:leftChars="-50" w:right="-105" w:rightChars="-50"/>
                    <w:jc w:val="center"/>
                    <w:rPr>
                      <w:color w:val="auto"/>
                      <w:szCs w:val="21"/>
                    </w:rPr>
                  </w:pPr>
                  <w:r>
                    <w:rPr>
                      <w:color w:val="auto"/>
                      <w:szCs w:val="21"/>
                    </w:rPr>
                    <w:t>排放速率kg/h</w:t>
                  </w:r>
                </w:p>
              </w:tc>
              <w:tc>
                <w:tcPr>
                  <w:tcW w:w="1110" w:type="dxa"/>
                  <w:noWrap w:val="0"/>
                  <w:vAlign w:val="center"/>
                </w:tcPr>
                <w:p>
                  <w:pPr>
                    <w:adjustRightInd w:val="0"/>
                    <w:snapToGrid w:val="0"/>
                    <w:ind w:left="-105" w:leftChars="-50" w:right="-105" w:rightChars="-50"/>
                    <w:jc w:val="center"/>
                    <w:rPr>
                      <w:color w:val="auto"/>
                      <w:szCs w:val="21"/>
                    </w:rPr>
                  </w:pPr>
                  <w:r>
                    <w:rPr>
                      <w:rFonts w:hint="eastAsia"/>
                      <w:color w:val="auto"/>
                      <w:szCs w:val="21"/>
                      <w:lang w:val="en-US" w:eastAsia="zh-CN"/>
                    </w:rPr>
                    <w:t>面积</w:t>
                  </w:r>
                  <w:r>
                    <w:rPr>
                      <w:color w:val="auto"/>
                      <w:szCs w:val="21"/>
                    </w:rPr>
                    <w:t>（m</w:t>
                  </w:r>
                  <w:r>
                    <w:rPr>
                      <w:rFonts w:hint="eastAsia"/>
                      <w:color w:val="auto"/>
                      <w:szCs w:val="21"/>
                      <w:vertAlign w:val="superscript"/>
                      <w:lang w:val="en-US" w:eastAsia="zh-CN"/>
                    </w:rPr>
                    <w:t>2</w:t>
                  </w:r>
                  <w:r>
                    <w:rPr>
                      <w:color w:val="auto"/>
                      <w:szCs w:val="21"/>
                    </w:rPr>
                    <w:t>）</w:t>
                  </w:r>
                </w:p>
              </w:tc>
              <w:tc>
                <w:tcPr>
                  <w:tcW w:w="1066" w:type="dxa"/>
                  <w:noWrap w:val="0"/>
                  <w:vAlign w:val="center"/>
                </w:tcPr>
                <w:p>
                  <w:pPr>
                    <w:adjustRightInd w:val="0"/>
                    <w:snapToGrid w:val="0"/>
                    <w:ind w:left="-105" w:leftChars="-50" w:right="-105" w:rightChars="-50"/>
                    <w:jc w:val="center"/>
                    <w:rPr>
                      <w:rFonts w:hint="eastAsia" w:eastAsia="宋体"/>
                      <w:color w:val="auto"/>
                      <w:szCs w:val="21"/>
                      <w:lang w:val="en-US" w:eastAsia="zh-CN"/>
                    </w:rPr>
                  </w:pPr>
                  <w:r>
                    <w:rPr>
                      <w:rFonts w:hint="eastAsia"/>
                      <w:color w:val="auto"/>
                      <w:szCs w:val="21"/>
                      <w:lang w:val="en-US" w:eastAsia="zh-CN"/>
                    </w:rPr>
                    <w:t>排放时间（h）</w:t>
                  </w:r>
                </w:p>
              </w:tc>
              <w:tc>
                <w:tcPr>
                  <w:tcW w:w="1583" w:type="dxa"/>
                  <w:noWrap w:val="0"/>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27" w:type="dxa"/>
                  <w:vMerge w:val="restart"/>
                  <w:noWrap w:val="0"/>
                  <w:vAlign w:val="center"/>
                </w:tcPr>
                <w:p>
                  <w:pPr>
                    <w:adjustRightInd w:val="0"/>
                    <w:snapToGrid w:val="0"/>
                    <w:ind w:left="-105" w:leftChars="-50" w:right="-105" w:rightChars="-50"/>
                    <w:jc w:val="center"/>
                    <w:rPr>
                      <w:rFonts w:hint="default" w:eastAsia="宋体"/>
                      <w:color w:val="auto"/>
                      <w:szCs w:val="21"/>
                      <w:lang w:val="en-US" w:eastAsia="zh-CN"/>
                    </w:rPr>
                  </w:pPr>
                  <w:r>
                    <w:rPr>
                      <w:rStyle w:val="32"/>
                      <w:rFonts w:hint="eastAsia"/>
                      <w:color w:val="auto"/>
                      <w:kern w:val="0"/>
                      <w:szCs w:val="20"/>
                      <w:lang w:val="en-US" w:eastAsia="zh-CN"/>
                    </w:rPr>
                    <w:t>车间一</w:t>
                  </w:r>
                </w:p>
              </w:tc>
              <w:tc>
                <w:tcPr>
                  <w:tcW w:w="1387" w:type="dxa"/>
                  <w:noWrap w:val="0"/>
                  <w:vAlign w:val="center"/>
                </w:tcPr>
                <w:p>
                  <w:pPr>
                    <w:widowControl/>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1005"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w:t>
                  </w:r>
                </w:p>
              </w:tc>
              <w:tc>
                <w:tcPr>
                  <w:tcW w:w="960"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0.6250 </w:t>
                  </w:r>
                </w:p>
              </w:tc>
              <w:tc>
                <w:tcPr>
                  <w:tcW w:w="1110" w:type="dxa"/>
                  <w:vMerge w:val="restart"/>
                  <w:noWrap w:val="0"/>
                  <w:vAlign w:val="center"/>
                </w:tcPr>
                <w:p>
                  <w:pPr>
                    <w:jc w:val="center"/>
                    <w:rPr>
                      <w:rFonts w:hint="default" w:eastAsia="宋体"/>
                      <w:color w:val="auto"/>
                      <w:szCs w:val="21"/>
                      <w:lang w:val="en-US" w:eastAsia="zh-CN"/>
                    </w:rPr>
                  </w:pPr>
                  <w:r>
                    <w:rPr>
                      <w:rFonts w:hint="eastAsia"/>
                      <w:color w:val="auto"/>
                      <w:szCs w:val="21"/>
                      <w:lang w:val="en-US" w:eastAsia="zh-CN"/>
                    </w:rPr>
                    <w:t>4550</w:t>
                  </w:r>
                </w:p>
              </w:tc>
              <w:tc>
                <w:tcPr>
                  <w:tcW w:w="1066" w:type="dxa"/>
                  <w:noWrap w:val="0"/>
                  <w:vAlign w:val="center"/>
                </w:tcPr>
                <w:p>
                  <w:pPr>
                    <w:adjustRightInd w:val="0"/>
                    <w:snapToGrid w:val="0"/>
                    <w:ind w:left="-105" w:leftChars="-50" w:right="-105" w:rightChars="-50"/>
                    <w:jc w:val="center"/>
                    <w:rPr>
                      <w:rFonts w:hint="default"/>
                      <w:color w:val="auto"/>
                      <w:szCs w:val="21"/>
                      <w:lang w:val="en-US" w:eastAsia="zh-CN"/>
                    </w:rPr>
                  </w:pPr>
                  <w:r>
                    <w:rPr>
                      <w:rFonts w:hint="eastAsia"/>
                      <w:color w:val="auto"/>
                      <w:szCs w:val="21"/>
                      <w:lang w:val="en-US" w:eastAsia="zh-CN"/>
                    </w:rPr>
                    <w:t>2400</w:t>
                  </w:r>
                </w:p>
              </w:tc>
              <w:tc>
                <w:tcPr>
                  <w:tcW w:w="1583" w:type="dxa"/>
                  <w:noWrap w:val="0"/>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磨头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27" w:type="dxa"/>
                  <w:vMerge w:val="continue"/>
                  <w:noWrap w:val="0"/>
                  <w:vAlign w:val="center"/>
                </w:tcPr>
                <w:p>
                  <w:pPr>
                    <w:adjustRightInd w:val="0"/>
                    <w:snapToGrid w:val="0"/>
                    <w:ind w:left="-105" w:leftChars="-50" w:right="-105" w:rightChars="-50"/>
                    <w:jc w:val="center"/>
                    <w:rPr>
                      <w:rStyle w:val="32"/>
                      <w:rFonts w:hint="eastAsia"/>
                      <w:color w:val="auto"/>
                      <w:kern w:val="0"/>
                      <w:szCs w:val="20"/>
                      <w:lang w:val="en-US" w:eastAsia="zh-CN"/>
                    </w:rPr>
                  </w:pPr>
                </w:p>
              </w:tc>
              <w:tc>
                <w:tcPr>
                  <w:tcW w:w="1387" w:type="dxa"/>
                  <w:noWrap w:val="0"/>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05" w:type="dxa"/>
                  <w:noWrap w:val="0"/>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i w:val="0"/>
                      <w:iCs w:val="0"/>
                      <w:color w:val="auto"/>
                      <w:kern w:val="0"/>
                      <w:sz w:val="21"/>
                      <w:szCs w:val="21"/>
                      <w:u w:val="none"/>
                      <w:lang w:val="en-US" w:eastAsia="zh-CN" w:bidi="ar"/>
                    </w:rPr>
                    <w:t>0.0048</w:t>
                  </w:r>
                </w:p>
              </w:tc>
              <w:tc>
                <w:tcPr>
                  <w:tcW w:w="960" w:type="dxa"/>
                  <w:noWrap w:val="0"/>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0.00</w:t>
                  </w:r>
                  <w:r>
                    <w:rPr>
                      <w:rFonts w:hint="eastAsia" w:cs="Times New Roman"/>
                      <w:i w:val="0"/>
                      <w:iCs w:val="0"/>
                      <w:color w:val="auto"/>
                      <w:kern w:val="0"/>
                      <w:sz w:val="21"/>
                      <w:szCs w:val="21"/>
                      <w:u w:val="none"/>
                      <w:lang w:val="en-US" w:eastAsia="zh-CN" w:bidi="ar"/>
                    </w:rPr>
                    <w:t>20</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10" w:type="dxa"/>
                  <w:vMerge w:val="continue"/>
                  <w:noWrap w:val="0"/>
                  <w:vAlign w:val="center"/>
                </w:tcPr>
                <w:p>
                  <w:pPr>
                    <w:jc w:val="center"/>
                    <w:rPr>
                      <w:rFonts w:hint="eastAsia" w:eastAsia="宋体"/>
                      <w:color w:val="auto"/>
                      <w:szCs w:val="21"/>
                      <w:lang w:val="en-US" w:eastAsia="zh-CN"/>
                    </w:rPr>
                  </w:pPr>
                </w:p>
              </w:tc>
              <w:tc>
                <w:tcPr>
                  <w:tcW w:w="1066"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2400</w:t>
                  </w:r>
                </w:p>
              </w:tc>
              <w:tc>
                <w:tcPr>
                  <w:tcW w:w="1583" w:type="dxa"/>
                  <w:noWrap w:val="0"/>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调胶、上胶、胶合板刷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827" w:type="dxa"/>
                  <w:vMerge w:val="continue"/>
                  <w:noWrap w:val="0"/>
                  <w:vAlign w:val="center"/>
                </w:tcPr>
                <w:p>
                  <w:pPr>
                    <w:adjustRightInd w:val="0"/>
                    <w:snapToGrid w:val="0"/>
                    <w:ind w:left="-105" w:leftChars="-50" w:right="-105" w:rightChars="-50"/>
                    <w:jc w:val="center"/>
                    <w:rPr>
                      <w:rStyle w:val="32"/>
                      <w:rFonts w:hint="eastAsia"/>
                      <w:color w:val="auto"/>
                      <w:kern w:val="0"/>
                      <w:szCs w:val="20"/>
                      <w:lang w:val="en-US" w:eastAsia="zh-CN"/>
                    </w:rPr>
                  </w:pPr>
                </w:p>
              </w:tc>
              <w:tc>
                <w:tcPr>
                  <w:tcW w:w="1387" w:type="dxa"/>
                  <w:noWrap w:val="0"/>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1005" w:type="dxa"/>
                  <w:noWrap w:val="0"/>
                  <w:vAlign w:val="center"/>
                </w:tcPr>
                <w:p>
                  <w:pPr>
                    <w:jc w:val="center"/>
                    <w:rPr>
                      <w:rFonts w:hint="default"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0.00005</w:t>
                  </w:r>
                </w:p>
              </w:tc>
              <w:tc>
                <w:tcPr>
                  <w:tcW w:w="960" w:type="dxa"/>
                  <w:noWrap w:val="0"/>
                  <w:vAlign w:val="center"/>
                </w:tcPr>
                <w:p>
                  <w:pPr>
                    <w:keepNext w:val="0"/>
                    <w:keepLines w:val="0"/>
                    <w:widowControl/>
                    <w:suppressLineNumbers w:val="0"/>
                    <w:jc w:val="center"/>
                    <w:textAlignment w:val="center"/>
                    <w:rPr>
                      <w:rFonts w:hint="default" w:cs="Times New Roman"/>
                      <w:i w:val="0"/>
                      <w:iCs w:val="0"/>
                      <w:color w:val="auto"/>
                      <w:kern w:val="0"/>
                      <w:sz w:val="21"/>
                      <w:szCs w:val="21"/>
                      <w:u w:val="none"/>
                      <w:lang w:val="en-US" w:eastAsia="zh-CN" w:bidi="ar"/>
                    </w:rPr>
                  </w:pPr>
                  <w:r>
                    <w:rPr>
                      <w:rFonts w:hint="default" w:ascii="Times New Roman" w:hAnsi="Times New Roman" w:eastAsia="宋体" w:cs="Times New Roman"/>
                      <w:i w:val="0"/>
                      <w:iCs w:val="0"/>
                      <w:color w:val="auto"/>
                      <w:kern w:val="0"/>
                      <w:sz w:val="21"/>
                      <w:szCs w:val="21"/>
                      <w:u w:val="none"/>
                      <w:lang w:val="en-US" w:eastAsia="zh-CN" w:bidi="ar"/>
                    </w:rPr>
                    <w:t>0.0000</w:t>
                  </w:r>
                  <w:r>
                    <w:rPr>
                      <w:rFonts w:hint="eastAsia" w:cs="Times New Roman"/>
                      <w:i w:val="0"/>
                      <w:iCs w:val="0"/>
                      <w:color w:val="auto"/>
                      <w:kern w:val="0"/>
                      <w:sz w:val="21"/>
                      <w:szCs w:val="21"/>
                      <w:u w:val="none"/>
                      <w:lang w:val="en-US" w:eastAsia="zh-CN" w:bidi="ar"/>
                    </w:rPr>
                    <w:t>2</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10" w:type="dxa"/>
                  <w:vMerge w:val="continue"/>
                  <w:noWrap w:val="0"/>
                  <w:vAlign w:val="center"/>
                </w:tcPr>
                <w:p>
                  <w:pPr>
                    <w:jc w:val="center"/>
                    <w:rPr>
                      <w:rFonts w:hint="eastAsia" w:eastAsia="宋体"/>
                      <w:color w:val="auto"/>
                      <w:szCs w:val="21"/>
                      <w:lang w:val="en-US" w:eastAsia="zh-CN"/>
                    </w:rPr>
                  </w:pPr>
                </w:p>
              </w:tc>
              <w:tc>
                <w:tcPr>
                  <w:tcW w:w="1066" w:type="dxa"/>
                  <w:noWrap w:val="0"/>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2400</w:t>
                  </w:r>
                </w:p>
              </w:tc>
              <w:tc>
                <w:tcPr>
                  <w:tcW w:w="1583" w:type="dxa"/>
                  <w:noWrap w:val="0"/>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调胶、上胶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7" w:type="dxa"/>
                  <w:vMerge w:val="restart"/>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车间二</w:t>
                  </w:r>
                </w:p>
              </w:tc>
              <w:tc>
                <w:tcPr>
                  <w:tcW w:w="1387" w:type="dxa"/>
                  <w:vAlign w:val="center"/>
                </w:tcPr>
                <w:p>
                  <w:pPr>
                    <w:widowControl/>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1005" w:type="dxa"/>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0.001</w:t>
                  </w:r>
                </w:p>
              </w:tc>
              <w:tc>
                <w:tcPr>
                  <w:tcW w:w="9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0.000</w:t>
                  </w:r>
                  <w:r>
                    <w:rPr>
                      <w:rFonts w:hint="eastAsia" w:cs="Times New Roman"/>
                      <w:i w:val="0"/>
                      <w:iCs w:val="0"/>
                      <w:color w:val="auto"/>
                      <w:kern w:val="0"/>
                      <w:sz w:val="21"/>
                      <w:szCs w:val="21"/>
                      <w:u w:val="none"/>
                      <w:lang w:val="en-US" w:eastAsia="zh-CN" w:bidi="ar"/>
                    </w:rPr>
                    <w:t>4</w:t>
                  </w:r>
                  <w:r>
                    <w:rPr>
                      <w:rFonts w:hint="default" w:ascii="Times New Roman" w:hAnsi="Times New Roman" w:eastAsia="宋体" w:cs="Times New Roman"/>
                      <w:i w:val="0"/>
                      <w:iCs w:val="0"/>
                      <w:color w:val="auto"/>
                      <w:kern w:val="0"/>
                      <w:sz w:val="21"/>
                      <w:szCs w:val="21"/>
                      <w:u w:val="none"/>
                      <w:lang w:val="en-US" w:eastAsia="zh-CN" w:bidi="ar"/>
                    </w:rPr>
                    <w:t xml:space="preserve"> </w:t>
                  </w:r>
                </w:p>
              </w:tc>
              <w:tc>
                <w:tcPr>
                  <w:tcW w:w="1110" w:type="dxa"/>
                  <w:vMerge w:val="restart"/>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4550</w:t>
                  </w:r>
                </w:p>
              </w:tc>
              <w:tc>
                <w:tcPr>
                  <w:tcW w:w="1066" w:type="dxa"/>
                  <w:vAlign w:val="center"/>
                </w:tcPr>
                <w:p>
                  <w:pPr>
                    <w:adjustRightInd w:val="0"/>
                    <w:snapToGrid w:val="0"/>
                    <w:ind w:left="-105" w:leftChars="-50" w:right="-105" w:rightChars="-50"/>
                    <w:jc w:val="center"/>
                    <w:rPr>
                      <w:rFonts w:hint="default"/>
                      <w:color w:val="auto"/>
                      <w:szCs w:val="21"/>
                      <w:lang w:val="en-US" w:eastAsia="zh-CN"/>
                    </w:rPr>
                  </w:pPr>
                  <w:r>
                    <w:rPr>
                      <w:rFonts w:hint="eastAsia"/>
                      <w:color w:val="auto"/>
                      <w:szCs w:val="21"/>
                      <w:lang w:val="en-US" w:eastAsia="zh-CN"/>
                    </w:rPr>
                    <w:t>2400</w:t>
                  </w:r>
                </w:p>
              </w:tc>
              <w:tc>
                <w:tcPr>
                  <w:tcW w:w="1583" w:type="dxa"/>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投料、破碎</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7" w:type="dxa"/>
                  <w:vMerge w:val="continue"/>
                  <w:vAlign w:val="center"/>
                </w:tcPr>
                <w:p>
                  <w:pPr>
                    <w:adjustRightInd w:val="0"/>
                    <w:snapToGrid w:val="0"/>
                    <w:ind w:left="-105" w:leftChars="-50" w:right="-105" w:rightChars="-50"/>
                    <w:jc w:val="center"/>
                    <w:rPr>
                      <w:rFonts w:hint="eastAsia"/>
                      <w:color w:val="auto"/>
                      <w:szCs w:val="21"/>
                      <w:lang w:val="en-US" w:eastAsia="zh-CN"/>
                    </w:rPr>
                  </w:pPr>
                </w:p>
              </w:tc>
              <w:tc>
                <w:tcPr>
                  <w:tcW w:w="1387" w:type="dxa"/>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05" w:type="dxa"/>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0.031</w:t>
                  </w:r>
                </w:p>
              </w:tc>
              <w:tc>
                <w:tcPr>
                  <w:tcW w:w="9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0.0129 </w:t>
                  </w:r>
                </w:p>
              </w:tc>
              <w:tc>
                <w:tcPr>
                  <w:tcW w:w="1110" w:type="dxa"/>
                  <w:vMerge w:val="continue"/>
                  <w:vAlign w:val="center"/>
                </w:tcPr>
                <w:p>
                  <w:pPr>
                    <w:adjustRightInd w:val="0"/>
                    <w:snapToGrid w:val="0"/>
                    <w:ind w:left="-105" w:leftChars="-50" w:right="-105" w:rightChars="-50"/>
                    <w:jc w:val="center"/>
                    <w:rPr>
                      <w:color w:val="auto"/>
                      <w:szCs w:val="21"/>
                    </w:rPr>
                  </w:pPr>
                </w:p>
              </w:tc>
              <w:tc>
                <w:tcPr>
                  <w:tcW w:w="1066"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2400</w:t>
                  </w:r>
                </w:p>
              </w:tc>
              <w:tc>
                <w:tcPr>
                  <w:tcW w:w="1583" w:type="dxa"/>
                  <w:vAlign w:val="center"/>
                </w:tcPr>
                <w:p>
                  <w:pPr>
                    <w:adjustRightInd w:val="0"/>
                    <w:snapToGrid w:val="0"/>
                    <w:ind w:left="-105" w:leftChars="-50" w:right="-105" w:rightChars="-50"/>
                    <w:jc w:val="center"/>
                    <w:rPr>
                      <w:rFonts w:hint="eastAsia"/>
                      <w:color w:val="auto"/>
                      <w:szCs w:val="21"/>
                      <w:lang w:val="en-US" w:eastAsia="zh-CN"/>
                    </w:rPr>
                  </w:pPr>
                  <w:r>
                    <w:rPr>
                      <w:rFonts w:hint="eastAsia"/>
                      <w:color w:val="auto"/>
                      <w:szCs w:val="21"/>
                      <w:lang w:val="en-US" w:eastAsia="zh-CN"/>
                    </w:rPr>
                    <w:t>注塑、灌胶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7"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浸漆房</w:t>
                  </w:r>
                </w:p>
              </w:tc>
              <w:tc>
                <w:tcPr>
                  <w:tcW w:w="1387" w:type="dxa"/>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05" w:type="dxa"/>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0.0627</w:t>
                  </w:r>
                </w:p>
              </w:tc>
              <w:tc>
                <w:tcPr>
                  <w:tcW w:w="9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0.0261 </w:t>
                  </w:r>
                </w:p>
              </w:tc>
              <w:tc>
                <w:tcPr>
                  <w:tcW w:w="1110"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300</w:t>
                  </w:r>
                </w:p>
              </w:tc>
              <w:tc>
                <w:tcPr>
                  <w:tcW w:w="1066"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2400</w:t>
                  </w:r>
                </w:p>
              </w:tc>
              <w:tc>
                <w:tcPr>
                  <w:tcW w:w="1583" w:type="dxa"/>
                  <w:vAlign w:val="center"/>
                </w:tcPr>
                <w:p>
                  <w:pPr>
                    <w:pStyle w:val="23"/>
                    <w:adjustRightInd w:val="0"/>
                    <w:snapToGrid w:val="0"/>
                    <w:spacing w:after="0"/>
                    <w:ind w:right="113" w:rightChars="0" w:firstLine="0" w:firstLineChars="0"/>
                    <w:jc w:val="center"/>
                    <w:rPr>
                      <w:rFonts w:hint="eastAsia"/>
                      <w:color w:val="auto"/>
                      <w:szCs w:val="21"/>
                      <w:lang w:val="en-US" w:eastAsia="zh-CN"/>
                    </w:rPr>
                  </w:pPr>
                  <w:r>
                    <w:rPr>
                      <w:rFonts w:hint="eastAsia"/>
                      <w:color w:val="auto"/>
                      <w:szCs w:val="21"/>
                      <w:lang w:val="en-US" w:eastAsia="zh-CN"/>
                    </w:rPr>
                    <w:t>浸漆、晾干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7" w:type="dxa"/>
                  <w:vAlign w:val="center"/>
                </w:tcPr>
                <w:p>
                  <w:pPr>
                    <w:adjustRightInd w:val="0"/>
                    <w:snapToGrid w:val="0"/>
                    <w:ind w:left="-105" w:leftChars="-50" w:right="-105" w:rightChars="-50"/>
                    <w:jc w:val="center"/>
                    <w:rPr>
                      <w:rFonts w:hint="eastAsia" w:eastAsia="宋体"/>
                      <w:color w:val="auto"/>
                      <w:szCs w:val="21"/>
                      <w:lang w:val="en-US" w:eastAsia="zh-CN"/>
                    </w:rPr>
                  </w:pPr>
                  <w:r>
                    <w:rPr>
                      <w:rFonts w:hint="eastAsia"/>
                      <w:color w:val="auto"/>
                      <w:szCs w:val="21"/>
                      <w:lang w:val="en-US" w:eastAsia="zh-CN"/>
                    </w:rPr>
                    <w:t>植绒间</w:t>
                  </w:r>
                </w:p>
              </w:tc>
              <w:tc>
                <w:tcPr>
                  <w:tcW w:w="1387" w:type="dxa"/>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05" w:type="dxa"/>
                  <w:vAlign w:val="center"/>
                </w:tcPr>
                <w:p>
                  <w:pPr>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0.0078</w:t>
                  </w:r>
                </w:p>
              </w:tc>
              <w:tc>
                <w:tcPr>
                  <w:tcW w:w="960" w:type="dxa"/>
                  <w:vAlign w:val="center"/>
                </w:tcPr>
                <w:p>
                  <w:pPr>
                    <w:keepNext w:val="0"/>
                    <w:keepLines w:val="0"/>
                    <w:widowControl/>
                    <w:suppressLineNumbers w:val="0"/>
                    <w:jc w:val="center"/>
                    <w:textAlignment w:val="center"/>
                    <w:rPr>
                      <w:rFonts w:hint="default" w:ascii="Times New Roman" w:hAnsi="Times New Roman" w:eastAsia="宋体" w:cs="Times New Roman"/>
                      <w:color w:val="auto"/>
                      <w:szCs w:val="21"/>
                      <w:highlight w:val="none"/>
                      <w:lang w:val="en-US" w:eastAsia="zh-CN"/>
                    </w:rPr>
                  </w:pPr>
                  <w:r>
                    <w:rPr>
                      <w:rFonts w:hint="default" w:ascii="Times New Roman" w:hAnsi="Times New Roman" w:eastAsia="宋体" w:cs="Times New Roman"/>
                      <w:i w:val="0"/>
                      <w:iCs w:val="0"/>
                      <w:color w:val="auto"/>
                      <w:kern w:val="0"/>
                      <w:sz w:val="21"/>
                      <w:szCs w:val="21"/>
                      <w:u w:val="none"/>
                      <w:lang w:val="en-US" w:eastAsia="zh-CN" w:bidi="ar"/>
                    </w:rPr>
                    <w:t xml:space="preserve">0.0033 </w:t>
                  </w:r>
                </w:p>
              </w:tc>
              <w:tc>
                <w:tcPr>
                  <w:tcW w:w="1110"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350</w:t>
                  </w:r>
                </w:p>
              </w:tc>
              <w:tc>
                <w:tcPr>
                  <w:tcW w:w="1066" w:type="dxa"/>
                  <w:vAlign w:val="center"/>
                </w:tcPr>
                <w:p>
                  <w:pPr>
                    <w:adjustRightInd w:val="0"/>
                    <w:snapToGrid w:val="0"/>
                    <w:ind w:left="-105" w:leftChars="-50" w:right="-105" w:rightChars="-50"/>
                    <w:jc w:val="center"/>
                    <w:rPr>
                      <w:rFonts w:hint="default" w:eastAsia="宋体"/>
                      <w:color w:val="auto"/>
                      <w:szCs w:val="21"/>
                      <w:lang w:val="en-US" w:eastAsia="zh-CN"/>
                    </w:rPr>
                  </w:pPr>
                  <w:r>
                    <w:rPr>
                      <w:rFonts w:hint="eastAsia"/>
                      <w:color w:val="auto"/>
                      <w:szCs w:val="21"/>
                      <w:lang w:val="en-US" w:eastAsia="zh-CN"/>
                    </w:rPr>
                    <w:t>2400</w:t>
                  </w:r>
                </w:p>
              </w:tc>
              <w:tc>
                <w:tcPr>
                  <w:tcW w:w="1583" w:type="dxa"/>
                  <w:vAlign w:val="center"/>
                </w:tcPr>
                <w:p>
                  <w:pPr>
                    <w:pStyle w:val="23"/>
                    <w:adjustRightInd w:val="0"/>
                    <w:snapToGrid w:val="0"/>
                    <w:spacing w:after="0"/>
                    <w:ind w:right="113" w:rightChars="0" w:firstLine="0" w:firstLineChars="0"/>
                    <w:jc w:val="center"/>
                    <w:rPr>
                      <w:rFonts w:hint="eastAsia"/>
                      <w:color w:val="auto"/>
                      <w:szCs w:val="21"/>
                      <w:lang w:val="en-US" w:eastAsia="zh-CN"/>
                    </w:rPr>
                  </w:pPr>
                  <w:r>
                    <w:rPr>
                      <w:rFonts w:hint="eastAsia"/>
                      <w:color w:val="auto"/>
                      <w:szCs w:val="21"/>
                      <w:lang w:val="en-US" w:eastAsia="zh-CN"/>
                    </w:rPr>
                    <w:t>植绒、烘干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827" w:type="dxa"/>
                  <w:vAlign w:val="center"/>
                </w:tcPr>
                <w:p>
                  <w:pPr>
                    <w:adjustRightInd w:val="0"/>
                    <w:snapToGrid w:val="0"/>
                    <w:ind w:left="-105" w:leftChars="-50" w:right="-105" w:rightChars="-50"/>
                    <w:jc w:val="center"/>
                    <w:rPr>
                      <w:rFonts w:hint="default"/>
                      <w:color w:val="auto"/>
                      <w:szCs w:val="21"/>
                      <w:lang w:val="en-US" w:eastAsia="zh-CN"/>
                    </w:rPr>
                  </w:pPr>
                  <w:r>
                    <w:rPr>
                      <w:rFonts w:hint="eastAsia"/>
                      <w:color w:val="auto"/>
                      <w:szCs w:val="21"/>
                      <w:lang w:val="en-US" w:eastAsia="zh-CN"/>
                    </w:rPr>
                    <w:t>危废仓库</w:t>
                  </w:r>
                </w:p>
              </w:tc>
              <w:tc>
                <w:tcPr>
                  <w:tcW w:w="1387" w:type="dxa"/>
                  <w:vAlign w:val="center"/>
                </w:tcPr>
                <w:p>
                  <w:pPr>
                    <w:widowControl/>
                    <w:jc w:val="center"/>
                    <w:rPr>
                      <w:rFonts w:hint="eastAsia" w:cs="Times New Roman"/>
                      <w:color w:val="auto"/>
                      <w:kern w:val="0"/>
                      <w:szCs w:val="21"/>
                      <w:highlight w:val="none"/>
                      <w:lang w:val="en-US" w:eastAsia="zh-CN"/>
                    </w:rPr>
                  </w:pPr>
                  <w:r>
                    <w:rPr>
                      <w:rFonts w:hint="eastAsia" w:cs="Times New Roman"/>
                      <w:color w:val="auto"/>
                      <w:kern w:val="0"/>
                      <w:szCs w:val="21"/>
                      <w:highlight w:val="none"/>
                      <w:lang w:val="en-US" w:eastAsia="zh-CN"/>
                    </w:rPr>
                    <w:t>非甲烷总烃</w:t>
                  </w:r>
                </w:p>
              </w:tc>
              <w:tc>
                <w:tcPr>
                  <w:tcW w:w="1005" w:type="dxa"/>
                  <w:vAlign w:val="center"/>
                </w:tcPr>
                <w:p>
                  <w:pPr>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0.0108</w:t>
                  </w:r>
                </w:p>
              </w:tc>
              <w:tc>
                <w:tcPr>
                  <w:tcW w:w="960"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auto"/>
                      <w:kern w:val="0"/>
                      <w:sz w:val="21"/>
                      <w:szCs w:val="21"/>
                      <w:u w:val="none"/>
                      <w:lang w:val="en-US" w:eastAsia="zh-CN" w:bidi="ar"/>
                    </w:rPr>
                  </w:pPr>
                  <w:r>
                    <w:rPr>
                      <w:rFonts w:hint="eastAsia" w:cs="Times New Roman"/>
                      <w:i w:val="0"/>
                      <w:iCs w:val="0"/>
                      <w:color w:val="auto"/>
                      <w:kern w:val="0"/>
                      <w:sz w:val="21"/>
                      <w:szCs w:val="21"/>
                      <w:u w:val="none"/>
                      <w:lang w:val="en-US" w:eastAsia="zh-CN" w:bidi="ar"/>
                    </w:rPr>
                    <w:t>0.0012</w:t>
                  </w:r>
                </w:p>
              </w:tc>
              <w:tc>
                <w:tcPr>
                  <w:tcW w:w="1110" w:type="dxa"/>
                  <w:vAlign w:val="center"/>
                </w:tcPr>
                <w:p>
                  <w:pPr>
                    <w:adjustRightInd w:val="0"/>
                    <w:snapToGrid w:val="0"/>
                    <w:ind w:left="-105" w:leftChars="-50" w:right="-105" w:rightChars="-50"/>
                    <w:jc w:val="center"/>
                    <w:rPr>
                      <w:rFonts w:hint="default"/>
                      <w:color w:val="auto"/>
                      <w:szCs w:val="21"/>
                      <w:lang w:val="en-US" w:eastAsia="zh-CN"/>
                    </w:rPr>
                  </w:pPr>
                  <w:r>
                    <w:rPr>
                      <w:rFonts w:hint="eastAsia"/>
                      <w:color w:val="auto"/>
                      <w:szCs w:val="21"/>
                      <w:lang w:val="en-US" w:eastAsia="zh-CN"/>
                    </w:rPr>
                    <w:t>20</w:t>
                  </w:r>
                </w:p>
              </w:tc>
              <w:tc>
                <w:tcPr>
                  <w:tcW w:w="1066" w:type="dxa"/>
                  <w:vAlign w:val="center"/>
                </w:tcPr>
                <w:p>
                  <w:pPr>
                    <w:adjustRightInd w:val="0"/>
                    <w:snapToGrid w:val="0"/>
                    <w:ind w:left="-105" w:leftChars="-50" w:right="-105" w:rightChars="-50"/>
                    <w:jc w:val="center"/>
                    <w:rPr>
                      <w:rFonts w:hint="default"/>
                      <w:color w:val="auto"/>
                      <w:szCs w:val="21"/>
                      <w:lang w:val="en-US" w:eastAsia="zh-CN"/>
                    </w:rPr>
                  </w:pPr>
                  <w:r>
                    <w:rPr>
                      <w:rFonts w:hint="eastAsia"/>
                      <w:color w:val="auto"/>
                      <w:szCs w:val="21"/>
                      <w:lang w:val="en-US" w:eastAsia="zh-CN"/>
                    </w:rPr>
                    <w:t>8760</w:t>
                  </w:r>
                </w:p>
              </w:tc>
              <w:tc>
                <w:tcPr>
                  <w:tcW w:w="1583" w:type="dxa"/>
                  <w:vAlign w:val="center"/>
                </w:tcPr>
                <w:p>
                  <w:pPr>
                    <w:pStyle w:val="23"/>
                    <w:adjustRightInd w:val="0"/>
                    <w:snapToGrid w:val="0"/>
                    <w:spacing w:after="0"/>
                    <w:ind w:right="113" w:rightChars="0" w:firstLine="0" w:firstLineChars="0"/>
                    <w:jc w:val="center"/>
                    <w:rPr>
                      <w:rFonts w:hint="default"/>
                      <w:color w:val="auto"/>
                      <w:szCs w:val="21"/>
                      <w:lang w:val="en-US" w:eastAsia="zh-CN"/>
                    </w:rPr>
                  </w:pPr>
                  <w:r>
                    <w:rPr>
                      <w:rFonts w:hint="eastAsia"/>
                      <w:color w:val="auto"/>
                      <w:szCs w:val="21"/>
                      <w:lang w:val="en-US" w:eastAsia="zh-CN"/>
                    </w:rPr>
                    <w:t>危废暂存</w:t>
                  </w:r>
                </w:p>
              </w:tc>
            </w:tr>
          </w:tbl>
          <w:p>
            <w:pPr>
              <w:autoSpaceDE w:val="0"/>
              <w:autoSpaceDN w:val="0"/>
              <w:adjustRightInd w:val="0"/>
              <w:snapToGrid w:val="0"/>
              <w:spacing w:line="360" w:lineRule="auto"/>
              <w:ind w:firstLine="482"/>
              <w:jc w:val="left"/>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bCs w:val="0"/>
                <w:color w:val="auto"/>
                <w:kern w:val="2"/>
                <w:sz w:val="24"/>
                <w:szCs w:val="24"/>
                <w:lang w:val="en-US" w:eastAsia="zh-CN" w:bidi="ar-SA"/>
              </w:rPr>
              <w:t>4、大气污染源监测计划</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eastAsia" w:cs="Times New Roman"/>
                <w:b w:val="0"/>
                <w:bCs/>
                <w:color w:val="auto"/>
                <w:kern w:val="2"/>
                <w:sz w:val="24"/>
                <w:szCs w:val="24"/>
                <w:lang w:val="en-US" w:eastAsia="zh-CN" w:bidi="ar-SA"/>
              </w:rPr>
              <w:t>①自行监测计划</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对照《排污单位自行监测技术指南 总则》（HJ819-2017）企业不属于重点排污单位，对照《排污单位自行监测技术指南 总则》（HJ819-2017）、《排污单位自行监测技术指南</w:t>
            </w:r>
            <w:r>
              <w:rPr>
                <w:rFonts w:hint="eastAsia" w:cs="Times New Roman"/>
                <w:b w:val="0"/>
                <w:bCs/>
                <w:color w:val="auto"/>
                <w:kern w:val="2"/>
                <w:sz w:val="24"/>
                <w:szCs w:val="24"/>
                <w:lang w:val="en-US" w:eastAsia="zh-CN" w:bidi="ar-SA"/>
              </w:rPr>
              <w:t xml:space="preserve"> </w:t>
            </w:r>
            <w:r>
              <w:rPr>
                <w:rFonts w:hint="eastAsia" w:eastAsia="宋体" w:cs="Times New Roman"/>
                <w:b w:val="0"/>
                <w:bCs/>
                <w:color w:val="auto"/>
                <w:kern w:val="2"/>
                <w:sz w:val="24"/>
                <w:szCs w:val="24"/>
                <w:lang w:val="en-US" w:eastAsia="zh-CN" w:bidi="ar-SA"/>
              </w:rPr>
              <w:t>涂装</w:t>
            </w:r>
            <w:r>
              <w:rPr>
                <w:rFonts w:hint="eastAsia" w:ascii="Times New Roman" w:hAnsi="Times New Roman" w:eastAsia="宋体" w:cs="Times New Roman"/>
                <w:b w:val="0"/>
                <w:bCs/>
                <w:color w:val="auto"/>
                <w:kern w:val="2"/>
                <w:sz w:val="24"/>
                <w:szCs w:val="24"/>
                <w:lang w:val="en-US" w:eastAsia="zh-CN" w:bidi="ar-SA"/>
              </w:rPr>
              <w:t>》（HJ</w:t>
            </w:r>
            <w:r>
              <w:rPr>
                <w:rFonts w:hint="eastAsia" w:eastAsia="宋体" w:cs="Times New Roman"/>
                <w:b w:val="0"/>
                <w:bCs/>
                <w:color w:val="auto"/>
                <w:kern w:val="2"/>
                <w:sz w:val="24"/>
                <w:szCs w:val="24"/>
                <w:lang w:val="en-US" w:eastAsia="zh-CN" w:bidi="ar-SA"/>
              </w:rPr>
              <w:t>1086</w:t>
            </w:r>
            <w:r>
              <w:rPr>
                <w:rFonts w:hint="eastAsia" w:ascii="Times New Roman" w:hAnsi="Times New Roman" w:eastAsia="宋体" w:cs="Times New Roman"/>
                <w:b w:val="0"/>
                <w:bCs/>
                <w:color w:val="auto"/>
                <w:kern w:val="2"/>
                <w:sz w:val="24"/>
                <w:szCs w:val="24"/>
                <w:lang w:val="en-US" w:eastAsia="zh-CN" w:bidi="ar-SA"/>
              </w:rPr>
              <w:t>-20</w:t>
            </w:r>
            <w:r>
              <w:rPr>
                <w:rFonts w:hint="eastAsia" w:eastAsia="宋体" w:cs="Times New Roman"/>
                <w:b w:val="0"/>
                <w:bCs/>
                <w:color w:val="auto"/>
                <w:kern w:val="2"/>
                <w:sz w:val="24"/>
                <w:szCs w:val="24"/>
                <w:lang w:val="en-US" w:eastAsia="zh-CN" w:bidi="ar-SA"/>
              </w:rPr>
              <w:t>20</w:t>
            </w:r>
            <w:r>
              <w:rPr>
                <w:rFonts w:hint="eastAsia" w:ascii="Times New Roman" w:hAnsi="Times New Roman" w:eastAsia="宋体" w:cs="Times New Roman"/>
                <w:b w:val="0"/>
                <w:bCs/>
                <w:color w:val="auto"/>
                <w:kern w:val="2"/>
                <w:sz w:val="24"/>
                <w:szCs w:val="24"/>
                <w:lang w:val="en-US" w:eastAsia="zh-CN" w:bidi="ar-SA"/>
              </w:rPr>
              <w:t>）要求的自行监测频次，大气污染源监测计划见表4.1-</w:t>
            </w:r>
            <w:r>
              <w:rPr>
                <w:rFonts w:hint="eastAsia" w:cs="Times New Roman"/>
                <w:b w:val="0"/>
                <w:bCs/>
                <w:color w:val="auto"/>
                <w:kern w:val="2"/>
                <w:sz w:val="24"/>
                <w:szCs w:val="24"/>
                <w:lang w:val="en-US" w:eastAsia="zh-CN" w:bidi="ar-SA"/>
              </w:rPr>
              <w:t>8</w:t>
            </w:r>
            <w:r>
              <w:rPr>
                <w:rFonts w:hint="eastAsia" w:ascii="Times New Roman" w:hAnsi="Times New Roman" w:eastAsia="宋体" w:cs="Times New Roman"/>
                <w:b w:val="0"/>
                <w:bCs/>
                <w:color w:val="auto"/>
                <w:kern w:val="2"/>
                <w:sz w:val="24"/>
                <w:szCs w:val="24"/>
                <w:lang w:val="en-US" w:eastAsia="zh-CN" w:bidi="ar-SA"/>
              </w:rPr>
              <w:t>。</w:t>
            </w:r>
          </w:p>
          <w:p>
            <w:pPr>
              <w:jc w:val="center"/>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 xml:space="preserve">8 </w:t>
            </w:r>
            <w:r>
              <w:rPr>
                <w:rFonts w:hint="eastAsia" w:ascii="Times New Roman" w:hAnsi="Times New Roman" w:cs="Times New Roman"/>
                <w:b/>
                <w:bCs/>
                <w:color w:val="auto"/>
                <w:sz w:val="24"/>
                <w:szCs w:val="32"/>
                <w:highlight w:val="none"/>
                <w:lang w:val="en-US" w:eastAsia="zh-CN"/>
              </w:rPr>
              <w:t>大气污染源监测计划</w:t>
            </w:r>
          </w:p>
          <w:tbl>
            <w:tblPr>
              <w:tblStyle w:val="26"/>
              <w:tblW w:w="7932"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52"/>
              <w:gridCol w:w="509"/>
              <w:gridCol w:w="1346"/>
              <w:gridCol w:w="1347"/>
              <w:gridCol w:w="1136"/>
              <w:gridCol w:w="294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2" w:type="dxa"/>
                  <w:vAlign w:val="center"/>
                </w:tcPr>
                <w:p>
                  <w:pPr>
                    <w:spacing w:line="240" w:lineRule="auto"/>
                    <w:jc w:val="center"/>
                    <w:rPr>
                      <w:b/>
                      <w:bCs/>
                      <w:color w:val="auto"/>
                      <w:sz w:val="21"/>
                      <w:highlight w:val="none"/>
                    </w:rPr>
                  </w:pPr>
                  <w:r>
                    <w:rPr>
                      <w:rFonts w:hint="eastAsia"/>
                      <w:b/>
                      <w:bCs/>
                      <w:color w:val="auto"/>
                      <w:sz w:val="21"/>
                      <w:highlight w:val="none"/>
                    </w:rPr>
                    <w:t>类别</w:t>
                  </w:r>
                </w:p>
              </w:tc>
              <w:tc>
                <w:tcPr>
                  <w:tcW w:w="1855" w:type="dxa"/>
                  <w:gridSpan w:val="2"/>
                  <w:vAlign w:val="center"/>
                </w:tcPr>
                <w:p>
                  <w:pPr>
                    <w:spacing w:line="240" w:lineRule="auto"/>
                    <w:jc w:val="center"/>
                    <w:rPr>
                      <w:b/>
                      <w:bCs/>
                      <w:color w:val="auto"/>
                      <w:sz w:val="21"/>
                      <w:highlight w:val="none"/>
                    </w:rPr>
                  </w:pPr>
                  <w:r>
                    <w:rPr>
                      <w:rFonts w:hint="eastAsia"/>
                      <w:b/>
                      <w:bCs/>
                      <w:color w:val="auto"/>
                      <w:sz w:val="21"/>
                      <w:highlight w:val="none"/>
                    </w:rPr>
                    <w:t>监测位置</w:t>
                  </w:r>
                </w:p>
              </w:tc>
              <w:tc>
                <w:tcPr>
                  <w:tcW w:w="1347" w:type="dxa"/>
                  <w:vAlign w:val="center"/>
                </w:tcPr>
                <w:p>
                  <w:pPr>
                    <w:spacing w:line="240" w:lineRule="auto"/>
                    <w:jc w:val="center"/>
                    <w:rPr>
                      <w:b/>
                      <w:bCs/>
                      <w:color w:val="auto"/>
                      <w:sz w:val="21"/>
                      <w:highlight w:val="none"/>
                    </w:rPr>
                  </w:pPr>
                  <w:r>
                    <w:rPr>
                      <w:rFonts w:hint="eastAsia"/>
                      <w:b/>
                      <w:bCs/>
                      <w:color w:val="auto"/>
                      <w:sz w:val="21"/>
                      <w:highlight w:val="none"/>
                    </w:rPr>
                    <w:t>监测项目</w:t>
                  </w:r>
                </w:p>
              </w:tc>
              <w:tc>
                <w:tcPr>
                  <w:tcW w:w="1136" w:type="dxa"/>
                  <w:vAlign w:val="center"/>
                </w:tcPr>
                <w:p>
                  <w:pPr>
                    <w:spacing w:line="240" w:lineRule="auto"/>
                    <w:jc w:val="center"/>
                    <w:rPr>
                      <w:b/>
                      <w:bCs/>
                      <w:color w:val="auto"/>
                      <w:sz w:val="21"/>
                      <w:highlight w:val="none"/>
                    </w:rPr>
                  </w:pPr>
                  <w:r>
                    <w:rPr>
                      <w:rFonts w:hint="eastAsia"/>
                      <w:b/>
                      <w:bCs/>
                      <w:color w:val="auto"/>
                      <w:sz w:val="21"/>
                      <w:highlight w:val="none"/>
                    </w:rPr>
                    <w:t>监测频次</w:t>
                  </w:r>
                </w:p>
              </w:tc>
              <w:tc>
                <w:tcPr>
                  <w:tcW w:w="2942" w:type="dxa"/>
                  <w:vAlign w:val="center"/>
                </w:tcPr>
                <w:p>
                  <w:pPr>
                    <w:spacing w:line="240" w:lineRule="auto"/>
                    <w:jc w:val="center"/>
                    <w:rPr>
                      <w:b/>
                      <w:bCs/>
                      <w:color w:val="auto"/>
                      <w:sz w:val="21"/>
                      <w:highlight w:val="none"/>
                    </w:rPr>
                  </w:pPr>
                  <w:r>
                    <w:rPr>
                      <w:rFonts w:hint="eastAsia"/>
                      <w:b/>
                      <w:bCs/>
                      <w:color w:val="auto"/>
                      <w:sz w:val="21"/>
                      <w:highlight w:val="none"/>
                    </w:rPr>
                    <w:t>执行排放标准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2" w:type="dxa"/>
                  <w:vMerge w:val="restart"/>
                  <w:vAlign w:val="center"/>
                </w:tcPr>
                <w:p>
                  <w:pPr>
                    <w:spacing w:line="240" w:lineRule="auto"/>
                    <w:jc w:val="center"/>
                    <w:rPr>
                      <w:color w:val="auto"/>
                      <w:sz w:val="21"/>
                      <w:highlight w:val="none"/>
                    </w:rPr>
                  </w:pPr>
                  <w:r>
                    <w:rPr>
                      <w:rFonts w:hint="eastAsia"/>
                      <w:color w:val="auto"/>
                      <w:sz w:val="21"/>
                      <w:highlight w:val="none"/>
                    </w:rPr>
                    <w:t>废气</w:t>
                  </w:r>
                </w:p>
              </w:tc>
              <w:tc>
                <w:tcPr>
                  <w:tcW w:w="509" w:type="dxa"/>
                  <w:vMerge w:val="restart"/>
                  <w:vAlign w:val="center"/>
                </w:tcPr>
                <w:p>
                  <w:pPr>
                    <w:spacing w:line="240" w:lineRule="auto"/>
                    <w:jc w:val="center"/>
                    <w:rPr>
                      <w:color w:val="auto"/>
                      <w:sz w:val="21"/>
                      <w:highlight w:val="none"/>
                    </w:rPr>
                  </w:pPr>
                  <w:r>
                    <w:rPr>
                      <w:rFonts w:hint="eastAsia"/>
                      <w:color w:val="auto"/>
                      <w:sz w:val="21"/>
                      <w:highlight w:val="none"/>
                    </w:rPr>
                    <w:t>有组织</w:t>
                  </w:r>
                </w:p>
              </w:tc>
              <w:tc>
                <w:tcPr>
                  <w:tcW w:w="1346"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sz w:val="21"/>
                      <w:szCs w:val="21"/>
                      <w:highlight w:val="none"/>
                      <w:lang w:val="en-US"/>
                    </w:rPr>
                  </w:pPr>
                  <w:r>
                    <w:rPr>
                      <w:rFonts w:hint="eastAsia"/>
                      <w:color w:val="auto"/>
                      <w:sz w:val="21"/>
                      <w:szCs w:val="21"/>
                      <w:highlight w:val="none"/>
                      <w:lang w:val="en-US" w:eastAsia="zh-CN"/>
                    </w:rPr>
                    <w:t>DA001</w:t>
                  </w:r>
                </w:p>
              </w:tc>
              <w:tc>
                <w:tcPr>
                  <w:tcW w:w="1347"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颗粒物、非甲烷总烃</w:t>
                  </w:r>
                </w:p>
              </w:tc>
              <w:tc>
                <w:tcPr>
                  <w:tcW w:w="1136" w:type="dxa"/>
                  <w:vAlign w:val="center"/>
                </w:tcPr>
                <w:p>
                  <w:pPr>
                    <w:spacing w:line="240" w:lineRule="auto"/>
                    <w:jc w:val="center"/>
                    <w:rPr>
                      <w:color w:val="auto"/>
                      <w:sz w:val="21"/>
                      <w:szCs w:val="21"/>
                      <w:highlight w:val="none"/>
                    </w:rPr>
                  </w:pPr>
                  <w:r>
                    <w:rPr>
                      <w:rFonts w:hint="eastAsia"/>
                      <w:color w:val="auto"/>
                      <w:sz w:val="21"/>
                      <w:szCs w:val="21"/>
                      <w:highlight w:val="none"/>
                      <w:lang w:val="en-US" w:eastAsia="zh-CN"/>
                    </w:rPr>
                    <w:t>1次/年</w:t>
                  </w:r>
                </w:p>
              </w:tc>
              <w:tc>
                <w:tcPr>
                  <w:tcW w:w="2942"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2" w:type="dxa"/>
                  <w:vMerge w:val="continue"/>
                  <w:vAlign w:val="center"/>
                </w:tcPr>
                <w:p>
                  <w:pPr>
                    <w:spacing w:line="240" w:lineRule="auto"/>
                    <w:jc w:val="center"/>
                    <w:rPr>
                      <w:rFonts w:hint="eastAsia"/>
                      <w:color w:val="auto"/>
                      <w:sz w:val="21"/>
                      <w:highlight w:val="none"/>
                    </w:rPr>
                  </w:pPr>
                </w:p>
              </w:tc>
              <w:tc>
                <w:tcPr>
                  <w:tcW w:w="509" w:type="dxa"/>
                  <w:vMerge w:val="continue"/>
                  <w:vAlign w:val="center"/>
                </w:tcPr>
                <w:p>
                  <w:pPr>
                    <w:spacing w:line="240" w:lineRule="auto"/>
                    <w:jc w:val="center"/>
                    <w:rPr>
                      <w:rFonts w:hint="eastAsia"/>
                      <w:color w:val="auto"/>
                      <w:sz w:val="21"/>
                      <w:highlight w:val="none"/>
                    </w:rPr>
                  </w:pPr>
                </w:p>
              </w:tc>
              <w:tc>
                <w:tcPr>
                  <w:tcW w:w="1346"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p>
              </w:tc>
              <w:tc>
                <w:tcPr>
                  <w:tcW w:w="1347"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MDI</w:t>
                  </w:r>
                </w:p>
              </w:tc>
              <w:tc>
                <w:tcPr>
                  <w:tcW w:w="1136"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1次/年</w:t>
                  </w:r>
                </w:p>
              </w:tc>
              <w:tc>
                <w:tcPr>
                  <w:tcW w:w="2942" w:type="dxa"/>
                  <w:vAlign w:val="center"/>
                </w:tcPr>
                <w:p>
                  <w:pPr>
                    <w:spacing w:line="240" w:lineRule="auto"/>
                    <w:jc w:val="center"/>
                    <w:rPr>
                      <w:rFonts w:hint="eastAsia"/>
                      <w:color w:val="auto"/>
                      <w:sz w:val="21"/>
                      <w:szCs w:val="21"/>
                      <w:highlight w:val="none"/>
                      <w:lang w:val="en-US" w:eastAsia="zh-CN"/>
                    </w:rPr>
                  </w:pPr>
                  <w:r>
                    <w:rPr>
                      <w:rFonts w:hint="eastAsia"/>
                      <w:color w:val="auto"/>
                      <w:szCs w:val="21"/>
                    </w:rPr>
                    <w:t>《</w:t>
                  </w:r>
                  <w:r>
                    <w:rPr>
                      <w:rFonts w:hint="eastAsia"/>
                      <w:color w:val="auto"/>
                      <w:szCs w:val="21"/>
                      <w:lang w:eastAsia="zh-CN"/>
                    </w:rPr>
                    <w:t>合成树脂工业污染物排放标准</w:t>
                  </w:r>
                  <w:r>
                    <w:rPr>
                      <w:rFonts w:hint="eastAsia"/>
                      <w:color w:val="auto"/>
                      <w:szCs w:val="21"/>
                    </w:rPr>
                    <w:t>》（GB31572-2015）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652" w:type="dxa"/>
                  <w:vMerge w:val="continue"/>
                  <w:vAlign w:val="center"/>
                </w:tcPr>
                <w:p>
                  <w:pPr>
                    <w:spacing w:line="240" w:lineRule="auto"/>
                    <w:jc w:val="center"/>
                    <w:rPr>
                      <w:rFonts w:hint="eastAsia"/>
                      <w:color w:val="auto"/>
                      <w:sz w:val="21"/>
                      <w:highlight w:val="none"/>
                    </w:rPr>
                  </w:pPr>
                </w:p>
              </w:tc>
              <w:tc>
                <w:tcPr>
                  <w:tcW w:w="509" w:type="dxa"/>
                  <w:vMerge w:val="continue"/>
                  <w:vAlign w:val="center"/>
                </w:tcPr>
                <w:p>
                  <w:pPr>
                    <w:spacing w:line="240" w:lineRule="auto"/>
                    <w:jc w:val="center"/>
                    <w:rPr>
                      <w:rFonts w:hint="eastAsia"/>
                      <w:color w:val="auto"/>
                      <w:sz w:val="21"/>
                      <w:highlight w:val="none"/>
                    </w:rPr>
                  </w:pPr>
                </w:p>
              </w:tc>
              <w:tc>
                <w:tcPr>
                  <w:tcW w:w="1346" w:type="dxa"/>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sz w:val="21"/>
                      <w:szCs w:val="21"/>
                      <w:highlight w:val="none"/>
                      <w:lang w:val="en-US" w:eastAsia="zh-CN"/>
                    </w:rPr>
                  </w:pPr>
                  <w:r>
                    <w:rPr>
                      <w:rFonts w:hint="eastAsia"/>
                      <w:color w:val="auto"/>
                      <w:sz w:val="21"/>
                      <w:szCs w:val="21"/>
                      <w:highlight w:val="none"/>
                      <w:lang w:val="en-US" w:eastAsia="zh-CN"/>
                    </w:rPr>
                    <w:t>DA002</w:t>
                  </w:r>
                </w:p>
              </w:tc>
              <w:tc>
                <w:tcPr>
                  <w:tcW w:w="1347"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136"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1次/年</w:t>
                  </w:r>
                </w:p>
              </w:tc>
              <w:tc>
                <w:tcPr>
                  <w:tcW w:w="2942"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《工业涂装工序大气污染物排放标准》（DB32/4439-2022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PrEx>
              <w:trPr>
                <w:jc w:val="center"/>
              </w:trPr>
              <w:tc>
                <w:tcPr>
                  <w:tcW w:w="652" w:type="dxa"/>
                  <w:vMerge w:val="continue"/>
                  <w:vAlign w:val="center"/>
                </w:tcPr>
                <w:p>
                  <w:pPr>
                    <w:spacing w:line="240" w:lineRule="auto"/>
                    <w:jc w:val="center"/>
                    <w:rPr>
                      <w:color w:val="auto"/>
                      <w:sz w:val="21"/>
                      <w:highlight w:val="none"/>
                    </w:rPr>
                  </w:pPr>
                </w:p>
              </w:tc>
              <w:tc>
                <w:tcPr>
                  <w:tcW w:w="509" w:type="dxa"/>
                  <w:vMerge w:val="restart"/>
                  <w:vAlign w:val="center"/>
                </w:tcPr>
                <w:p>
                  <w:pPr>
                    <w:spacing w:line="240" w:lineRule="auto"/>
                    <w:jc w:val="center"/>
                    <w:rPr>
                      <w:rFonts w:hint="eastAsia" w:eastAsia="宋体"/>
                      <w:color w:val="auto"/>
                      <w:sz w:val="21"/>
                      <w:highlight w:val="none"/>
                      <w:lang w:val="en-US" w:eastAsia="zh-CN"/>
                    </w:rPr>
                  </w:pPr>
                  <w:r>
                    <w:rPr>
                      <w:rFonts w:hint="eastAsia"/>
                      <w:color w:val="auto"/>
                      <w:sz w:val="21"/>
                      <w:highlight w:val="none"/>
                      <w:lang w:val="en-US" w:eastAsia="zh-CN"/>
                    </w:rPr>
                    <w:t>无组织</w:t>
                  </w:r>
                </w:p>
              </w:tc>
              <w:tc>
                <w:tcPr>
                  <w:tcW w:w="1346" w:type="dxa"/>
                  <w:vMerge w:val="restart"/>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厂界</w:t>
                  </w:r>
                </w:p>
              </w:tc>
              <w:tc>
                <w:tcPr>
                  <w:tcW w:w="1347"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颗粒物</w:t>
                  </w:r>
                </w:p>
              </w:tc>
              <w:tc>
                <w:tcPr>
                  <w:tcW w:w="1136" w:type="dxa"/>
                  <w:vAlign w:val="center"/>
                </w:tcPr>
                <w:p>
                  <w:pPr>
                    <w:spacing w:line="240" w:lineRule="auto"/>
                    <w:jc w:val="center"/>
                    <w:rPr>
                      <w:rFonts w:hint="default"/>
                      <w:color w:val="auto"/>
                      <w:sz w:val="21"/>
                      <w:szCs w:val="21"/>
                      <w:highlight w:val="none"/>
                      <w:lang w:val="en-US"/>
                    </w:rPr>
                  </w:pPr>
                  <w:r>
                    <w:rPr>
                      <w:rFonts w:hint="eastAsia"/>
                      <w:color w:val="auto"/>
                      <w:sz w:val="21"/>
                      <w:szCs w:val="21"/>
                      <w:highlight w:val="none"/>
                      <w:lang w:val="en-US" w:eastAsia="zh-CN"/>
                    </w:rPr>
                    <w:t>1次/半年</w:t>
                  </w:r>
                </w:p>
              </w:tc>
              <w:tc>
                <w:tcPr>
                  <w:tcW w:w="2942" w:type="dxa"/>
                  <w:vMerge w:val="restart"/>
                  <w:vAlign w:val="center"/>
                </w:tcPr>
                <w:p>
                  <w:pPr>
                    <w:spacing w:line="240" w:lineRule="auto"/>
                    <w:jc w:val="center"/>
                    <w:rPr>
                      <w:rFonts w:hint="eastAsia"/>
                      <w:color w:val="auto"/>
                      <w:sz w:val="21"/>
                      <w:szCs w:val="21"/>
                      <w:highlight w:val="none"/>
                    </w:rPr>
                  </w:pPr>
                  <w:r>
                    <w:rPr>
                      <w:rFonts w:hint="eastAsia"/>
                      <w:color w:val="auto"/>
                      <w:sz w:val="21"/>
                      <w:szCs w:val="21"/>
                      <w:highlight w:val="none"/>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2" w:type="dxa"/>
                  <w:vMerge w:val="continue"/>
                  <w:vAlign w:val="center"/>
                </w:tcPr>
                <w:p>
                  <w:pPr>
                    <w:spacing w:line="240" w:lineRule="auto"/>
                    <w:jc w:val="center"/>
                    <w:rPr>
                      <w:color w:val="auto"/>
                      <w:sz w:val="21"/>
                      <w:highlight w:val="none"/>
                    </w:rPr>
                  </w:pPr>
                </w:p>
              </w:tc>
              <w:tc>
                <w:tcPr>
                  <w:tcW w:w="509" w:type="dxa"/>
                  <w:vMerge w:val="continue"/>
                  <w:vAlign w:val="center"/>
                </w:tcPr>
                <w:p>
                  <w:pPr>
                    <w:spacing w:line="240" w:lineRule="auto"/>
                    <w:jc w:val="center"/>
                    <w:rPr>
                      <w:color w:val="auto"/>
                      <w:sz w:val="21"/>
                      <w:highlight w:val="none"/>
                    </w:rPr>
                  </w:pPr>
                </w:p>
              </w:tc>
              <w:tc>
                <w:tcPr>
                  <w:tcW w:w="1346" w:type="dxa"/>
                  <w:vMerge w:val="continue"/>
                  <w:vAlign w:val="center"/>
                </w:tcPr>
                <w:p>
                  <w:pPr>
                    <w:spacing w:line="240" w:lineRule="auto"/>
                    <w:jc w:val="center"/>
                    <w:rPr>
                      <w:rFonts w:hint="eastAsia"/>
                      <w:color w:val="auto"/>
                      <w:sz w:val="21"/>
                      <w:szCs w:val="21"/>
                      <w:highlight w:val="none"/>
                      <w:lang w:val="en-US" w:eastAsia="zh-CN"/>
                    </w:rPr>
                  </w:pPr>
                </w:p>
              </w:tc>
              <w:tc>
                <w:tcPr>
                  <w:tcW w:w="1347"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136" w:type="dxa"/>
                  <w:vAlign w:val="center"/>
                </w:tcPr>
                <w:p>
                  <w:pPr>
                    <w:spacing w:line="240" w:lineRule="auto"/>
                    <w:jc w:val="center"/>
                    <w:rPr>
                      <w:rFonts w:hint="eastAsia"/>
                      <w:color w:val="auto"/>
                      <w:sz w:val="21"/>
                      <w:szCs w:val="21"/>
                      <w:highlight w:val="none"/>
                      <w:lang w:val="en-US" w:eastAsia="zh-CN"/>
                    </w:rPr>
                  </w:pPr>
                  <w:r>
                    <w:rPr>
                      <w:rFonts w:hint="eastAsia"/>
                      <w:color w:val="auto"/>
                      <w:sz w:val="21"/>
                      <w:szCs w:val="21"/>
                      <w:highlight w:val="none"/>
                      <w:lang w:val="en-US" w:eastAsia="zh-CN"/>
                    </w:rPr>
                    <w:t>1次/半年</w:t>
                  </w:r>
                </w:p>
              </w:tc>
              <w:tc>
                <w:tcPr>
                  <w:tcW w:w="2942" w:type="dxa"/>
                  <w:vMerge w:val="continue"/>
                  <w:vAlign w:val="center"/>
                </w:tcPr>
                <w:p>
                  <w:pPr>
                    <w:spacing w:line="240" w:lineRule="auto"/>
                    <w:jc w:val="center"/>
                    <w:rPr>
                      <w:rFonts w:hint="eastAsia"/>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52" w:type="dxa"/>
                  <w:vMerge w:val="continue"/>
                  <w:vAlign w:val="center"/>
                </w:tcPr>
                <w:p>
                  <w:pPr>
                    <w:spacing w:line="240" w:lineRule="auto"/>
                    <w:jc w:val="center"/>
                    <w:rPr>
                      <w:color w:val="auto"/>
                      <w:sz w:val="21"/>
                      <w:highlight w:val="none"/>
                    </w:rPr>
                  </w:pPr>
                </w:p>
              </w:tc>
              <w:tc>
                <w:tcPr>
                  <w:tcW w:w="509" w:type="dxa"/>
                  <w:vMerge w:val="continue"/>
                  <w:vAlign w:val="center"/>
                </w:tcPr>
                <w:p>
                  <w:pPr>
                    <w:spacing w:line="240" w:lineRule="auto"/>
                    <w:jc w:val="center"/>
                    <w:rPr>
                      <w:color w:val="auto"/>
                      <w:sz w:val="21"/>
                      <w:highlight w:val="none"/>
                    </w:rPr>
                  </w:pPr>
                </w:p>
              </w:tc>
              <w:tc>
                <w:tcPr>
                  <w:tcW w:w="1346"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厂内车间外</w:t>
                  </w:r>
                </w:p>
              </w:tc>
              <w:tc>
                <w:tcPr>
                  <w:tcW w:w="1347"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非甲烷总烃</w:t>
                  </w:r>
                </w:p>
              </w:tc>
              <w:tc>
                <w:tcPr>
                  <w:tcW w:w="1136" w:type="dxa"/>
                  <w:vAlign w:val="center"/>
                </w:tcPr>
                <w:p>
                  <w:pPr>
                    <w:spacing w:line="240" w:lineRule="auto"/>
                    <w:jc w:val="center"/>
                    <w:rPr>
                      <w:color w:val="auto"/>
                      <w:sz w:val="21"/>
                      <w:szCs w:val="21"/>
                      <w:highlight w:val="none"/>
                    </w:rPr>
                  </w:pPr>
                  <w:r>
                    <w:rPr>
                      <w:rFonts w:hint="eastAsia"/>
                      <w:color w:val="auto"/>
                      <w:sz w:val="21"/>
                      <w:szCs w:val="21"/>
                      <w:highlight w:val="none"/>
                      <w:lang w:val="en-US" w:eastAsia="zh-CN"/>
                    </w:rPr>
                    <w:t>1次/半年</w:t>
                  </w:r>
                </w:p>
              </w:tc>
              <w:tc>
                <w:tcPr>
                  <w:tcW w:w="2942" w:type="dxa"/>
                  <w:vAlign w:val="center"/>
                </w:tcPr>
                <w:p>
                  <w:pPr>
                    <w:spacing w:line="240" w:lineRule="auto"/>
                    <w:jc w:val="center"/>
                    <w:rPr>
                      <w:rFonts w:hint="eastAsia"/>
                      <w:color w:val="auto"/>
                      <w:sz w:val="21"/>
                      <w:szCs w:val="21"/>
                      <w:highlight w:val="none"/>
                    </w:rPr>
                  </w:pPr>
                  <w:r>
                    <w:rPr>
                      <w:rFonts w:hint="eastAsia"/>
                      <w:color w:val="auto"/>
                      <w:sz w:val="21"/>
                      <w:szCs w:val="21"/>
                      <w:highlight w:val="none"/>
                    </w:rPr>
                    <w:t>《大气污染物综合排放标准》（DB32/4041-2021）</w:t>
                  </w:r>
                </w:p>
              </w:tc>
            </w:tr>
          </w:tbl>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②验收监测计划</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eastAsia" w:ascii="Times New Roman" w:hAnsi="Times New Roman" w:eastAsia="宋体" w:cs="Times New Roman"/>
                <w:b w:val="0"/>
                <w:bCs/>
                <w:color w:val="auto"/>
                <w:kern w:val="2"/>
                <w:sz w:val="24"/>
                <w:szCs w:val="24"/>
                <w:lang w:val="en-US" w:eastAsia="zh-CN" w:bidi="ar-SA"/>
              </w:rPr>
              <w:t>根据《建设项目竣工环境保护验收技术指南污染影响类》，本项目废气监测要求见表4.1-</w:t>
            </w:r>
            <w:r>
              <w:rPr>
                <w:rFonts w:hint="eastAsia" w:cs="Times New Roman"/>
                <w:b w:val="0"/>
                <w:bCs/>
                <w:color w:val="auto"/>
                <w:kern w:val="2"/>
                <w:sz w:val="24"/>
                <w:szCs w:val="24"/>
                <w:lang w:val="en-US" w:eastAsia="zh-CN" w:bidi="ar-SA"/>
              </w:rPr>
              <w:t>9</w:t>
            </w:r>
            <w:r>
              <w:rPr>
                <w:rFonts w:hint="eastAsia" w:ascii="Times New Roman" w:hAnsi="Times New Roman" w:eastAsia="宋体" w:cs="Times New Roman"/>
                <w:b w:val="0"/>
                <w:bCs/>
                <w:color w:val="auto"/>
                <w:kern w:val="2"/>
                <w:sz w:val="24"/>
                <w:szCs w:val="24"/>
                <w:lang w:val="en-US" w:eastAsia="zh-CN" w:bidi="ar-SA"/>
              </w:rPr>
              <w:t>。</w:t>
            </w:r>
          </w:p>
          <w:p>
            <w:pPr>
              <w:jc w:val="center"/>
              <w:rPr>
                <w:rFonts w:hint="eastAsia" w:ascii="Times New Roman" w:hAnsi="Times New Roman" w:eastAsia="宋体" w:cs="Times New Roman"/>
                <w:b/>
                <w:bCs/>
                <w:color w:val="auto"/>
                <w:sz w:val="24"/>
                <w:szCs w:val="32"/>
                <w:highlight w:val="none"/>
                <w:lang w:val="en-US" w:eastAsia="zh-CN"/>
              </w:rPr>
            </w:pPr>
            <w:r>
              <w:rPr>
                <w:rFonts w:hint="eastAsia" w:ascii="Times New Roman" w:hAnsi="Times New Roman" w:eastAsia="宋体"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 xml:space="preserve">9 </w:t>
            </w:r>
            <w:r>
              <w:rPr>
                <w:rFonts w:hint="eastAsia" w:ascii="Times New Roman" w:hAnsi="Times New Roman" w:eastAsia="宋体" w:cs="Times New Roman"/>
                <w:b/>
                <w:bCs/>
                <w:color w:val="auto"/>
                <w:sz w:val="24"/>
                <w:szCs w:val="32"/>
                <w:highlight w:val="none"/>
                <w:lang w:val="en-US" w:eastAsia="zh-CN"/>
              </w:rPr>
              <w:t>验收监测计划</w:t>
            </w:r>
          </w:p>
          <w:tbl>
            <w:tblPr>
              <w:tblStyle w:val="26"/>
              <w:tblW w:w="7935"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72"/>
              <w:gridCol w:w="686"/>
              <w:gridCol w:w="1440"/>
              <w:gridCol w:w="1365"/>
              <w:gridCol w:w="1500"/>
              <w:gridCol w:w="22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2" w:type="dxa"/>
                  <w:vAlign w:val="center"/>
                </w:tcPr>
                <w:p>
                  <w:pPr>
                    <w:spacing w:line="240" w:lineRule="auto"/>
                    <w:jc w:val="center"/>
                    <w:rPr>
                      <w:b/>
                      <w:bCs/>
                      <w:color w:val="auto"/>
                      <w:sz w:val="21"/>
                      <w:szCs w:val="21"/>
                      <w:highlight w:val="none"/>
                    </w:rPr>
                  </w:pPr>
                  <w:r>
                    <w:rPr>
                      <w:rFonts w:hint="eastAsia"/>
                      <w:b/>
                      <w:bCs/>
                      <w:color w:val="auto"/>
                      <w:sz w:val="21"/>
                      <w:szCs w:val="21"/>
                      <w:highlight w:val="none"/>
                    </w:rPr>
                    <w:t>类别</w:t>
                  </w:r>
                </w:p>
              </w:tc>
              <w:tc>
                <w:tcPr>
                  <w:tcW w:w="2126" w:type="dxa"/>
                  <w:gridSpan w:val="2"/>
                  <w:vAlign w:val="center"/>
                </w:tcPr>
                <w:p>
                  <w:pPr>
                    <w:spacing w:line="240" w:lineRule="auto"/>
                    <w:jc w:val="center"/>
                    <w:rPr>
                      <w:b/>
                      <w:bCs/>
                      <w:color w:val="auto"/>
                      <w:sz w:val="21"/>
                      <w:szCs w:val="21"/>
                      <w:highlight w:val="none"/>
                    </w:rPr>
                  </w:pPr>
                  <w:r>
                    <w:rPr>
                      <w:rFonts w:hint="eastAsia"/>
                      <w:b/>
                      <w:bCs/>
                      <w:color w:val="auto"/>
                      <w:sz w:val="21"/>
                      <w:szCs w:val="21"/>
                      <w:highlight w:val="none"/>
                    </w:rPr>
                    <w:t>监测位置</w:t>
                  </w:r>
                </w:p>
              </w:tc>
              <w:tc>
                <w:tcPr>
                  <w:tcW w:w="1365" w:type="dxa"/>
                  <w:vAlign w:val="center"/>
                </w:tcPr>
                <w:p>
                  <w:pPr>
                    <w:spacing w:line="240" w:lineRule="auto"/>
                    <w:jc w:val="center"/>
                    <w:rPr>
                      <w:b/>
                      <w:bCs/>
                      <w:color w:val="auto"/>
                      <w:sz w:val="21"/>
                      <w:szCs w:val="21"/>
                      <w:highlight w:val="none"/>
                    </w:rPr>
                  </w:pPr>
                  <w:r>
                    <w:rPr>
                      <w:rFonts w:hint="eastAsia"/>
                      <w:b/>
                      <w:bCs/>
                      <w:color w:val="auto"/>
                      <w:sz w:val="21"/>
                      <w:szCs w:val="21"/>
                      <w:highlight w:val="none"/>
                    </w:rPr>
                    <w:t>监测项目</w:t>
                  </w:r>
                </w:p>
              </w:tc>
              <w:tc>
                <w:tcPr>
                  <w:tcW w:w="1500" w:type="dxa"/>
                  <w:vAlign w:val="center"/>
                </w:tcPr>
                <w:p>
                  <w:pPr>
                    <w:spacing w:line="240" w:lineRule="auto"/>
                    <w:jc w:val="center"/>
                    <w:rPr>
                      <w:b/>
                      <w:bCs/>
                      <w:color w:val="auto"/>
                      <w:sz w:val="21"/>
                      <w:szCs w:val="21"/>
                      <w:highlight w:val="none"/>
                    </w:rPr>
                  </w:pPr>
                  <w:r>
                    <w:rPr>
                      <w:rFonts w:hint="eastAsia"/>
                      <w:b/>
                      <w:bCs/>
                      <w:color w:val="auto"/>
                      <w:sz w:val="21"/>
                      <w:szCs w:val="21"/>
                      <w:highlight w:val="none"/>
                    </w:rPr>
                    <w:t>监测频次</w:t>
                  </w:r>
                </w:p>
              </w:tc>
              <w:tc>
                <w:tcPr>
                  <w:tcW w:w="2272" w:type="dxa"/>
                  <w:vAlign w:val="center"/>
                </w:tcPr>
                <w:p>
                  <w:pPr>
                    <w:spacing w:line="240" w:lineRule="auto"/>
                    <w:jc w:val="center"/>
                    <w:rPr>
                      <w:b/>
                      <w:bCs/>
                      <w:color w:val="auto"/>
                      <w:sz w:val="21"/>
                      <w:szCs w:val="21"/>
                      <w:highlight w:val="none"/>
                    </w:rPr>
                  </w:pPr>
                  <w:r>
                    <w:rPr>
                      <w:rFonts w:hint="eastAsia"/>
                      <w:b/>
                      <w:bCs/>
                      <w:color w:val="auto"/>
                      <w:sz w:val="21"/>
                      <w:szCs w:val="21"/>
                      <w:highlight w:val="none"/>
                    </w:rPr>
                    <w:t>执行排放标准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672" w:type="dxa"/>
                  <w:vMerge w:val="restart"/>
                  <w:vAlign w:val="center"/>
                </w:tcPr>
                <w:p>
                  <w:pPr>
                    <w:spacing w:line="240" w:lineRule="auto"/>
                    <w:jc w:val="center"/>
                    <w:rPr>
                      <w:color w:val="auto"/>
                      <w:sz w:val="21"/>
                      <w:szCs w:val="21"/>
                      <w:highlight w:val="none"/>
                    </w:rPr>
                  </w:pPr>
                  <w:r>
                    <w:rPr>
                      <w:rFonts w:hint="eastAsia"/>
                      <w:color w:val="auto"/>
                      <w:sz w:val="21"/>
                      <w:szCs w:val="21"/>
                      <w:highlight w:val="none"/>
                    </w:rPr>
                    <w:t>废气</w:t>
                  </w:r>
                </w:p>
              </w:tc>
              <w:tc>
                <w:tcPr>
                  <w:tcW w:w="686" w:type="dxa"/>
                  <w:vMerge w:val="restart"/>
                  <w:vAlign w:val="center"/>
                </w:tcPr>
                <w:p>
                  <w:pPr>
                    <w:spacing w:line="240" w:lineRule="auto"/>
                    <w:jc w:val="center"/>
                    <w:rPr>
                      <w:color w:val="auto"/>
                      <w:sz w:val="21"/>
                      <w:szCs w:val="21"/>
                      <w:highlight w:val="none"/>
                    </w:rPr>
                  </w:pPr>
                  <w:r>
                    <w:rPr>
                      <w:rFonts w:hint="eastAsia"/>
                      <w:color w:val="auto"/>
                      <w:sz w:val="21"/>
                      <w:szCs w:val="21"/>
                      <w:highlight w:val="none"/>
                    </w:rPr>
                    <w:t>有组织</w:t>
                  </w:r>
                </w:p>
              </w:tc>
              <w:tc>
                <w:tcPr>
                  <w:tcW w:w="1440"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color w:val="auto"/>
                      <w:sz w:val="21"/>
                      <w:szCs w:val="21"/>
                      <w:highlight w:val="none"/>
                      <w:lang w:val="en-US"/>
                    </w:rPr>
                  </w:pPr>
                  <w:r>
                    <w:rPr>
                      <w:rFonts w:hint="eastAsia"/>
                      <w:color w:val="auto"/>
                      <w:sz w:val="21"/>
                      <w:szCs w:val="21"/>
                      <w:highlight w:val="none"/>
                      <w:lang w:val="en-US" w:eastAsia="zh-CN"/>
                    </w:rPr>
                    <w:t>布袋除尘器设施进口、二级活性炭设施进口+DA001出口</w:t>
                  </w:r>
                </w:p>
              </w:tc>
              <w:tc>
                <w:tcPr>
                  <w:tcW w:w="1365" w:type="dxa"/>
                  <w:vAlign w:val="center"/>
                </w:tcPr>
                <w:p>
                  <w:pPr>
                    <w:widowControl/>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highlight w:val="none"/>
                      <w:lang w:val="en-US" w:eastAsia="zh-CN"/>
                    </w:rPr>
                    <w:t>颗粒物、非甲烷总烃</w:t>
                  </w:r>
                </w:p>
              </w:tc>
              <w:tc>
                <w:tcPr>
                  <w:tcW w:w="1500" w:type="dxa"/>
                  <w:vAlign w:val="center"/>
                </w:tcPr>
                <w:p>
                  <w:pPr>
                    <w:spacing w:line="240" w:lineRule="auto"/>
                    <w:jc w:val="center"/>
                    <w:rPr>
                      <w:color w:val="auto"/>
                      <w:sz w:val="21"/>
                      <w:szCs w:val="21"/>
                      <w:highlight w:val="none"/>
                    </w:rPr>
                  </w:pPr>
                  <w:r>
                    <w:rPr>
                      <w:rFonts w:hint="eastAsia"/>
                      <w:color w:val="auto"/>
                      <w:sz w:val="21"/>
                      <w:szCs w:val="21"/>
                      <w:highlight w:val="none"/>
                    </w:rPr>
                    <w:t>连续2天，每天3次</w:t>
                  </w:r>
                </w:p>
              </w:tc>
              <w:tc>
                <w:tcPr>
                  <w:tcW w:w="2272" w:type="dxa"/>
                  <w:vAlign w:val="center"/>
                </w:tcPr>
                <w:p>
                  <w:pPr>
                    <w:spacing w:line="240" w:lineRule="auto"/>
                    <w:jc w:val="center"/>
                    <w:rPr>
                      <w:color w:val="auto"/>
                      <w:sz w:val="21"/>
                      <w:szCs w:val="21"/>
                      <w:highlight w:val="none"/>
                    </w:rPr>
                  </w:pPr>
                  <w:r>
                    <w:rPr>
                      <w:rFonts w:ascii="Times New Roman" w:hAnsi="Times New Roman" w:eastAsia="宋体" w:cs="Times New Roman"/>
                      <w:color w:val="auto"/>
                      <w:sz w:val="21"/>
                      <w:highlight w:val="none"/>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52" w:hRule="atLeast"/>
                <w:jc w:val="center"/>
              </w:trPr>
              <w:tc>
                <w:tcPr>
                  <w:tcW w:w="672" w:type="dxa"/>
                  <w:vMerge w:val="continue"/>
                  <w:vAlign w:val="center"/>
                </w:tcPr>
                <w:p>
                  <w:pPr>
                    <w:spacing w:line="240" w:lineRule="auto"/>
                    <w:jc w:val="center"/>
                    <w:rPr>
                      <w:rFonts w:hint="eastAsia"/>
                      <w:color w:val="auto"/>
                      <w:sz w:val="21"/>
                      <w:szCs w:val="21"/>
                      <w:highlight w:val="none"/>
                    </w:rPr>
                  </w:pPr>
                </w:p>
              </w:tc>
              <w:tc>
                <w:tcPr>
                  <w:tcW w:w="686" w:type="dxa"/>
                  <w:vMerge w:val="continue"/>
                  <w:vAlign w:val="center"/>
                </w:tcPr>
                <w:p>
                  <w:pPr>
                    <w:spacing w:line="240" w:lineRule="auto"/>
                    <w:jc w:val="center"/>
                    <w:rPr>
                      <w:rFonts w:hint="eastAsia"/>
                      <w:color w:val="auto"/>
                      <w:sz w:val="21"/>
                      <w:szCs w:val="21"/>
                      <w:highlight w:val="none"/>
                    </w:rPr>
                  </w:pPr>
                </w:p>
              </w:tc>
              <w:tc>
                <w:tcPr>
                  <w:tcW w:w="1440"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color w:val="auto"/>
                      <w:sz w:val="21"/>
                      <w:szCs w:val="21"/>
                      <w:highlight w:val="none"/>
                      <w:lang w:val="en-US" w:eastAsia="zh-CN"/>
                    </w:rPr>
                  </w:pPr>
                </w:p>
              </w:tc>
              <w:tc>
                <w:tcPr>
                  <w:tcW w:w="1365" w:type="dxa"/>
                  <w:vAlign w:val="center"/>
                </w:tcPr>
                <w:p>
                  <w:pPr>
                    <w:widowControl/>
                    <w:spacing w:line="240" w:lineRule="auto"/>
                    <w:jc w:val="center"/>
                    <w:rPr>
                      <w:rFonts w:hint="default"/>
                      <w:color w:val="auto"/>
                      <w:sz w:val="21"/>
                      <w:highlight w:val="none"/>
                      <w:lang w:val="en-US" w:eastAsia="zh-CN"/>
                    </w:rPr>
                  </w:pPr>
                  <w:r>
                    <w:rPr>
                      <w:rFonts w:hint="eastAsia"/>
                      <w:color w:val="auto"/>
                      <w:sz w:val="21"/>
                      <w:highlight w:val="none"/>
                      <w:lang w:val="en-US" w:eastAsia="zh-CN"/>
                    </w:rPr>
                    <w:t>MDI</w:t>
                  </w:r>
                </w:p>
              </w:tc>
              <w:tc>
                <w:tcPr>
                  <w:tcW w:w="1500"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连续2天，每天3次</w:t>
                  </w:r>
                </w:p>
              </w:tc>
              <w:tc>
                <w:tcPr>
                  <w:tcW w:w="2272" w:type="dxa"/>
                  <w:vAlign w:val="center"/>
                </w:tcPr>
                <w:p>
                  <w:pPr>
                    <w:spacing w:line="240" w:lineRule="auto"/>
                    <w:jc w:val="center"/>
                    <w:rPr>
                      <w:rFonts w:ascii="Times New Roman" w:hAnsi="Times New Roman" w:eastAsia="宋体" w:cs="Times New Roman"/>
                      <w:color w:val="auto"/>
                      <w:sz w:val="21"/>
                      <w:highlight w:val="none"/>
                    </w:rPr>
                  </w:pPr>
                  <w:r>
                    <w:rPr>
                      <w:rFonts w:hint="eastAsia"/>
                      <w:color w:val="auto"/>
                      <w:szCs w:val="21"/>
                    </w:rPr>
                    <w:t>《</w:t>
                  </w:r>
                  <w:r>
                    <w:rPr>
                      <w:rFonts w:hint="eastAsia"/>
                      <w:color w:val="auto"/>
                      <w:szCs w:val="21"/>
                      <w:lang w:eastAsia="zh-CN"/>
                    </w:rPr>
                    <w:t>合成树脂工业污染物排放标准</w:t>
                  </w:r>
                  <w:r>
                    <w:rPr>
                      <w:rFonts w:hint="eastAsia"/>
                      <w:color w:val="auto"/>
                      <w:szCs w:val="21"/>
                    </w:rPr>
                    <w:t>》（GB31572-2015）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16" w:hRule="atLeast"/>
                <w:jc w:val="center"/>
              </w:trPr>
              <w:tc>
                <w:tcPr>
                  <w:tcW w:w="672" w:type="dxa"/>
                  <w:vMerge w:val="continue"/>
                  <w:vAlign w:val="center"/>
                </w:tcPr>
                <w:p>
                  <w:pPr>
                    <w:spacing w:line="240" w:lineRule="auto"/>
                    <w:jc w:val="center"/>
                    <w:rPr>
                      <w:color w:val="auto"/>
                      <w:sz w:val="21"/>
                      <w:szCs w:val="21"/>
                      <w:highlight w:val="none"/>
                    </w:rPr>
                  </w:pPr>
                </w:p>
              </w:tc>
              <w:tc>
                <w:tcPr>
                  <w:tcW w:w="686" w:type="dxa"/>
                  <w:vMerge w:val="continue"/>
                  <w:vAlign w:val="center"/>
                </w:tcPr>
                <w:p>
                  <w:pPr>
                    <w:spacing w:line="240" w:lineRule="auto"/>
                    <w:jc w:val="center"/>
                    <w:rPr>
                      <w:color w:val="auto"/>
                      <w:sz w:val="21"/>
                      <w:szCs w:val="21"/>
                      <w:highlight w:val="none"/>
                    </w:rPr>
                  </w:pPr>
                </w:p>
              </w:tc>
              <w:tc>
                <w:tcPr>
                  <w:tcW w:w="1440" w:type="dxa"/>
                  <w:vAlign w:val="center"/>
                </w:tcPr>
                <w:p>
                  <w:pPr>
                    <w:spacing w:line="240" w:lineRule="auto"/>
                    <w:jc w:val="center"/>
                    <w:rPr>
                      <w:rFonts w:hint="default"/>
                      <w:color w:val="auto"/>
                      <w:sz w:val="21"/>
                      <w:szCs w:val="21"/>
                      <w:highlight w:val="none"/>
                      <w:lang w:val="en-US"/>
                    </w:rPr>
                  </w:pPr>
                  <w:r>
                    <w:rPr>
                      <w:rFonts w:hint="eastAsia"/>
                      <w:color w:val="auto"/>
                      <w:sz w:val="21"/>
                      <w:szCs w:val="21"/>
                      <w:highlight w:val="none"/>
                      <w:lang w:val="en-US" w:eastAsia="zh-CN"/>
                    </w:rPr>
                    <w:t>二级活性炭设施进口+DA002出口</w:t>
                  </w:r>
                </w:p>
              </w:tc>
              <w:tc>
                <w:tcPr>
                  <w:tcW w:w="136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500"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连续2天，每天3次</w:t>
                  </w:r>
                </w:p>
              </w:tc>
              <w:tc>
                <w:tcPr>
                  <w:tcW w:w="2272" w:type="dxa"/>
                  <w:vAlign w:val="center"/>
                </w:tcPr>
                <w:p>
                  <w:pPr>
                    <w:spacing w:line="240" w:lineRule="auto"/>
                    <w:jc w:val="center"/>
                    <w:rPr>
                      <w:rFonts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《工业涂装工序大气污染物排放标准》（DB32/4439-2022）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2" w:type="dxa"/>
                  <w:vMerge w:val="continue"/>
                  <w:vAlign w:val="center"/>
                </w:tcPr>
                <w:p>
                  <w:pPr>
                    <w:spacing w:line="240" w:lineRule="auto"/>
                    <w:jc w:val="center"/>
                    <w:rPr>
                      <w:color w:val="auto"/>
                      <w:sz w:val="21"/>
                      <w:szCs w:val="21"/>
                      <w:highlight w:val="none"/>
                    </w:rPr>
                  </w:pPr>
                </w:p>
              </w:tc>
              <w:tc>
                <w:tcPr>
                  <w:tcW w:w="686" w:type="dxa"/>
                  <w:vMerge w:val="restart"/>
                  <w:vAlign w:val="center"/>
                </w:tcPr>
                <w:p>
                  <w:pPr>
                    <w:spacing w:line="240" w:lineRule="auto"/>
                    <w:jc w:val="center"/>
                    <w:rPr>
                      <w:rFonts w:hint="eastAsia" w:eastAsia="宋体"/>
                      <w:color w:val="auto"/>
                      <w:sz w:val="21"/>
                      <w:szCs w:val="21"/>
                      <w:highlight w:val="none"/>
                      <w:lang w:val="en-US" w:eastAsia="zh-CN"/>
                    </w:rPr>
                  </w:pPr>
                  <w:r>
                    <w:rPr>
                      <w:rFonts w:hint="eastAsia"/>
                      <w:color w:val="auto"/>
                      <w:sz w:val="21"/>
                      <w:szCs w:val="21"/>
                      <w:highlight w:val="none"/>
                      <w:lang w:val="en-US" w:eastAsia="zh-CN"/>
                    </w:rPr>
                    <w:t>无组织</w:t>
                  </w:r>
                </w:p>
              </w:tc>
              <w:tc>
                <w:tcPr>
                  <w:tcW w:w="1440" w:type="dxa"/>
                  <w:vMerge w:val="restart"/>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厂界</w:t>
                  </w:r>
                </w:p>
              </w:tc>
              <w:tc>
                <w:tcPr>
                  <w:tcW w:w="1365" w:type="dxa"/>
                  <w:vAlign w:val="center"/>
                </w:tcPr>
                <w:p>
                  <w:pPr>
                    <w:keepNext w:val="0"/>
                    <w:keepLines w:val="0"/>
                    <w:pageBreakBefore w:val="0"/>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lang w:val="en-US" w:eastAsia="zh-CN"/>
                    </w:rPr>
                    <w:t>颗粒物</w:t>
                  </w:r>
                </w:p>
              </w:tc>
              <w:tc>
                <w:tcPr>
                  <w:tcW w:w="150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连续2天，每天3次</w:t>
                  </w:r>
                </w:p>
              </w:tc>
              <w:tc>
                <w:tcPr>
                  <w:tcW w:w="2272" w:type="dxa"/>
                  <w:vMerge w:val="restart"/>
                  <w:vAlign w:val="center"/>
                </w:tcPr>
                <w:p>
                  <w:pPr>
                    <w:spacing w:line="240" w:lineRule="auto"/>
                    <w:jc w:val="center"/>
                    <w:rPr>
                      <w:rFonts w:hint="eastAsia"/>
                      <w:color w:val="auto"/>
                      <w:sz w:val="21"/>
                      <w:szCs w:val="21"/>
                      <w:highlight w:val="none"/>
                    </w:rPr>
                  </w:pPr>
                  <w:r>
                    <w:rPr>
                      <w:rFonts w:hint="eastAsia"/>
                      <w:color w:val="auto"/>
                      <w:sz w:val="21"/>
                      <w:szCs w:val="21"/>
                      <w:highlight w:val="none"/>
                    </w:rPr>
                    <w:t>《大气污染物综合排放标准》（DB32/4041-2021）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2" w:type="dxa"/>
                  <w:vMerge w:val="continue"/>
                  <w:vAlign w:val="center"/>
                </w:tcPr>
                <w:p>
                  <w:pPr>
                    <w:spacing w:line="240" w:lineRule="auto"/>
                    <w:jc w:val="center"/>
                    <w:rPr>
                      <w:color w:val="auto"/>
                      <w:sz w:val="21"/>
                      <w:szCs w:val="21"/>
                      <w:highlight w:val="none"/>
                    </w:rPr>
                  </w:pPr>
                </w:p>
              </w:tc>
              <w:tc>
                <w:tcPr>
                  <w:tcW w:w="686" w:type="dxa"/>
                  <w:vMerge w:val="continue"/>
                  <w:vAlign w:val="center"/>
                </w:tcPr>
                <w:p>
                  <w:pPr>
                    <w:spacing w:line="240" w:lineRule="auto"/>
                    <w:jc w:val="center"/>
                    <w:rPr>
                      <w:rFonts w:hint="eastAsia"/>
                      <w:color w:val="auto"/>
                      <w:sz w:val="21"/>
                      <w:szCs w:val="21"/>
                      <w:highlight w:val="none"/>
                      <w:lang w:val="en-US" w:eastAsia="zh-CN"/>
                    </w:rPr>
                  </w:pPr>
                </w:p>
              </w:tc>
              <w:tc>
                <w:tcPr>
                  <w:tcW w:w="1440" w:type="dxa"/>
                  <w:vMerge w:val="continue"/>
                  <w:vAlign w:val="center"/>
                </w:tcPr>
                <w:p>
                  <w:pPr>
                    <w:spacing w:line="240" w:lineRule="auto"/>
                    <w:jc w:val="center"/>
                    <w:rPr>
                      <w:rFonts w:hint="eastAsia"/>
                      <w:color w:val="auto"/>
                      <w:sz w:val="21"/>
                      <w:szCs w:val="21"/>
                      <w:highlight w:val="none"/>
                      <w:lang w:val="en-US" w:eastAsia="zh-CN"/>
                    </w:rPr>
                  </w:pPr>
                </w:p>
              </w:tc>
              <w:tc>
                <w:tcPr>
                  <w:tcW w:w="1365" w:type="dxa"/>
                  <w:vAlign w:val="center"/>
                </w:tcPr>
                <w:p>
                  <w:pPr>
                    <w:widowControl/>
                    <w:jc w:val="center"/>
                    <w:rPr>
                      <w:rFonts w:hint="eastAsia"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500"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 w:val="21"/>
                      <w:szCs w:val="21"/>
                      <w:highlight w:val="none"/>
                    </w:rPr>
                    <w:t>连续2天，每天3次</w:t>
                  </w:r>
                </w:p>
              </w:tc>
              <w:tc>
                <w:tcPr>
                  <w:tcW w:w="2272" w:type="dxa"/>
                  <w:vMerge w:val="continue"/>
                  <w:vAlign w:val="center"/>
                </w:tcPr>
                <w:p>
                  <w:pPr>
                    <w:spacing w:line="240" w:lineRule="auto"/>
                    <w:jc w:val="center"/>
                    <w:rPr>
                      <w:rFonts w:hint="eastAsia" w:eastAsia="宋体"/>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672" w:type="dxa"/>
                  <w:vMerge w:val="continue"/>
                  <w:vAlign w:val="center"/>
                </w:tcPr>
                <w:p>
                  <w:pPr>
                    <w:spacing w:line="240" w:lineRule="auto"/>
                    <w:jc w:val="center"/>
                    <w:rPr>
                      <w:color w:val="auto"/>
                      <w:sz w:val="21"/>
                      <w:szCs w:val="21"/>
                      <w:highlight w:val="none"/>
                    </w:rPr>
                  </w:pPr>
                </w:p>
              </w:tc>
              <w:tc>
                <w:tcPr>
                  <w:tcW w:w="686" w:type="dxa"/>
                  <w:vMerge w:val="continue"/>
                  <w:vAlign w:val="center"/>
                </w:tcPr>
                <w:p>
                  <w:pPr>
                    <w:spacing w:line="240" w:lineRule="auto"/>
                    <w:jc w:val="center"/>
                    <w:rPr>
                      <w:color w:val="auto"/>
                      <w:sz w:val="21"/>
                      <w:szCs w:val="21"/>
                      <w:highlight w:val="none"/>
                    </w:rPr>
                  </w:pPr>
                </w:p>
              </w:tc>
              <w:tc>
                <w:tcPr>
                  <w:tcW w:w="1440" w:type="dxa"/>
                  <w:vAlign w:val="center"/>
                </w:tcPr>
                <w:p>
                  <w:pPr>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厂内车间外</w:t>
                  </w:r>
                </w:p>
              </w:tc>
              <w:tc>
                <w:tcPr>
                  <w:tcW w:w="1365" w:type="dxa"/>
                  <w:vAlign w:val="center"/>
                </w:tcPr>
                <w:p>
                  <w:pPr>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非甲烷总烃</w:t>
                  </w:r>
                </w:p>
              </w:tc>
              <w:tc>
                <w:tcPr>
                  <w:tcW w:w="1500" w:type="dxa"/>
                  <w:vAlign w:val="center"/>
                </w:tcPr>
                <w:p>
                  <w:pPr>
                    <w:spacing w:line="240" w:lineRule="auto"/>
                    <w:jc w:val="center"/>
                    <w:rPr>
                      <w:color w:val="auto"/>
                      <w:sz w:val="21"/>
                      <w:szCs w:val="21"/>
                      <w:highlight w:val="none"/>
                    </w:rPr>
                  </w:pPr>
                  <w:r>
                    <w:rPr>
                      <w:rFonts w:hint="eastAsia"/>
                      <w:color w:val="auto"/>
                      <w:sz w:val="21"/>
                      <w:szCs w:val="21"/>
                      <w:highlight w:val="none"/>
                    </w:rPr>
                    <w:t>连续2天，每天3次</w:t>
                  </w:r>
                </w:p>
              </w:tc>
              <w:tc>
                <w:tcPr>
                  <w:tcW w:w="2272" w:type="dxa"/>
                  <w:vAlign w:val="center"/>
                </w:tcPr>
                <w:p>
                  <w:pPr>
                    <w:spacing w:line="240" w:lineRule="auto"/>
                    <w:jc w:val="center"/>
                    <w:rPr>
                      <w:rFonts w:hint="eastAsia"/>
                      <w:color w:val="auto"/>
                      <w:sz w:val="21"/>
                      <w:szCs w:val="21"/>
                      <w:highlight w:val="none"/>
                    </w:rPr>
                  </w:pPr>
                  <w:r>
                    <w:rPr>
                      <w:rFonts w:hint="eastAsia"/>
                      <w:color w:val="auto"/>
                      <w:sz w:val="21"/>
                      <w:szCs w:val="21"/>
                      <w:highlight w:val="none"/>
                    </w:rPr>
                    <w:t>《大气污染物综合排放标准》（DB32/4041-2021）</w:t>
                  </w:r>
                </w:p>
              </w:tc>
            </w:tr>
          </w:tbl>
          <w:p>
            <w:pPr>
              <w:autoSpaceDE w:val="0"/>
              <w:autoSpaceDN w:val="0"/>
              <w:adjustRightInd w:val="0"/>
              <w:snapToGrid w:val="0"/>
              <w:spacing w:line="360" w:lineRule="auto"/>
              <w:ind w:firstLine="482"/>
              <w:jc w:val="left"/>
              <w:rPr>
                <w:rFonts w:hint="default" w:ascii="Times New Roman" w:hAnsi="Times New Roman" w:eastAsia="宋体" w:cs="Times New Roman"/>
                <w:b/>
                <w:bCs w:val="0"/>
                <w:color w:val="auto"/>
                <w:kern w:val="2"/>
                <w:sz w:val="24"/>
                <w:szCs w:val="24"/>
                <w:lang w:val="en-US" w:eastAsia="zh-CN" w:bidi="ar-SA"/>
              </w:rPr>
            </w:pPr>
            <w:r>
              <w:rPr>
                <w:rFonts w:hint="eastAsia" w:ascii="Times New Roman" w:hAnsi="Times New Roman" w:eastAsia="宋体" w:cs="Times New Roman"/>
                <w:b/>
                <w:bCs w:val="0"/>
                <w:color w:val="auto"/>
                <w:kern w:val="2"/>
                <w:sz w:val="24"/>
                <w:szCs w:val="24"/>
                <w:lang w:val="en-US" w:eastAsia="zh-CN" w:bidi="ar-SA"/>
              </w:rPr>
              <w:t>5、</w:t>
            </w:r>
            <w:r>
              <w:rPr>
                <w:rFonts w:hint="default" w:ascii="Times New Roman" w:hAnsi="Times New Roman" w:eastAsia="宋体" w:cs="Times New Roman"/>
                <w:b/>
                <w:bCs w:val="0"/>
                <w:color w:val="auto"/>
                <w:kern w:val="2"/>
                <w:sz w:val="24"/>
                <w:szCs w:val="24"/>
                <w:lang w:val="en-US" w:eastAsia="zh-CN" w:bidi="ar-SA"/>
              </w:rPr>
              <w:t>废气污染物治理设施可行性分析</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本次项目废气处理流程示意图见图4</w:t>
            </w:r>
            <w:r>
              <w:rPr>
                <w:rFonts w:hint="eastAsia" w:cs="Times New Roman"/>
                <w:b w:val="0"/>
                <w:bCs/>
                <w:color w:val="auto"/>
                <w:kern w:val="2"/>
                <w:sz w:val="24"/>
                <w:szCs w:val="24"/>
                <w:lang w:val="en-US" w:eastAsia="zh-CN" w:bidi="ar-SA"/>
              </w:rPr>
              <w:t>-</w:t>
            </w:r>
            <w:r>
              <w:rPr>
                <w:rFonts w:hint="default" w:ascii="Times New Roman" w:hAnsi="Times New Roman" w:eastAsia="宋体" w:cs="Times New Roman"/>
                <w:b w:val="0"/>
                <w:bCs/>
                <w:color w:val="auto"/>
                <w:kern w:val="2"/>
                <w:sz w:val="24"/>
                <w:szCs w:val="24"/>
                <w:lang w:val="en-US" w:eastAsia="zh-CN" w:bidi="ar-SA"/>
              </w:rPr>
              <w:t>1。</w:t>
            </w:r>
          </w:p>
          <w:p>
            <w:pPr>
              <w:autoSpaceDE w:val="0"/>
              <w:autoSpaceDN w:val="0"/>
              <w:adjustRightInd w:val="0"/>
              <w:snapToGrid w:val="0"/>
              <w:spacing w:line="360" w:lineRule="auto"/>
              <w:ind w:firstLine="482"/>
              <w:jc w:val="center"/>
              <w:rPr>
                <w:rFonts w:hint="default" w:ascii="Times New Roman" w:hAnsi="Times New Roman" w:eastAsia="宋体" w:cs="Times New Roman"/>
                <w:b w:val="0"/>
                <w:bCs/>
                <w:color w:val="auto"/>
                <w:kern w:val="2"/>
                <w:sz w:val="24"/>
                <w:szCs w:val="24"/>
                <w:lang w:val="en-US" w:eastAsia="zh-CN" w:bidi="ar-SA"/>
              </w:rPr>
            </w:pPr>
            <w:r>
              <w:rPr>
                <w:color w:val="auto"/>
                <w:sz w:val="24"/>
              </w:rPr>
              <w:pict>
                <v:shape id="_x0000_s2051" o:spid="_x0000_s2051" o:spt="75" type="#_x0000_t75" style="position:absolute;left:0pt;margin-left:8.45pt;margin-top:-331.7pt;height:468.95pt;width:376.8pt;mso-wrap-distance-bottom:0pt;mso-wrap-distance-top:0pt;z-index:251662336;mso-width-relative:page;mso-height-relative:page;" o:ole="t" filled="f" o:preferrelative="t" stroked="f" coordsize="21600,21600">
                  <v:path/>
                  <v:fill on="f" focussize="0,0"/>
                  <v:stroke on="f"/>
                  <v:imagedata r:id="rId24" o:title=""/>
                  <o:lock v:ext="edit" aspectratio="f"/>
                  <w10:wrap type="topAndBottom"/>
                </v:shape>
                <o:OLEObject Type="Embed" ProgID="Visio.Drawing.15" ShapeID="_x0000_s2051" DrawAspect="Content" ObjectID="_1468075731" r:id="rId23">
                  <o:LockedField>false</o:LockedField>
                </o:OLEObject>
              </w:pict>
            </w:r>
            <w:r>
              <w:rPr>
                <w:rFonts w:hint="eastAsia"/>
                <w:b/>
                <w:bCs/>
                <w:color w:val="auto"/>
                <w:sz w:val="24"/>
                <w:szCs w:val="21"/>
                <w:highlight w:val="none"/>
                <w:vertAlign w:val="baseline"/>
                <w:lang w:val="en-US" w:eastAsia="zh-CN"/>
              </w:rPr>
              <w:t>图4-1废气收集、处理、排放示意图</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①活性炭吸附装置原理</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活性炭吸附是一种常用的吸附方法，吸附法主要利用高孔隙率、高比表面积的吸附剂，由物理性吸附（可逆反应）或化学性键结（不可逆反应）作用，将有机气体分子自废气中分离，以达成净化废气的目的。由于一般多采用物理性吸附，随操作时间之增加，吸附剂将逐渐趋于饱和现象，此时则须进行脱附再生或吸附剂更换工作。在有机废气处理过程中，活性炭常被用来吸附烷烃、烯烃、芳香烃、酮、醛、氯代烃、酯以及挥发性有机化合物。活性炭是一种具有非极性表面、疏水性、亲有机物的吸附剂，活性炭常常被用来吸附回收空气中的有机溶剂和恶臭物质，它可以根据需要制成不同性状和粒度，如粉末活性炭、颗粒活性炭及柱状活性炭。活性炭吸附的实质是利用活性炭吸附的特性把低浓度大风量废气中的有机溶剂吸附到活性炭中并浓缩，经活性炭吸附净化后的气体直接排空，其实质是一个吸附浓缩的过程，是一个物理过程。</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活性炭是一种很细小的炭粒有很大的表面积，具有丰富的微孔，具有很强的吸附能力，由于炭粒的表面积很大，所以能与大气污染物充分接触，大气中的污染物被微孔吸附捕集，从而起到净化空气的作用，符合《吸附法工业有机废气治理工程技术规范（HJ2026-2013）》、《南通市废气活性炭吸附设施专项整治实施方案》等要求。</w:t>
            </w:r>
          </w:p>
          <w:p>
            <w:pPr>
              <w:autoSpaceDE w:val="0"/>
              <w:autoSpaceDN w:val="0"/>
              <w:adjustRightInd w:val="0"/>
              <w:snapToGrid w:val="0"/>
              <w:spacing w:line="360" w:lineRule="auto"/>
              <w:ind w:firstLine="482"/>
              <w:jc w:val="left"/>
              <w:rPr>
                <w:rFonts w:hint="default" w:ascii="Times New Roman" w:hAnsi="Times New Roman" w:eastAsia="宋体" w:cs="Times New Roman"/>
                <w:b w:val="0"/>
                <w:bCs/>
                <w:color w:val="auto"/>
                <w:kern w:val="2"/>
                <w:sz w:val="24"/>
                <w:szCs w:val="24"/>
                <w:lang w:val="en-US" w:eastAsia="zh-CN" w:bidi="ar-SA"/>
              </w:rPr>
            </w:pPr>
            <w:r>
              <w:rPr>
                <w:rFonts w:hint="default" w:ascii="Times New Roman" w:hAnsi="Times New Roman" w:eastAsia="宋体" w:cs="Times New Roman"/>
                <w:b w:val="0"/>
                <w:bCs/>
                <w:color w:val="auto"/>
                <w:kern w:val="2"/>
                <w:sz w:val="24"/>
                <w:szCs w:val="24"/>
                <w:lang w:val="en-US" w:eastAsia="zh-CN" w:bidi="ar-SA"/>
              </w:rPr>
              <w:t>根据《大气中VOCS的污染现状及治理技术研究进展》（曲茉莉，黑龙江省环境监测中心站，黑龙江哈尔滨150056）中的数据，单级活性炭吸附装置对VOCs去除率可达70%，故二级活性炭吸附装置去除效率可达90%以上</w:t>
            </w:r>
            <w:r>
              <w:rPr>
                <w:rFonts w:hint="eastAsia" w:cs="Times New Roman"/>
                <w:b w:val="0"/>
                <w:bCs/>
                <w:color w:val="auto"/>
                <w:kern w:val="2"/>
                <w:sz w:val="24"/>
                <w:szCs w:val="24"/>
                <w:lang w:val="en-US" w:eastAsia="zh-CN" w:bidi="ar-SA"/>
              </w:rPr>
              <w:t>。</w:t>
            </w:r>
          </w:p>
          <w:p>
            <w:pPr>
              <w:pStyle w:val="5"/>
              <w:jc w:val="center"/>
              <w:outlineLvl w:val="2"/>
              <w:rPr>
                <w:rFonts w:hint="default" w:ascii="Times New Roman" w:hAnsi="Times New Roman" w:cs="Times New Roman"/>
                <w:color w:val="auto"/>
                <w:kern w:val="0"/>
                <w:sz w:val="21"/>
                <w:szCs w:val="21"/>
                <w:highlight w:val="none"/>
              </w:rPr>
            </w:pPr>
            <w:r>
              <w:rPr>
                <w:rFonts w:hint="default" w:ascii="Times New Roman" w:hAnsi="Times New Roman" w:cs="Times New Roman"/>
                <w:b w:val="0"/>
                <w:bCs w:val="0"/>
                <w:color w:val="auto"/>
                <w:kern w:val="0"/>
                <w:sz w:val="21"/>
                <w:szCs w:val="21"/>
                <w:highlight w:val="none"/>
              </w:rPr>
              <w:drawing>
                <wp:inline distT="0" distB="0" distL="0" distR="0">
                  <wp:extent cx="4533900" cy="1513840"/>
                  <wp:effectExtent l="0" t="0" r="0" b="10160"/>
                  <wp:docPr id="102"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图片 102"/>
                          <pic:cNvPicPr>
                            <a:picLocks noChangeAspect="1" noChangeArrowheads="1"/>
                          </pic:cNvPicPr>
                        </pic:nvPicPr>
                        <pic:blipFill>
                          <a:blip r:embed="rId25"/>
                          <a:srcRect t="2591"/>
                          <a:stretch>
                            <a:fillRect/>
                          </a:stretch>
                        </pic:blipFill>
                        <pic:spPr>
                          <a:xfrm>
                            <a:off x="0" y="0"/>
                            <a:ext cx="4533900" cy="1513984"/>
                          </a:xfrm>
                          <a:prstGeom prst="rect">
                            <a:avLst/>
                          </a:prstGeom>
                          <a:noFill/>
                          <a:ln w="9525">
                            <a:noFill/>
                            <a:miter lim="800000"/>
                            <a:headEnd/>
                            <a:tailEnd/>
                          </a:ln>
                        </pic:spPr>
                      </pic:pic>
                    </a:graphicData>
                  </a:graphic>
                </wp:inline>
              </w:drawing>
            </w:r>
          </w:p>
          <w:p>
            <w:pPr>
              <w:jc w:val="center"/>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rPr>
              <w:t>图4-2项目活性炭吸附装置图</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10</w:t>
            </w:r>
            <w:r>
              <w:rPr>
                <w:rFonts w:hint="default" w:ascii="Times New Roman" w:hAnsi="Times New Roman" w:cs="Times New Roman"/>
                <w:b/>
                <w:bCs/>
                <w:color w:val="auto"/>
                <w:sz w:val="24"/>
                <w:szCs w:val="32"/>
                <w:highlight w:val="none"/>
                <w:lang w:val="en-US" w:eastAsia="zh-CN"/>
              </w:rPr>
              <w:t>单套活性炭设备选型参数</w:t>
            </w:r>
          </w:p>
          <w:tbl>
            <w:tblPr>
              <w:tblStyle w:val="25"/>
              <w:tblW w:w="793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10"/>
              <w:gridCol w:w="1116"/>
              <w:gridCol w:w="1369"/>
              <w:gridCol w:w="1413"/>
              <w:gridCol w:w="1765"/>
              <w:gridCol w:w="176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75" w:hRule="atLeast"/>
              </w:trPr>
              <w:tc>
                <w:tcPr>
                  <w:tcW w:w="510"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序号</w:t>
                  </w:r>
                </w:p>
              </w:tc>
              <w:tc>
                <w:tcPr>
                  <w:tcW w:w="1116"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参数名称</w:t>
                  </w:r>
                </w:p>
              </w:tc>
              <w:tc>
                <w:tcPr>
                  <w:tcW w:w="2782" w:type="dxa"/>
                  <w:gridSpan w:val="2"/>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技术指标</w:t>
                  </w:r>
                </w:p>
              </w:tc>
              <w:tc>
                <w:tcPr>
                  <w:tcW w:w="1765"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南通市生态环境局关于印发《南通市废气活性炭吸附设施专项整治实施方案》的通知要求</w:t>
                  </w:r>
                </w:p>
              </w:tc>
              <w:tc>
                <w:tcPr>
                  <w:tcW w:w="1765"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《工业有机废气治理用活性炭通用技术要求》（DB32/T5030-2025）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75" w:hRule="atLeast"/>
              </w:trPr>
              <w:tc>
                <w:tcPr>
                  <w:tcW w:w="510" w:type="dxa"/>
                  <w:vMerge w:val="continue"/>
                  <w:tcBorders>
                    <w:tl2br w:val="nil"/>
                    <w:tr2bl w:val="nil"/>
                  </w:tcBorders>
                  <w:shd w:val="clear" w:color="auto" w:fill="auto"/>
                  <w:vAlign w:val="center"/>
                </w:tcPr>
                <w:p>
                  <w:pPr>
                    <w:widowControl/>
                    <w:jc w:val="center"/>
                    <w:rPr>
                      <w:color w:val="auto"/>
                    </w:rPr>
                  </w:pPr>
                </w:p>
              </w:tc>
              <w:tc>
                <w:tcPr>
                  <w:tcW w:w="1116" w:type="dxa"/>
                  <w:vMerge w:val="continue"/>
                  <w:tcBorders>
                    <w:tl2br w:val="nil"/>
                    <w:tr2bl w:val="nil"/>
                  </w:tcBorders>
                  <w:shd w:val="clear" w:color="auto" w:fill="auto"/>
                  <w:vAlign w:val="center"/>
                </w:tcPr>
                <w:p>
                  <w:pPr>
                    <w:widowControl/>
                    <w:jc w:val="center"/>
                    <w:rPr>
                      <w:color w:val="auto"/>
                    </w:rPr>
                  </w:pP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TA001</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TA002</w:t>
                  </w:r>
                </w:p>
              </w:tc>
              <w:tc>
                <w:tcPr>
                  <w:tcW w:w="1765"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p>
              </w:tc>
              <w:tc>
                <w:tcPr>
                  <w:tcW w:w="1765"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设计风量</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17800</w:t>
                  </w:r>
                  <w:r>
                    <w:rPr>
                      <w:rFonts w:hint="default" w:ascii="Times New Roman" w:hAnsi="Times New Roman" w:cs="Times New Roman"/>
                      <w:color w:val="auto"/>
                      <w:kern w:val="0"/>
                      <w:sz w:val="21"/>
                      <w:szCs w:val="21"/>
                      <w:highlight w:val="none"/>
                    </w:rPr>
                    <w:t>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/h</w:t>
                  </w:r>
                </w:p>
              </w:tc>
              <w:tc>
                <w:tcPr>
                  <w:tcW w:w="1413" w:type="dxa"/>
                  <w:tcBorders>
                    <w:tl2br w:val="nil"/>
                    <w:tr2bl w:val="nil"/>
                  </w:tcBorders>
                  <w:shd w:val="clear" w:color="auto" w:fill="auto"/>
                  <w:vAlign w:val="center"/>
                </w:tcPr>
                <w:p>
                  <w:pPr>
                    <w:widowControl/>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22000</w:t>
                  </w:r>
                  <w:r>
                    <w:rPr>
                      <w:rFonts w:hint="default" w:ascii="Times New Roman" w:hAnsi="Times New Roman" w:cs="Times New Roman"/>
                      <w:color w:val="auto"/>
                      <w:kern w:val="0"/>
                      <w:sz w:val="21"/>
                      <w:szCs w:val="21"/>
                      <w:highlight w:val="none"/>
                    </w:rPr>
                    <w:t>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/h</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2</w:t>
                  </w:r>
                </w:p>
              </w:tc>
              <w:tc>
                <w:tcPr>
                  <w:tcW w:w="1116"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尺寸</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w:t>
                  </w:r>
                  <w:r>
                    <w:rPr>
                      <w:rFonts w:hint="eastAsia" w:ascii="Times New Roman" w:hAnsi="Times New Roman" w:cs="Times New Roman"/>
                      <w:color w:val="auto"/>
                      <w:kern w:val="0"/>
                      <w:sz w:val="21"/>
                      <w:szCs w:val="21"/>
                      <w:highlight w:val="none"/>
                      <w:lang w:val="en-US" w:eastAsia="zh-CN"/>
                    </w:rPr>
                    <w:t>*</w:t>
                  </w:r>
                  <w:r>
                    <w:rPr>
                      <w:rFonts w:hint="eastAsia" w:cs="Times New Roman"/>
                      <w:color w:val="auto"/>
                      <w:kern w:val="0"/>
                      <w:sz w:val="21"/>
                      <w:szCs w:val="21"/>
                      <w:highlight w:val="none"/>
                      <w:lang w:val="en-US" w:eastAsia="zh-CN"/>
                    </w:rPr>
                    <w:t>1.2</w:t>
                  </w:r>
                  <w:r>
                    <w:rPr>
                      <w:rFonts w:hint="eastAsia" w:ascii="Times New Roman" w:hAnsi="Times New Roman" w:cs="Times New Roman"/>
                      <w:color w:val="auto"/>
                      <w:kern w:val="0"/>
                      <w:sz w:val="21"/>
                      <w:szCs w:val="21"/>
                      <w:highlight w:val="none"/>
                      <w:lang w:val="en-US" w:eastAsia="zh-CN"/>
                    </w:rPr>
                    <w:t>*4m</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eastAsia" w:ascii="Times New Roman" w:hAnsi="Times New Roman" w:cs="Times New Roman"/>
                      <w:color w:val="auto"/>
                      <w:kern w:val="0"/>
                      <w:sz w:val="21"/>
                      <w:szCs w:val="21"/>
                      <w:highlight w:val="none"/>
                      <w:lang w:val="en-US" w:eastAsia="zh-CN"/>
                    </w:rPr>
                    <w:t>1</w:t>
                  </w:r>
                  <w:r>
                    <w:rPr>
                      <w:rFonts w:hint="eastAsia" w:cs="Times New Roman"/>
                      <w:color w:val="auto"/>
                      <w:kern w:val="0"/>
                      <w:sz w:val="21"/>
                      <w:szCs w:val="21"/>
                      <w:highlight w:val="none"/>
                      <w:lang w:val="en-US" w:eastAsia="zh-CN"/>
                    </w:rPr>
                    <w:t>.2</w:t>
                  </w:r>
                  <w:r>
                    <w:rPr>
                      <w:rFonts w:hint="eastAsia" w:ascii="Times New Roman" w:hAnsi="Times New Roman" w:cs="Times New Roman"/>
                      <w:color w:val="auto"/>
                      <w:kern w:val="0"/>
                      <w:sz w:val="21"/>
                      <w:szCs w:val="21"/>
                      <w:highlight w:val="none"/>
                      <w:lang w:val="en-US" w:eastAsia="zh-CN"/>
                    </w:rPr>
                    <w:t>*1</w:t>
                  </w:r>
                  <w:r>
                    <w:rPr>
                      <w:rFonts w:hint="eastAsia" w:cs="Times New Roman"/>
                      <w:color w:val="auto"/>
                      <w:kern w:val="0"/>
                      <w:sz w:val="21"/>
                      <w:szCs w:val="21"/>
                      <w:highlight w:val="none"/>
                      <w:lang w:val="en-US" w:eastAsia="zh-CN"/>
                    </w:rPr>
                    <w:t>.2</w:t>
                  </w:r>
                  <w:r>
                    <w:rPr>
                      <w:rFonts w:hint="eastAsia" w:ascii="Times New Roman" w:hAnsi="Times New Roman" w:cs="Times New Roman"/>
                      <w:color w:val="auto"/>
                      <w:kern w:val="0"/>
                      <w:sz w:val="21"/>
                      <w:szCs w:val="21"/>
                      <w:highlight w:val="none"/>
                      <w:lang w:val="en-US" w:eastAsia="zh-CN"/>
                    </w:rPr>
                    <w:t>*4m</w:t>
                  </w:r>
                </w:p>
              </w:tc>
              <w:tc>
                <w:tcPr>
                  <w:tcW w:w="1765"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3</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层数</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ascii="Times New Roman" w:hAnsi="Times New Roman" w:cs="Times New Roman"/>
                      <w:color w:val="auto"/>
                      <w:kern w:val="0"/>
                      <w:sz w:val="21"/>
                      <w:szCs w:val="21"/>
                      <w:highlight w:val="none"/>
                      <w:lang w:val="en-US" w:eastAsia="zh-CN"/>
                    </w:rPr>
                    <w:t>4</w:t>
                  </w:r>
                  <w:r>
                    <w:rPr>
                      <w:rFonts w:hint="default" w:ascii="Times New Roman" w:hAnsi="Times New Roman" w:cs="Times New Roman"/>
                      <w:color w:val="auto"/>
                      <w:kern w:val="0"/>
                      <w:sz w:val="21"/>
                      <w:szCs w:val="21"/>
                      <w:highlight w:val="none"/>
                    </w:rPr>
                    <w:t>层</w:t>
                  </w:r>
                </w:p>
              </w:tc>
              <w:tc>
                <w:tcPr>
                  <w:tcW w:w="1413" w:type="dxa"/>
                  <w:tcBorders>
                    <w:tl2br w:val="nil"/>
                    <w:tr2bl w:val="nil"/>
                  </w:tcBorders>
                  <w:shd w:val="clear" w:color="auto" w:fill="auto"/>
                  <w:vAlign w:val="center"/>
                </w:tcPr>
                <w:p>
                  <w:pPr>
                    <w:widowControl/>
                    <w:jc w:val="center"/>
                    <w:rPr>
                      <w:rFonts w:hint="eastAsia" w:ascii="Times New Roman" w:hAnsi="Times New Roman" w:cs="Times New Roman"/>
                      <w:color w:val="auto"/>
                      <w:kern w:val="0"/>
                      <w:sz w:val="21"/>
                      <w:szCs w:val="21"/>
                      <w:highlight w:val="none"/>
                      <w:lang w:val="en-US" w:eastAsia="zh-CN"/>
                    </w:rPr>
                  </w:pPr>
                  <w:r>
                    <w:rPr>
                      <w:rFonts w:hint="eastAsia" w:ascii="Times New Roman" w:hAnsi="Times New Roman" w:cs="Times New Roman"/>
                      <w:color w:val="auto"/>
                      <w:kern w:val="0"/>
                      <w:sz w:val="21"/>
                      <w:szCs w:val="21"/>
                      <w:highlight w:val="none"/>
                      <w:lang w:val="en-US" w:eastAsia="zh-CN"/>
                    </w:rPr>
                    <w:t>4</w:t>
                  </w:r>
                  <w:r>
                    <w:rPr>
                      <w:rFonts w:hint="default" w:ascii="Times New Roman" w:hAnsi="Times New Roman" w:cs="Times New Roman"/>
                      <w:color w:val="auto"/>
                      <w:kern w:val="0"/>
                      <w:sz w:val="21"/>
                      <w:szCs w:val="21"/>
                      <w:highlight w:val="none"/>
                    </w:rPr>
                    <w:t>层</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4</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活性炭类型</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蜂窝状活性炭</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蜂窝状活性炭</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5</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比表面积</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900-1600m</w:t>
                  </w:r>
                  <w:r>
                    <w:rPr>
                      <w:rFonts w:hint="default" w:ascii="Times New Roman" w:hAnsi="Times New Roman" w:cs="Times New Roman"/>
                      <w:color w:val="auto"/>
                      <w:kern w:val="0"/>
                      <w:sz w:val="21"/>
                      <w:szCs w:val="21"/>
                      <w:highlight w:val="none"/>
                      <w:vertAlign w:val="superscript"/>
                    </w:rPr>
                    <w:t>2</w:t>
                  </w:r>
                  <w:r>
                    <w:rPr>
                      <w:rFonts w:hint="default" w:ascii="Times New Roman" w:hAnsi="Times New Roman" w:cs="Times New Roman"/>
                      <w:color w:val="auto"/>
                      <w:kern w:val="0"/>
                      <w:sz w:val="21"/>
                      <w:szCs w:val="21"/>
                      <w:highlight w:val="none"/>
                    </w:rPr>
                    <w:t>/g</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900-1600m</w:t>
                  </w:r>
                  <w:r>
                    <w:rPr>
                      <w:rFonts w:hint="default" w:ascii="Times New Roman" w:hAnsi="Times New Roman" w:cs="Times New Roman"/>
                      <w:color w:val="auto"/>
                      <w:kern w:val="0"/>
                      <w:sz w:val="21"/>
                      <w:szCs w:val="21"/>
                      <w:highlight w:val="none"/>
                      <w:vertAlign w:val="superscript"/>
                    </w:rPr>
                    <w:t>2</w:t>
                  </w:r>
                  <w:r>
                    <w:rPr>
                      <w:rFonts w:hint="default" w:ascii="Times New Roman" w:hAnsi="Times New Roman" w:cs="Times New Roman"/>
                      <w:color w:val="auto"/>
                      <w:kern w:val="0"/>
                      <w:sz w:val="21"/>
                      <w:szCs w:val="21"/>
                      <w:highlight w:val="none"/>
                    </w:rPr>
                    <w:t>/g</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＞750m</w:t>
                  </w:r>
                  <w:r>
                    <w:rPr>
                      <w:rFonts w:hint="default" w:ascii="Times New Roman" w:hAnsi="Times New Roman" w:cs="Times New Roman"/>
                      <w:color w:val="auto"/>
                      <w:kern w:val="0"/>
                      <w:sz w:val="21"/>
                      <w:szCs w:val="21"/>
                      <w:highlight w:val="none"/>
                      <w:vertAlign w:val="superscript"/>
                    </w:rPr>
                    <w:t>2</w:t>
                  </w:r>
                  <w:r>
                    <w:rPr>
                      <w:rFonts w:hint="default" w:ascii="Times New Roman" w:hAnsi="Times New Roman" w:cs="Times New Roman"/>
                      <w:color w:val="auto"/>
                      <w:kern w:val="0"/>
                      <w:sz w:val="21"/>
                      <w:szCs w:val="21"/>
                      <w:highlight w:val="none"/>
                    </w:rPr>
                    <w:t>/g</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6</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孔体积</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0.63cm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/g</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0.63cm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/g</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7</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活性炭密度</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lang w:val="en-US" w:eastAsia="zh-CN"/>
                    </w:rPr>
                    <w:t>0.</w:t>
                  </w:r>
                  <w:r>
                    <w:rPr>
                      <w:rFonts w:hint="eastAsia" w:cs="Times New Roman"/>
                      <w:color w:val="auto"/>
                      <w:kern w:val="0"/>
                      <w:sz w:val="21"/>
                      <w:szCs w:val="21"/>
                      <w:highlight w:val="none"/>
                      <w:lang w:val="en-US" w:eastAsia="zh-CN"/>
                    </w:rPr>
                    <w:t>5</w:t>
                  </w:r>
                  <w:r>
                    <w:rPr>
                      <w:rFonts w:hint="default" w:ascii="Times New Roman" w:hAnsi="Times New Roman" w:cs="Times New Roman"/>
                      <w:color w:val="auto"/>
                      <w:kern w:val="0"/>
                      <w:sz w:val="21"/>
                      <w:szCs w:val="21"/>
                      <w:highlight w:val="none"/>
                    </w:rPr>
                    <w:t>g/cm</w:t>
                  </w:r>
                  <w:r>
                    <w:rPr>
                      <w:rFonts w:hint="default" w:ascii="Times New Roman" w:hAnsi="Times New Roman" w:cs="Times New Roman"/>
                      <w:color w:val="auto"/>
                      <w:kern w:val="0"/>
                      <w:sz w:val="21"/>
                      <w:szCs w:val="21"/>
                      <w:highlight w:val="none"/>
                      <w:vertAlign w:val="superscript"/>
                    </w:rPr>
                    <w:t>3</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lang w:val="en-US" w:eastAsia="zh-CN"/>
                    </w:rPr>
                    <w:t>0.</w:t>
                  </w:r>
                  <w:r>
                    <w:rPr>
                      <w:rFonts w:hint="eastAsia" w:cs="Times New Roman"/>
                      <w:color w:val="auto"/>
                      <w:kern w:val="0"/>
                      <w:sz w:val="21"/>
                      <w:szCs w:val="21"/>
                      <w:highlight w:val="none"/>
                      <w:lang w:val="en-US" w:eastAsia="zh-CN"/>
                    </w:rPr>
                    <w:t>5</w:t>
                  </w:r>
                  <w:r>
                    <w:rPr>
                      <w:rFonts w:hint="default" w:ascii="Times New Roman" w:hAnsi="Times New Roman" w:cs="Times New Roman"/>
                      <w:color w:val="auto"/>
                      <w:kern w:val="0"/>
                      <w:sz w:val="21"/>
                      <w:szCs w:val="21"/>
                      <w:highlight w:val="none"/>
                    </w:rPr>
                    <w:t>g/cm</w:t>
                  </w:r>
                  <w:r>
                    <w:rPr>
                      <w:rFonts w:hint="default" w:ascii="Times New Roman" w:hAnsi="Times New Roman" w:cs="Times New Roman"/>
                      <w:color w:val="auto"/>
                      <w:kern w:val="0"/>
                      <w:sz w:val="21"/>
                      <w:szCs w:val="21"/>
                      <w:highlight w:val="none"/>
                      <w:vertAlign w:val="superscript"/>
                    </w:rPr>
                    <w:t>3</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8</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碳层停留时间</w:t>
                  </w:r>
                </w:p>
              </w:tc>
              <w:tc>
                <w:tcPr>
                  <w:tcW w:w="1369"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1.36</w:t>
                  </w:r>
                </w:p>
              </w:tc>
              <w:tc>
                <w:tcPr>
                  <w:tcW w:w="1413" w:type="dxa"/>
                  <w:tcBorders>
                    <w:tl2br w:val="nil"/>
                    <w:tr2bl w:val="nil"/>
                  </w:tcBorders>
                  <w:shd w:val="clear" w:color="auto" w:fill="auto"/>
                  <w:vAlign w:val="center"/>
                </w:tcPr>
                <w:p>
                  <w:pPr>
                    <w:widowControl/>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1.32</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＞1s</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9</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气流速度</w:t>
                  </w:r>
                </w:p>
              </w:tc>
              <w:tc>
                <w:tcPr>
                  <w:tcW w:w="1369"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1.03</w:t>
                  </w:r>
                </w:p>
              </w:tc>
              <w:tc>
                <w:tcPr>
                  <w:tcW w:w="1413" w:type="dxa"/>
                  <w:tcBorders>
                    <w:tl2br w:val="nil"/>
                    <w:tr2bl w:val="nil"/>
                  </w:tcBorders>
                  <w:shd w:val="clear" w:color="auto" w:fill="auto"/>
                  <w:vAlign w:val="center"/>
                </w:tcPr>
                <w:p>
                  <w:pPr>
                    <w:widowControl/>
                    <w:jc w:val="center"/>
                    <w:rPr>
                      <w:rFonts w:hint="default"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1.06</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＜1.2m/s</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10</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填充量</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每套</w:t>
                  </w:r>
                  <w:r>
                    <w:rPr>
                      <w:rFonts w:hint="eastAsia" w:cs="Times New Roman"/>
                      <w:color w:val="auto"/>
                      <w:kern w:val="0"/>
                      <w:sz w:val="21"/>
                      <w:szCs w:val="21"/>
                      <w:highlight w:val="none"/>
                      <w:lang w:val="en-US" w:eastAsia="zh-CN"/>
                    </w:rPr>
                    <w:t>1.68</w:t>
                  </w:r>
                  <w:r>
                    <w:rPr>
                      <w:rFonts w:hint="default" w:ascii="Times New Roman" w:hAnsi="Times New Roman" w:cs="Times New Roman"/>
                      <w:color w:val="auto"/>
                      <w:kern w:val="0"/>
                      <w:sz w:val="21"/>
                      <w:szCs w:val="21"/>
                      <w:highlight w:val="none"/>
                    </w:rPr>
                    <w:t>t</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每套</w:t>
                  </w:r>
                  <w:r>
                    <w:rPr>
                      <w:rFonts w:hint="eastAsia" w:cs="Times New Roman"/>
                      <w:color w:val="auto"/>
                      <w:kern w:val="0"/>
                      <w:sz w:val="21"/>
                      <w:szCs w:val="21"/>
                      <w:highlight w:val="none"/>
                      <w:lang w:val="en-US" w:eastAsia="zh-CN"/>
                    </w:rPr>
                    <w:t>2</w:t>
                  </w:r>
                  <w:r>
                    <w:rPr>
                      <w:rFonts w:hint="default" w:ascii="Times New Roman" w:hAnsi="Times New Roman" w:cs="Times New Roman"/>
                      <w:color w:val="auto"/>
                      <w:kern w:val="0"/>
                      <w:sz w:val="21"/>
                      <w:szCs w:val="21"/>
                      <w:highlight w:val="none"/>
                    </w:rPr>
                    <w:t>t</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lang w:val="en-US"/>
                    </w:rPr>
                  </w:pPr>
                  <w:r>
                    <w:rPr>
                      <w:rFonts w:hint="eastAsia" w:cs="Times New Roman"/>
                      <w:color w:val="auto"/>
                      <w:kern w:val="0"/>
                      <w:sz w:val="21"/>
                      <w:szCs w:val="21"/>
                      <w:highlight w:val="none"/>
                      <w:lang w:val="en-US" w:eastAsia="zh-CN"/>
                    </w:rPr>
                    <w:t>≥1t</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rPr>
                    <w:t>1</w:t>
                  </w:r>
                  <w:r>
                    <w:rPr>
                      <w:rFonts w:hint="eastAsia" w:cs="Times New Roman"/>
                      <w:color w:val="auto"/>
                      <w:kern w:val="0"/>
                      <w:sz w:val="21"/>
                      <w:szCs w:val="21"/>
                      <w:highlight w:val="none"/>
                      <w:lang w:val="en-US" w:eastAsia="zh-CN"/>
                    </w:rPr>
                    <w:t>1</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吸附阻力损失</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450Pa</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450Pa</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default" w:ascii="Times New Roman" w:hAnsi="Times New Roman" w:cs="Times New Roman"/>
                      <w:color w:val="auto"/>
                      <w:kern w:val="0"/>
                      <w:sz w:val="21"/>
                      <w:szCs w:val="21"/>
                      <w:highlight w:val="none"/>
                    </w:rPr>
                    <w:t>/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rPr>
                    <w:t>1</w:t>
                  </w:r>
                  <w:r>
                    <w:rPr>
                      <w:rFonts w:hint="eastAsia" w:cs="Times New Roman"/>
                      <w:color w:val="auto"/>
                      <w:kern w:val="0"/>
                      <w:sz w:val="21"/>
                      <w:szCs w:val="21"/>
                      <w:highlight w:val="none"/>
                      <w:lang w:val="en-US" w:eastAsia="zh-CN"/>
                    </w:rPr>
                    <w:t>2</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碘值</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800</w:t>
                  </w:r>
                  <w:r>
                    <w:rPr>
                      <w:rFonts w:hint="default" w:ascii="Times New Roman" w:hAnsi="Times New Roman" w:cs="Times New Roman"/>
                      <w:color w:val="auto"/>
                      <w:kern w:val="0"/>
                      <w:sz w:val="21"/>
                      <w:szCs w:val="21"/>
                      <w:highlight w:val="none"/>
                    </w:rPr>
                    <w:t>mg/g</w:t>
                  </w:r>
                </w:p>
              </w:tc>
              <w:tc>
                <w:tcPr>
                  <w:tcW w:w="1413"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800</w:t>
                  </w:r>
                  <w:r>
                    <w:rPr>
                      <w:rFonts w:hint="default" w:ascii="Times New Roman" w:hAnsi="Times New Roman" w:cs="Times New Roman"/>
                      <w:color w:val="auto"/>
                      <w:kern w:val="0"/>
                      <w:sz w:val="21"/>
                      <w:szCs w:val="21"/>
                      <w:highlight w:val="none"/>
                    </w:rPr>
                    <w:t>mg/g</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≥800mg/g</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rPr>
                    <w:t>≥</w:t>
                  </w:r>
                  <w:r>
                    <w:rPr>
                      <w:rFonts w:hint="eastAsia" w:cs="Times New Roman"/>
                      <w:color w:val="auto"/>
                      <w:kern w:val="0"/>
                      <w:lang w:val="en-US" w:eastAsia="zh-CN"/>
                    </w:rPr>
                    <w:t>650</w:t>
                  </w:r>
                  <w:r>
                    <w:rPr>
                      <w:rFonts w:hint="default" w:ascii="Times New Roman" w:hAnsi="Times New Roman" w:cs="Times New Roman"/>
                      <w:color w:val="auto"/>
                      <w:kern w:val="0"/>
                      <w:sz w:val="21"/>
                      <w:szCs w:val="21"/>
                      <w:highlight w:val="none"/>
                    </w:rPr>
                    <w:t>mg/g</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trPr>
              <w:tc>
                <w:tcPr>
                  <w:tcW w:w="510"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13</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净化效率</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单套70%，二级综合效率90%</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单套70%，二级综合效率90%</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default" w:ascii="Times New Roman" w:hAnsi="Times New Roman" w:cs="Times New Roman"/>
                      <w:color w:val="auto"/>
                      <w:kern w:val="0"/>
                    </w:rPr>
                    <w:t>≥</w:t>
                  </w:r>
                  <w:r>
                    <w:rPr>
                      <w:rFonts w:hint="eastAsia" w:cs="Times New Roman"/>
                      <w:color w:val="auto"/>
                      <w:kern w:val="0"/>
                      <w:lang w:val="en-US" w:eastAsia="zh-CN"/>
                    </w:rPr>
                    <w:t>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51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14</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吸入温度</w:t>
                  </w:r>
                </w:p>
              </w:tc>
              <w:tc>
                <w:tcPr>
                  <w:tcW w:w="136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＜40℃，25℃最佳</w:t>
                  </w:r>
                </w:p>
              </w:tc>
              <w:tc>
                <w:tcPr>
                  <w:tcW w:w="141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＜40℃，25℃最佳</w:t>
                  </w:r>
                </w:p>
              </w:tc>
              <w:tc>
                <w:tcPr>
                  <w:tcW w:w="176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eastAsia" w:cs="Times New Roman"/>
                      <w:color w:val="auto"/>
                      <w:kern w:val="0"/>
                      <w:sz w:val="21"/>
                      <w:szCs w:val="21"/>
                      <w:highlight w:val="none"/>
                      <w:lang w:val="en-US" w:eastAsia="zh-CN"/>
                    </w:rPr>
                    <w:t>/</w:t>
                  </w:r>
                  <w:r>
                    <w:rPr>
                      <w:rFonts w:hint="default" w:ascii="Times New Roman" w:hAnsi="Times New Roman" w:cs="Times New Roman"/>
                      <w:color w:val="auto"/>
                      <w:kern w:val="0"/>
                      <w:sz w:val="21"/>
                      <w:szCs w:val="21"/>
                      <w:highlight w:val="none"/>
                    </w:rPr>
                    <w:t>　</w:t>
                  </w:r>
                </w:p>
              </w:tc>
              <w:tc>
                <w:tcPr>
                  <w:tcW w:w="1765" w:type="dxa"/>
                  <w:tcBorders>
                    <w:tl2br w:val="nil"/>
                    <w:tr2bl w:val="nil"/>
                  </w:tcBorders>
                  <w:shd w:val="clear" w:color="auto" w:fill="auto"/>
                  <w:vAlign w:val="center"/>
                </w:tcPr>
                <w:p>
                  <w:pPr>
                    <w:widowControl/>
                    <w:jc w:val="center"/>
                    <w:rPr>
                      <w:rFonts w:hint="eastAsia"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w:t>
                  </w:r>
                </w:p>
              </w:tc>
            </w:tr>
          </w:tbl>
          <w:p>
            <w:pPr>
              <w:adjustRightInd w:val="0"/>
              <w:snapToGrid w:val="0"/>
              <w:spacing w:line="360" w:lineRule="auto"/>
              <w:ind w:firstLine="482"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b/>
                <w:bCs/>
                <w:color w:val="auto"/>
                <w:kern w:val="0"/>
                <w:sz w:val="24"/>
                <w:szCs w:val="24"/>
                <w:highlight w:val="none"/>
              </w:rPr>
              <w:t>技术参数计算过程：</w:t>
            </w:r>
          </w:p>
          <w:p>
            <w:pPr>
              <w:pStyle w:val="73"/>
              <w:spacing w:line="360" w:lineRule="auto"/>
              <w:ind w:firstLine="42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rPr>
              <w:t>（1）气流速度V=风量Q/</w:t>
            </w:r>
            <w:r>
              <w:rPr>
                <w:rFonts w:hint="eastAsia" w:ascii="Times New Roman" w:hAnsi="Times New Roman" w:eastAsia="宋体" w:cs="Times New Roman"/>
                <w:color w:val="auto"/>
                <w:kern w:val="0"/>
                <w:sz w:val="24"/>
                <w:szCs w:val="24"/>
                <w:highlight w:val="none"/>
                <w:lang w:val="en-US" w:eastAsia="zh-CN"/>
              </w:rPr>
              <w:t>炭层横截面积</w:t>
            </w:r>
          </w:p>
          <w:p>
            <w:pPr>
              <w:pStyle w:val="73"/>
              <w:spacing w:line="360" w:lineRule="auto"/>
              <w:ind w:firstLine="420"/>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TA001：</w:t>
            </w:r>
            <w:r>
              <w:rPr>
                <w:rFonts w:hint="default" w:ascii="Times New Roman" w:hAnsi="Times New Roman" w:eastAsia="宋体" w:cs="Times New Roman"/>
                <w:color w:val="auto"/>
                <w:kern w:val="0"/>
                <w:sz w:val="24"/>
                <w:szCs w:val="24"/>
                <w:highlight w:val="none"/>
              </w:rPr>
              <w:t>气流速度V=（</w:t>
            </w:r>
            <w:r>
              <w:rPr>
                <w:rFonts w:hint="eastAsia" w:ascii="Times New Roman" w:hAnsi="Times New Roman" w:eastAsia="宋体" w:cs="Times New Roman"/>
                <w:color w:val="auto"/>
                <w:kern w:val="0"/>
                <w:sz w:val="24"/>
                <w:szCs w:val="24"/>
                <w:highlight w:val="none"/>
                <w:lang w:val="en-US" w:eastAsia="zh-CN"/>
              </w:rPr>
              <w:t>17800</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val="en-US" w:eastAsia="zh-CN"/>
              </w:rPr>
              <w:t>3600</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1/1.2/4</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1.03</w:t>
            </w:r>
            <w:r>
              <w:rPr>
                <w:rFonts w:hint="default" w:ascii="Times New Roman" w:hAnsi="Times New Roman" w:eastAsia="宋体" w:cs="Times New Roman"/>
                <w:color w:val="auto"/>
                <w:kern w:val="0"/>
                <w:sz w:val="24"/>
                <w:szCs w:val="24"/>
                <w:highlight w:val="none"/>
              </w:rPr>
              <w:t>m/s</w:t>
            </w:r>
            <w:r>
              <w:rPr>
                <w:rFonts w:hint="default" w:ascii="Times New Roman" w:hAnsi="Times New Roman" w:eastAsia="宋体" w:cs="Times New Roman"/>
                <w:color w:val="auto"/>
                <w:kern w:val="0"/>
                <w:sz w:val="24"/>
                <w:szCs w:val="24"/>
                <w:highlight w:val="none"/>
                <w:lang w:eastAsia="zh-CN"/>
              </w:rPr>
              <w:t>；</w:t>
            </w:r>
          </w:p>
          <w:p>
            <w:pPr>
              <w:pStyle w:val="73"/>
              <w:spacing w:line="360" w:lineRule="auto"/>
              <w:ind w:firstLine="420"/>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TA002：</w:t>
            </w:r>
            <w:r>
              <w:rPr>
                <w:rFonts w:hint="default" w:ascii="Times New Roman" w:hAnsi="Times New Roman" w:eastAsia="宋体" w:cs="Times New Roman"/>
                <w:color w:val="auto"/>
                <w:kern w:val="0"/>
                <w:sz w:val="24"/>
                <w:szCs w:val="24"/>
                <w:highlight w:val="none"/>
              </w:rPr>
              <w:t>气流速度V=（</w:t>
            </w:r>
            <w:r>
              <w:rPr>
                <w:rFonts w:hint="eastAsia" w:ascii="Times New Roman" w:hAnsi="Times New Roman" w:eastAsia="宋体" w:cs="Times New Roman"/>
                <w:color w:val="auto"/>
                <w:kern w:val="0"/>
                <w:sz w:val="24"/>
                <w:szCs w:val="24"/>
                <w:highlight w:val="none"/>
                <w:lang w:val="en-US" w:eastAsia="zh-CN"/>
              </w:rPr>
              <w:t>22000</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val="en-US" w:eastAsia="zh-CN"/>
              </w:rPr>
              <w:t>3600</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1.2/1.2/4</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1.06</w:t>
            </w:r>
            <w:r>
              <w:rPr>
                <w:rFonts w:hint="default" w:ascii="Times New Roman" w:hAnsi="Times New Roman" w:eastAsia="宋体" w:cs="Times New Roman"/>
                <w:color w:val="auto"/>
                <w:kern w:val="0"/>
                <w:sz w:val="24"/>
                <w:szCs w:val="24"/>
                <w:highlight w:val="none"/>
              </w:rPr>
              <w:t>m/s</w:t>
            </w:r>
            <w:r>
              <w:rPr>
                <w:rFonts w:hint="default" w:ascii="Times New Roman" w:hAnsi="Times New Roman" w:eastAsia="宋体" w:cs="Times New Roman"/>
                <w:color w:val="auto"/>
                <w:kern w:val="0"/>
                <w:sz w:val="24"/>
                <w:szCs w:val="24"/>
                <w:highlight w:val="none"/>
                <w:lang w:eastAsia="zh-CN"/>
              </w:rPr>
              <w:t>；</w:t>
            </w:r>
          </w:p>
          <w:p>
            <w:pPr>
              <w:pStyle w:val="73"/>
              <w:spacing w:line="360" w:lineRule="auto"/>
              <w:ind w:firstLine="42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（2）停留时间T=活性炭厚度H/气流速度V</w:t>
            </w:r>
          </w:p>
          <w:p>
            <w:pPr>
              <w:pStyle w:val="73"/>
              <w:spacing w:line="360" w:lineRule="auto"/>
              <w:ind w:firstLine="42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TA001：</w:t>
            </w:r>
            <w:r>
              <w:rPr>
                <w:rFonts w:hint="default" w:ascii="Times New Roman" w:hAnsi="Times New Roman" w:eastAsia="宋体" w:cs="Times New Roman"/>
                <w:color w:val="auto"/>
                <w:kern w:val="0"/>
                <w:sz w:val="24"/>
                <w:szCs w:val="24"/>
                <w:highlight w:val="none"/>
                <w:lang w:val="en-US" w:eastAsia="zh-CN"/>
              </w:rPr>
              <w:t>停留时间T=0.</w:t>
            </w:r>
            <w:r>
              <w:rPr>
                <w:rFonts w:hint="eastAsia" w:ascii="Times New Roman" w:hAnsi="Times New Roman" w:eastAsia="宋体" w:cs="Times New Roman"/>
                <w:color w:val="auto"/>
                <w:kern w:val="0"/>
                <w:sz w:val="24"/>
                <w:szCs w:val="24"/>
                <w:highlight w:val="none"/>
                <w:lang w:val="en-US" w:eastAsia="zh-CN"/>
              </w:rPr>
              <w:t>35</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1.03</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1.36</w:t>
            </w:r>
            <w:r>
              <w:rPr>
                <w:rFonts w:hint="default" w:ascii="Times New Roman" w:hAnsi="Times New Roman" w:eastAsia="宋体" w:cs="Times New Roman"/>
                <w:color w:val="auto"/>
                <w:kern w:val="0"/>
                <w:sz w:val="24"/>
                <w:szCs w:val="24"/>
                <w:highlight w:val="none"/>
                <w:lang w:val="en-US" w:eastAsia="zh-CN"/>
              </w:rPr>
              <w:t>s；</w:t>
            </w:r>
          </w:p>
          <w:p>
            <w:pPr>
              <w:pStyle w:val="73"/>
              <w:spacing w:line="360" w:lineRule="auto"/>
              <w:ind w:firstLine="42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TA002：</w:t>
            </w:r>
            <w:r>
              <w:rPr>
                <w:rFonts w:hint="default" w:ascii="Times New Roman" w:hAnsi="Times New Roman" w:eastAsia="宋体" w:cs="Times New Roman"/>
                <w:color w:val="auto"/>
                <w:kern w:val="0"/>
                <w:sz w:val="24"/>
                <w:szCs w:val="24"/>
                <w:highlight w:val="none"/>
                <w:lang w:val="en-US" w:eastAsia="zh-CN"/>
              </w:rPr>
              <w:t>停留时间T=0.</w:t>
            </w:r>
            <w:r>
              <w:rPr>
                <w:rFonts w:hint="eastAsia" w:ascii="Times New Roman" w:hAnsi="Times New Roman" w:eastAsia="宋体" w:cs="Times New Roman"/>
                <w:color w:val="auto"/>
                <w:kern w:val="0"/>
                <w:sz w:val="24"/>
                <w:szCs w:val="24"/>
                <w:highlight w:val="none"/>
                <w:lang w:val="en-US" w:eastAsia="zh-CN"/>
              </w:rPr>
              <w:t>35</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lang w:val="en-US" w:eastAsia="zh-CN"/>
              </w:rPr>
              <w:t>/</w:t>
            </w:r>
            <w:r>
              <w:rPr>
                <w:rFonts w:hint="eastAsia" w:ascii="Times New Roman" w:hAnsi="Times New Roman" w:eastAsia="宋体" w:cs="Times New Roman"/>
                <w:color w:val="auto"/>
                <w:kern w:val="0"/>
                <w:sz w:val="24"/>
                <w:szCs w:val="24"/>
                <w:highlight w:val="none"/>
                <w:lang w:val="en-US" w:eastAsia="zh-CN"/>
              </w:rPr>
              <w:t>1.06</w:t>
            </w:r>
            <w:r>
              <w:rPr>
                <w:rFonts w:hint="default" w:ascii="Times New Roman" w:hAnsi="Times New Roman" w:eastAsia="宋体" w:cs="Times New Roman"/>
                <w:color w:val="auto"/>
                <w:kern w:val="0"/>
                <w:sz w:val="24"/>
                <w:szCs w:val="24"/>
                <w:highlight w:val="none"/>
                <w:lang w:val="en-US" w:eastAsia="zh-CN"/>
              </w:rPr>
              <w:t>=1.</w:t>
            </w:r>
            <w:r>
              <w:rPr>
                <w:rFonts w:hint="eastAsia" w:ascii="Times New Roman" w:hAnsi="Times New Roman" w:eastAsia="宋体" w:cs="Times New Roman"/>
                <w:color w:val="auto"/>
                <w:kern w:val="0"/>
                <w:sz w:val="24"/>
                <w:szCs w:val="24"/>
                <w:highlight w:val="none"/>
                <w:lang w:val="en-US" w:eastAsia="zh-CN"/>
              </w:rPr>
              <w:t>32</w:t>
            </w:r>
            <w:r>
              <w:rPr>
                <w:rFonts w:hint="default" w:ascii="Times New Roman" w:hAnsi="Times New Roman" w:eastAsia="宋体" w:cs="Times New Roman"/>
                <w:color w:val="auto"/>
                <w:kern w:val="0"/>
                <w:sz w:val="24"/>
                <w:szCs w:val="24"/>
                <w:highlight w:val="none"/>
                <w:lang w:val="en-US" w:eastAsia="zh-CN"/>
              </w:rPr>
              <w:t>s；</w:t>
            </w:r>
          </w:p>
          <w:p>
            <w:pPr>
              <w:pStyle w:val="73"/>
              <w:spacing w:line="360" w:lineRule="auto"/>
              <w:ind w:firstLine="42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（3）活性炭有效容积V=L活性炭长度×W活性炭宽度×H活性炭高度×层数</w:t>
            </w:r>
          </w:p>
          <w:p>
            <w:pPr>
              <w:pStyle w:val="73"/>
              <w:spacing w:line="360" w:lineRule="auto"/>
              <w:ind w:firstLine="420"/>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TA001：单床</w:t>
            </w:r>
            <w:r>
              <w:rPr>
                <w:rFonts w:hint="default" w:ascii="Times New Roman" w:hAnsi="Times New Roman" w:eastAsia="宋体" w:cs="Times New Roman"/>
                <w:color w:val="auto"/>
                <w:kern w:val="0"/>
                <w:sz w:val="24"/>
                <w:szCs w:val="24"/>
                <w:highlight w:val="none"/>
              </w:rPr>
              <w:t>活性炭有效容积V=</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1.2</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×0.</w:t>
            </w:r>
            <w:r>
              <w:rPr>
                <w:rFonts w:hint="eastAsia" w:ascii="Times New Roman" w:hAnsi="Times New Roman" w:eastAsia="宋体" w:cs="Times New Roman"/>
                <w:color w:val="auto"/>
                <w:kern w:val="0"/>
                <w:sz w:val="24"/>
                <w:szCs w:val="24"/>
                <w:highlight w:val="none"/>
                <w:lang w:val="en-US" w:eastAsia="zh-CN"/>
              </w:rPr>
              <w:t>35</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1.68</w:t>
            </w:r>
            <w:r>
              <w:rPr>
                <w:rFonts w:hint="default" w:ascii="Times New Roman" w:hAnsi="Times New Roman" w:eastAsia="宋体" w:cs="Times New Roman"/>
                <w:color w:val="auto"/>
                <w:kern w:val="0"/>
                <w:sz w:val="24"/>
                <w:szCs w:val="24"/>
                <w:highlight w:val="none"/>
              </w:rPr>
              <w:t>m</w:t>
            </w:r>
            <w:r>
              <w:rPr>
                <w:rFonts w:hint="default" w:ascii="Times New Roman" w:hAnsi="Times New Roman" w:eastAsia="宋体" w:cs="Times New Roman"/>
                <w:color w:val="auto"/>
                <w:kern w:val="0"/>
                <w:sz w:val="24"/>
                <w:szCs w:val="24"/>
                <w:highlight w:val="none"/>
                <w:vertAlign w:val="superscript"/>
              </w:rPr>
              <w:t>3</w:t>
            </w:r>
            <w:r>
              <w:rPr>
                <w:rFonts w:hint="default" w:ascii="Times New Roman" w:hAnsi="Times New Roman" w:eastAsia="宋体" w:cs="Times New Roman"/>
                <w:color w:val="auto"/>
                <w:kern w:val="0"/>
                <w:sz w:val="24"/>
                <w:szCs w:val="24"/>
                <w:highlight w:val="none"/>
                <w:lang w:eastAsia="zh-CN"/>
              </w:rPr>
              <w:t>；</w:t>
            </w:r>
          </w:p>
          <w:p>
            <w:pPr>
              <w:pStyle w:val="73"/>
              <w:spacing w:line="360" w:lineRule="auto"/>
              <w:ind w:firstLine="420"/>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TA002：单床</w:t>
            </w:r>
            <w:r>
              <w:rPr>
                <w:rFonts w:hint="default" w:ascii="Times New Roman" w:hAnsi="Times New Roman" w:eastAsia="宋体" w:cs="Times New Roman"/>
                <w:color w:val="auto"/>
                <w:kern w:val="0"/>
                <w:sz w:val="24"/>
                <w:szCs w:val="24"/>
                <w:highlight w:val="none"/>
              </w:rPr>
              <w:t>活性炭有效容积V=</w:t>
            </w:r>
            <w:r>
              <w:rPr>
                <w:rFonts w:hint="default" w:ascii="Times New Roman" w:hAnsi="Times New Roman" w:eastAsia="宋体" w:cs="Times New Roman"/>
                <w:color w:val="auto"/>
                <w:kern w:val="0"/>
                <w:sz w:val="24"/>
                <w:szCs w:val="24"/>
                <w:highlight w:val="none"/>
                <w:lang w:val="en-US" w:eastAsia="zh-CN"/>
              </w:rPr>
              <w:t>1.</w:t>
            </w:r>
            <w:r>
              <w:rPr>
                <w:rFonts w:hint="eastAsia" w:ascii="Times New Roman" w:hAnsi="Times New Roman" w:eastAsia="宋体" w:cs="Times New Roman"/>
                <w:color w:val="auto"/>
                <w:kern w:val="0"/>
                <w:sz w:val="24"/>
                <w:szCs w:val="24"/>
                <w:highlight w:val="none"/>
                <w:lang w:val="en-US" w:eastAsia="zh-CN"/>
              </w:rPr>
              <w:t>2</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1.2</w:t>
            </w:r>
            <w:r>
              <w:rPr>
                <w:rFonts w:hint="default" w:ascii="Times New Roman" w:hAnsi="Times New Roman" w:eastAsia="宋体" w:cs="Times New Roman"/>
                <w:color w:val="auto"/>
                <w:kern w:val="0"/>
                <w:sz w:val="24"/>
                <w:szCs w:val="24"/>
                <w:highlight w:val="none"/>
              </w:rPr>
              <w:t>×</w:t>
            </w:r>
            <w:r>
              <w:rPr>
                <w:rFonts w:hint="default" w:ascii="Times New Roman" w:hAnsi="Times New Roman" w:eastAsia="宋体" w:cs="Times New Roman"/>
                <w:color w:val="auto"/>
                <w:kern w:val="0"/>
                <w:sz w:val="24"/>
                <w:szCs w:val="24"/>
                <w:highlight w:val="none"/>
                <w:lang w:val="en-US" w:eastAsia="zh-CN"/>
              </w:rPr>
              <w:t>1</w:t>
            </w:r>
            <w:r>
              <w:rPr>
                <w:rFonts w:hint="default" w:ascii="Times New Roman" w:hAnsi="Times New Roman" w:eastAsia="宋体" w:cs="Times New Roman"/>
                <w:color w:val="auto"/>
                <w:kern w:val="0"/>
                <w:sz w:val="24"/>
                <w:szCs w:val="24"/>
                <w:highlight w:val="none"/>
              </w:rPr>
              <w:t>×0.</w:t>
            </w:r>
            <w:r>
              <w:rPr>
                <w:rFonts w:hint="eastAsia" w:ascii="Times New Roman" w:hAnsi="Times New Roman" w:eastAsia="宋体" w:cs="Times New Roman"/>
                <w:color w:val="auto"/>
                <w:kern w:val="0"/>
                <w:sz w:val="24"/>
                <w:szCs w:val="24"/>
                <w:highlight w:val="none"/>
                <w:lang w:val="en-US" w:eastAsia="zh-CN"/>
              </w:rPr>
              <w:t>35</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4</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2.016</w:t>
            </w:r>
            <w:r>
              <w:rPr>
                <w:rFonts w:hint="default" w:ascii="Times New Roman" w:hAnsi="Times New Roman" w:eastAsia="宋体" w:cs="Times New Roman"/>
                <w:color w:val="auto"/>
                <w:kern w:val="0"/>
                <w:sz w:val="24"/>
                <w:szCs w:val="24"/>
                <w:highlight w:val="none"/>
              </w:rPr>
              <w:t>m</w:t>
            </w:r>
            <w:r>
              <w:rPr>
                <w:rFonts w:hint="default" w:ascii="Times New Roman" w:hAnsi="Times New Roman" w:eastAsia="宋体" w:cs="Times New Roman"/>
                <w:color w:val="auto"/>
                <w:kern w:val="0"/>
                <w:sz w:val="24"/>
                <w:szCs w:val="24"/>
                <w:highlight w:val="none"/>
                <w:vertAlign w:val="superscript"/>
              </w:rPr>
              <w:t>3</w:t>
            </w:r>
            <w:r>
              <w:rPr>
                <w:rFonts w:hint="default" w:ascii="Times New Roman" w:hAnsi="Times New Roman" w:eastAsia="宋体" w:cs="Times New Roman"/>
                <w:color w:val="auto"/>
                <w:kern w:val="0"/>
                <w:sz w:val="24"/>
                <w:szCs w:val="24"/>
                <w:highlight w:val="none"/>
                <w:lang w:eastAsia="zh-CN"/>
              </w:rPr>
              <w:t>；</w:t>
            </w:r>
          </w:p>
          <w:p>
            <w:pPr>
              <w:pStyle w:val="73"/>
              <w:spacing w:line="360" w:lineRule="auto"/>
              <w:ind w:firstLine="42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单床活性炭填充量M=活性炭密度ρ×容积</w:t>
            </w:r>
          </w:p>
          <w:p>
            <w:pPr>
              <w:pStyle w:val="73"/>
              <w:spacing w:line="360" w:lineRule="auto"/>
              <w:ind w:firstLine="42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TA001：单床</w:t>
            </w:r>
            <w:r>
              <w:rPr>
                <w:rFonts w:hint="default" w:ascii="Times New Roman" w:hAnsi="Times New Roman" w:eastAsia="宋体" w:cs="Times New Roman"/>
                <w:color w:val="auto"/>
                <w:kern w:val="0"/>
                <w:sz w:val="24"/>
                <w:szCs w:val="24"/>
                <w:highlight w:val="none"/>
              </w:rPr>
              <w:t>活性炭填充量</w:t>
            </w:r>
            <w:r>
              <w:rPr>
                <w:rFonts w:hint="eastAsia" w:ascii="Times New Roman" w:hAnsi="Times New Roman" w:eastAsia="宋体" w:cs="Times New Roman"/>
                <w:color w:val="auto"/>
                <w:kern w:val="0"/>
                <w:sz w:val="24"/>
                <w:szCs w:val="24"/>
                <w:highlight w:val="none"/>
                <w:lang w:val="en-US" w:eastAsia="zh-CN"/>
              </w:rPr>
              <w:t>M</w:t>
            </w:r>
            <w:r>
              <w:rPr>
                <w:rFonts w:hint="default" w:ascii="Times New Roman" w:hAnsi="Times New Roman" w:eastAsia="宋体" w:cs="Times New Roman"/>
                <w:color w:val="auto"/>
                <w:kern w:val="0"/>
                <w:sz w:val="24"/>
                <w:szCs w:val="24"/>
                <w:highlight w:val="none"/>
              </w:rPr>
              <w:t>=0.</w:t>
            </w:r>
            <w:r>
              <w:rPr>
                <w:rFonts w:hint="eastAsia" w:ascii="Times New Roman" w:hAnsi="Times New Roman" w:eastAsia="宋体"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1.68≈0.84</w:t>
            </w:r>
            <w:r>
              <w:rPr>
                <w:rFonts w:hint="default" w:ascii="Times New Roman" w:hAnsi="Times New Roman" w:eastAsia="宋体" w:cs="Times New Roman"/>
                <w:color w:val="auto"/>
                <w:kern w:val="0"/>
                <w:sz w:val="24"/>
                <w:szCs w:val="24"/>
                <w:highlight w:val="none"/>
              </w:rPr>
              <w:t>t</w:t>
            </w:r>
            <w:r>
              <w:rPr>
                <w:rFonts w:hint="default"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总</w:t>
            </w:r>
            <w:r>
              <w:rPr>
                <w:rFonts w:hint="default" w:ascii="Times New Roman" w:hAnsi="Times New Roman" w:eastAsia="宋体" w:cs="Times New Roman"/>
                <w:color w:val="auto"/>
                <w:kern w:val="0"/>
                <w:sz w:val="24"/>
                <w:szCs w:val="24"/>
                <w:highlight w:val="none"/>
              </w:rPr>
              <w:t>填充量</w:t>
            </w:r>
            <w:r>
              <w:rPr>
                <w:rFonts w:hint="eastAsia" w:ascii="Times New Roman" w:hAnsi="Times New Roman" w:eastAsia="宋体" w:cs="Times New Roman"/>
                <w:color w:val="auto"/>
                <w:kern w:val="0"/>
                <w:sz w:val="24"/>
                <w:szCs w:val="24"/>
                <w:highlight w:val="none"/>
                <w:lang w:val="en-US" w:eastAsia="zh-CN"/>
              </w:rPr>
              <w:t>1.64t</w:t>
            </w:r>
          </w:p>
          <w:p>
            <w:pPr>
              <w:pStyle w:val="73"/>
              <w:spacing w:line="360" w:lineRule="auto"/>
              <w:ind w:firstLine="420"/>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TA002：单床</w:t>
            </w:r>
            <w:r>
              <w:rPr>
                <w:rFonts w:hint="default" w:ascii="Times New Roman" w:hAnsi="Times New Roman" w:eastAsia="宋体" w:cs="Times New Roman"/>
                <w:color w:val="auto"/>
                <w:kern w:val="0"/>
                <w:sz w:val="24"/>
                <w:szCs w:val="24"/>
                <w:highlight w:val="none"/>
              </w:rPr>
              <w:t>活性炭填充量</w:t>
            </w:r>
            <w:r>
              <w:rPr>
                <w:rFonts w:hint="eastAsia" w:ascii="Times New Roman" w:hAnsi="Times New Roman" w:eastAsia="宋体" w:cs="Times New Roman"/>
                <w:color w:val="auto"/>
                <w:kern w:val="0"/>
                <w:sz w:val="24"/>
                <w:szCs w:val="24"/>
                <w:highlight w:val="none"/>
                <w:lang w:val="en-US" w:eastAsia="zh-CN"/>
              </w:rPr>
              <w:t>M</w:t>
            </w:r>
            <w:r>
              <w:rPr>
                <w:rFonts w:hint="default" w:ascii="Times New Roman" w:hAnsi="Times New Roman" w:eastAsia="宋体" w:cs="Times New Roman"/>
                <w:color w:val="auto"/>
                <w:kern w:val="0"/>
                <w:sz w:val="24"/>
                <w:szCs w:val="24"/>
                <w:highlight w:val="none"/>
              </w:rPr>
              <w:t>=0.</w:t>
            </w:r>
            <w:r>
              <w:rPr>
                <w:rFonts w:hint="eastAsia" w:ascii="Times New Roman" w:hAnsi="Times New Roman" w:eastAsia="宋体" w:cs="Times New Roman"/>
                <w:color w:val="auto"/>
                <w:kern w:val="0"/>
                <w:sz w:val="24"/>
                <w:szCs w:val="24"/>
                <w:highlight w:val="none"/>
                <w:lang w:val="en-US" w:eastAsia="zh-CN"/>
              </w:rPr>
              <w:t>5</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val="en-US" w:eastAsia="zh-CN"/>
              </w:rPr>
              <w:t>2.016≈1</w:t>
            </w:r>
            <w:r>
              <w:rPr>
                <w:rFonts w:hint="default" w:ascii="Times New Roman" w:hAnsi="Times New Roman" w:eastAsia="宋体" w:cs="Times New Roman"/>
                <w:color w:val="auto"/>
                <w:kern w:val="0"/>
                <w:sz w:val="24"/>
                <w:szCs w:val="24"/>
                <w:highlight w:val="none"/>
              </w:rPr>
              <w:t>t</w:t>
            </w:r>
            <w:r>
              <w:rPr>
                <w:rFonts w:hint="default" w:ascii="Times New Roman" w:hAnsi="Times New Roman" w:eastAsia="宋体" w:cs="Times New Roman"/>
                <w:color w:val="auto"/>
                <w:kern w:val="0"/>
                <w:sz w:val="24"/>
                <w:szCs w:val="24"/>
                <w:highlight w:val="none"/>
                <w:lang w:eastAsia="zh-CN"/>
              </w:rPr>
              <w:t>；</w:t>
            </w:r>
            <w:r>
              <w:rPr>
                <w:rFonts w:hint="eastAsia" w:ascii="Times New Roman" w:hAnsi="Times New Roman" w:eastAsia="宋体" w:cs="Times New Roman"/>
                <w:color w:val="auto"/>
                <w:kern w:val="0"/>
                <w:sz w:val="24"/>
                <w:szCs w:val="24"/>
                <w:highlight w:val="none"/>
                <w:lang w:val="en-US" w:eastAsia="zh-CN"/>
              </w:rPr>
              <w:t>总</w:t>
            </w:r>
            <w:r>
              <w:rPr>
                <w:rFonts w:hint="default" w:ascii="Times New Roman" w:hAnsi="Times New Roman" w:eastAsia="宋体" w:cs="Times New Roman"/>
                <w:color w:val="auto"/>
                <w:kern w:val="0"/>
                <w:sz w:val="24"/>
                <w:szCs w:val="24"/>
                <w:highlight w:val="none"/>
              </w:rPr>
              <w:t>填充量</w:t>
            </w:r>
            <w:r>
              <w:rPr>
                <w:rFonts w:hint="eastAsia" w:ascii="Times New Roman" w:hAnsi="Times New Roman" w:eastAsia="宋体" w:cs="Times New Roman"/>
                <w:color w:val="auto"/>
                <w:kern w:val="0"/>
                <w:sz w:val="24"/>
                <w:szCs w:val="24"/>
                <w:highlight w:val="none"/>
                <w:lang w:val="en-US" w:eastAsia="zh-CN"/>
              </w:rPr>
              <w:t>2t</w:t>
            </w:r>
          </w:p>
          <w:p>
            <w:pPr>
              <w:pStyle w:val="73"/>
              <w:spacing w:line="360" w:lineRule="auto"/>
              <w:ind w:firstLine="463" w:firstLineChars="193"/>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（4）活性炭更换周期</w:t>
            </w:r>
          </w:p>
          <w:p>
            <w:pPr>
              <w:widowControl/>
              <w:adjustRightInd w:val="0"/>
              <w:snapToGrid w:val="0"/>
              <w:spacing w:line="360" w:lineRule="auto"/>
              <w:ind w:firstLine="480" w:firstLineChars="2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根据《省生态环境厅关于将排污单位活性炭使用更换纳入排污许可管理的通知》（苏环办〔2021〕218号）文中《涉活性炭吸附排污单位的排污许可管理要求》参照以下公式计算活性炭更换周期：</w:t>
            </w:r>
          </w:p>
          <w:p>
            <w:pPr>
              <w:widowControl/>
              <w:adjustRightInd w:val="0"/>
              <w:snapToGrid w:val="0"/>
              <w:spacing w:line="360" w:lineRule="auto"/>
              <w:ind w:firstLine="480" w:firstLineChars="20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T=m×s÷（c×10</w:t>
            </w:r>
            <w:r>
              <w:rPr>
                <w:rFonts w:hint="default" w:ascii="Times New Roman" w:hAnsi="Times New Roman" w:cs="Times New Roman"/>
                <w:color w:val="auto"/>
                <w:kern w:val="0"/>
                <w:sz w:val="24"/>
                <w:szCs w:val="24"/>
                <w:highlight w:val="none"/>
                <w:vertAlign w:val="superscript"/>
              </w:rPr>
              <w:t>-6</w:t>
            </w:r>
            <w:r>
              <w:rPr>
                <w:rFonts w:hint="default" w:ascii="Times New Roman" w:hAnsi="Times New Roman" w:cs="Times New Roman"/>
                <w:color w:val="auto"/>
                <w:kern w:val="0"/>
                <w:sz w:val="24"/>
                <w:szCs w:val="24"/>
                <w:highlight w:val="none"/>
              </w:rPr>
              <w:t>×Q×t）</w:t>
            </w:r>
          </w:p>
          <w:p>
            <w:pPr>
              <w:widowControl/>
              <w:adjustRightInd w:val="0"/>
              <w:snapToGrid w:val="0"/>
              <w:spacing w:line="360" w:lineRule="auto"/>
              <w:ind w:firstLine="480" w:firstLineChars="2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式中：T</w:t>
            </w:r>
            <w:r>
              <w:rPr>
                <w:rFonts w:hint="eastAsia"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更换周期，天</w:t>
            </w:r>
            <w:r>
              <w:rPr>
                <w:rFonts w:hint="default" w:ascii="Times New Roman" w:hAnsi="Times New Roman" w:cs="Times New Roman"/>
                <w:color w:val="auto"/>
                <w:kern w:val="0"/>
                <w:sz w:val="24"/>
                <w:szCs w:val="24"/>
                <w:highlight w:val="none"/>
                <w:lang w:eastAsia="zh-CN"/>
              </w:rPr>
              <w:t>；</w:t>
            </w:r>
          </w:p>
          <w:p>
            <w:pPr>
              <w:widowControl/>
              <w:adjustRightInd w:val="0"/>
              <w:snapToGrid w:val="0"/>
              <w:spacing w:line="360" w:lineRule="auto"/>
              <w:ind w:firstLine="1200" w:firstLineChars="5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m-活性炭用量，kg</w:t>
            </w:r>
            <w:r>
              <w:rPr>
                <w:rFonts w:hint="default" w:ascii="Times New Roman" w:hAnsi="Times New Roman" w:cs="Times New Roman"/>
                <w:color w:val="auto"/>
                <w:kern w:val="0"/>
                <w:sz w:val="24"/>
                <w:szCs w:val="24"/>
                <w:highlight w:val="none"/>
                <w:lang w:eastAsia="zh-CN"/>
              </w:rPr>
              <w:t>；</w:t>
            </w:r>
          </w:p>
          <w:p>
            <w:pPr>
              <w:widowControl/>
              <w:adjustRightInd w:val="0"/>
              <w:snapToGrid w:val="0"/>
              <w:spacing w:line="360" w:lineRule="auto"/>
              <w:ind w:firstLine="1200" w:firstLineChars="5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s-动态吸附量，%，本项目取</w:t>
            </w:r>
            <w:r>
              <w:rPr>
                <w:rFonts w:hint="eastAsia" w:cs="Times New Roman"/>
                <w:color w:val="auto"/>
                <w:kern w:val="0"/>
                <w:sz w:val="24"/>
                <w:szCs w:val="24"/>
                <w:highlight w:val="none"/>
                <w:lang w:val="en-US" w:eastAsia="zh-CN"/>
              </w:rPr>
              <w:t>10</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kern w:val="0"/>
                <w:sz w:val="24"/>
                <w:szCs w:val="24"/>
                <w:highlight w:val="none"/>
                <w:lang w:eastAsia="zh-CN"/>
              </w:rPr>
              <w:t>；</w:t>
            </w:r>
          </w:p>
          <w:p>
            <w:pPr>
              <w:widowControl/>
              <w:adjustRightInd w:val="0"/>
              <w:snapToGrid w:val="0"/>
              <w:spacing w:line="360" w:lineRule="auto"/>
              <w:ind w:firstLine="1200" w:firstLineChars="5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c-活性炭削减的VOCs浓度，mg/m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lang w:eastAsia="zh-CN"/>
              </w:rPr>
              <w:t>；</w:t>
            </w:r>
          </w:p>
          <w:p>
            <w:pPr>
              <w:widowControl/>
              <w:adjustRightInd w:val="0"/>
              <w:snapToGrid w:val="0"/>
              <w:spacing w:line="360" w:lineRule="auto"/>
              <w:ind w:firstLine="1200" w:firstLineChars="500"/>
              <w:jc w:val="left"/>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Q-风量，m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rPr>
              <w:t>/h</w:t>
            </w:r>
            <w:r>
              <w:rPr>
                <w:rFonts w:hint="default" w:ascii="Times New Roman" w:hAnsi="Times New Roman" w:cs="Times New Roman"/>
                <w:color w:val="auto"/>
                <w:kern w:val="0"/>
                <w:sz w:val="24"/>
                <w:szCs w:val="24"/>
                <w:highlight w:val="none"/>
                <w:lang w:eastAsia="zh-CN"/>
              </w:rPr>
              <w:t>；</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t</w:t>
            </w:r>
            <w:r>
              <w:rPr>
                <w:rFonts w:hint="eastAsia"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运行时间，h/d。</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（5）单套活性炭更换量</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活性炭更换周期见表4</w:t>
            </w:r>
            <w:r>
              <w:rPr>
                <w:rFonts w:hint="default" w:ascii="Times New Roman" w:hAnsi="Times New Roman" w:eastAsia="宋体" w:cs="Times New Roman"/>
                <w:color w:val="auto"/>
                <w:kern w:val="0"/>
                <w:sz w:val="24"/>
                <w:szCs w:val="24"/>
                <w:highlight w:val="none"/>
                <w:lang w:val="en-US" w:eastAsia="zh-CN"/>
              </w:rPr>
              <w:t>.1-</w:t>
            </w:r>
            <w:r>
              <w:rPr>
                <w:rFonts w:hint="eastAsia" w:ascii="Times New Roman" w:hAnsi="Times New Roman" w:eastAsia="宋体" w:cs="Times New Roman"/>
                <w:color w:val="auto"/>
                <w:kern w:val="0"/>
                <w:sz w:val="24"/>
                <w:szCs w:val="24"/>
                <w:highlight w:val="none"/>
                <w:lang w:val="en-US" w:eastAsia="zh-CN"/>
              </w:rPr>
              <w:t>11</w:t>
            </w:r>
            <w:r>
              <w:rPr>
                <w:rFonts w:hint="default" w:ascii="Times New Roman" w:hAnsi="Times New Roman" w:eastAsia="宋体" w:cs="Times New Roman"/>
                <w:color w:val="auto"/>
                <w:kern w:val="0"/>
                <w:sz w:val="24"/>
                <w:szCs w:val="24"/>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表4.1-</w:t>
            </w:r>
            <w:r>
              <w:rPr>
                <w:rFonts w:hint="eastAsia" w:cs="Times New Roman"/>
                <w:b/>
                <w:bCs/>
                <w:color w:val="auto"/>
                <w:sz w:val="24"/>
                <w:szCs w:val="32"/>
                <w:highlight w:val="none"/>
                <w:lang w:val="en-US" w:eastAsia="zh-CN"/>
              </w:rPr>
              <w:t>11</w:t>
            </w:r>
            <w:r>
              <w:rPr>
                <w:rFonts w:hint="default" w:ascii="Times New Roman" w:hAnsi="Times New Roman" w:cs="Times New Roman"/>
                <w:b/>
                <w:bCs/>
                <w:color w:val="auto"/>
                <w:sz w:val="24"/>
                <w:szCs w:val="32"/>
                <w:highlight w:val="none"/>
                <w:lang w:val="en-US" w:eastAsia="zh-CN"/>
              </w:rPr>
              <w:t>活性炭装置更换量一览表</w:t>
            </w:r>
          </w:p>
          <w:tbl>
            <w:tblPr>
              <w:tblStyle w:val="25"/>
              <w:tblW w:w="793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966"/>
              <w:gridCol w:w="925"/>
              <w:gridCol w:w="982"/>
              <w:gridCol w:w="1403"/>
              <w:gridCol w:w="981"/>
              <w:gridCol w:w="935"/>
              <w:gridCol w:w="904"/>
              <w:gridCol w:w="84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966"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设施</w:t>
                  </w:r>
                </w:p>
              </w:tc>
              <w:tc>
                <w:tcPr>
                  <w:tcW w:w="925"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活性炭用量m（kg）</w:t>
                  </w:r>
                </w:p>
              </w:tc>
              <w:tc>
                <w:tcPr>
                  <w:tcW w:w="982"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动态吸附量s（%）</w:t>
                  </w:r>
                </w:p>
              </w:tc>
              <w:tc>
                <w:tcPr>
                  <w:tcW w:w="1403"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活性炭削减VOCs浓度c（mg/m</w:t>
                  </w:r>
                  <w:r>
                    <w:rPr>
                      <w:rFonts w:hint="default" w:ascii="Times New Roman" w:hAnsi="Times New Roman" w:cs="Times New Roman"/>
                      <w:b/>
                      <w:bCs/>
                      <w:color w:val="auto"/>
                      <w:kern w:val="0"/>
                      <w:sz w:val="21"/>
                      <w:szCs w:val="21"/>
                      <w:highlight w:val="none"/>
                      <w:vertAlign w:val="superscript"/>
                    </w:rPr>
                    <w:t>3</w:t>
                  </w:r>
                  <w:r>
                    <w:rPr>
                      <w:rFonts w:hint="default" w:ascii="Times New Roman" w:hAnsi="Times New Roman" w:cs="Times New Roman"/>
                      <w:b/>
                      <w:bCs/>
                      <w:color w:val="auto"/>
                      <w:kern w:val="0"/>
                      <w:sz w:val="21"/>
                      <w:szCs w:val="21"/>
                      <w:highlight w:val="none"/>
                    </w:rPr>
                    <w:t>）</w:t>
                  </w:r>
                </w:p>
              </w:tc>
              <w:tc>
                <w:tcPr>
                  <w:tcW w:w="981"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风量Q（m</w:t>
                  </w:r>
                  <w:r>
                    <w:rPr>
                      <w:rFonts w:hint="default" w:ascii="Times New Roman" w:hAnsi="Times New Roman" w:cs="Times New Roman"/>
                      <w:b/>
                      <w:bCs/>
                      <w:color w:val="auto"/>
                      <w:kern w:val="0"/>
                      <w:sz w:val="21"/>
                      <w:szCs w:val="21"/>
                      <w:highlight w:val="none"/>
                      <w:vertAlign w:val="superscript"/>
                    </w:rPr>
                    <w:t>3</w:t>
                  </w:r>
                  <w:r>
                    <w:rPr>
                      <w:rFonts w:hint="default" w:ascii="Times New Roman" w:hAnsi="Times New Roman" w:cs="Times New Roman"/>
                      <w:b/>
                      <w:bCs/>
                      <w:color w:val="auto"/>
                      <w:kern w:val="0"/>
                      <w:sz w:val="21"/>
                      <w:szCs w:val="21"/>
                      <w:highlight w:val="none"/>
                    </w:rPr>
                    <w:t>/h）</w:t>
                  </w:r>
                </w:p>
              </w:tc>
              <w:tc>
                <w:tcPr>
                  <w:tcW w:w="935"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运行时间t（h/d）</w:t>
                  </w:r>
                </w:p>
              </w:tc>
              <w:tc>
                <w:tcPr>
                  <w:tcW w:w="904"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更换周期（天）</w:t>
                  </w:r>
                </w:p>
              </w:tc>
              <w:tc>
                <w:tcPr>
                  <w:tcW w:w="842" w:type="dxa"/>
                  <w:vMerge w:val="restart"/>
                  <w:tcBorders>
                    <w:tl2br w:val="nil"/>
                    <w:tr2bl w:val="nil"/>
                  </w:tcBorders>
                  <w:shd w:val="clear" w:color="auto" w:fill="auto"/>
                  <w:vAlign w:val="center"/>
                </w:tcPr>
                <w:p>
                  <w:pPr>
                    <w:widowControl/>
                    <w:jc w:val="center"/>
                    <w:rPr>
                      <w:rFonts w:hint="default" w:ascii="Times New Roman" w:hAnsi="Times New Roman" w:cs="Times New Roman"/>
                      <w:b/>
                      <w:bCs/>
                      <w:color w:val="auto"/>
                      <w:kern w:val="0"/>
                      <w:sz w:val="21"/>
                      <w:szCs w:val="21"/>
                      <w:highlight w:val="none"/>
                    </w:rPr>
                  </w:pPr>
                  <w:r>
                    <w:rPr>
                      <w:rFonts w:hint="default" w:ascii="Times New Roman" w:hAnsi="Times New Roman" w:cs="Times New Roman"/>
                      <w:b/>
                      <w:bCs/>
                      <w:color w:val="auto"/>
                      <w:kern w:val="0"/>
                      <w:sz w:val="21"/>
                      <w:szCs w:val="21"/>
                      <w:highlight w:val="none"/>
                    </w:rPr>
                    <w:t>年更换频次</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966"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25"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82"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1403"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81"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35"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04"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842"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966"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25"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82"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1403"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81"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35"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904"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c>
                <w:tcPr>
                  <w:tcW w:w="842" w:type="dxa"/>
                  <w:vMerge w:val="continue"/>
                  <w:tcBorders>
                    <w:tl2br w:val="nil"/>
                    <w:tr2bl w:val="nil"/>
                  </w:tcBorders>
                  <w:vAlign w:val="center"/>
                </w:tcPr>
                <w:p>
                  <w:pPr>
                    <w:widowControl/>
                    <w:jc w:val="center"/>
                    <w:rPr>
                      <w:rFonts w:hint="default" w:ascii="Times New Roman" w:hAnsi="Times New Roman" w:cs="Times New Roman"/>
                      <w:b/>
                      <w:bCs/>
                      <w:color w:val="auto"/>
                      <w:kern w:val="0"/>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94" w:hRule="atLeast"/>
              </w:trPr>
              <w:tc>
                <w:tcPr>
                  <w:tcW w:w="966"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TA001</w:t>
                  </w:r>
                </w:p>
              </w:tc>
              <w:tc>
                <w:tcPr>
                  <w:tcW w:w="925"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1680</w:t>
                  </w:r>
                </w:p>
              </w:tc>
              <w:tc>
                <w:tcPr>
                  <w:tcW w:w="98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403"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3.87</w:t>
                  </w:r>
                </w:p>
              </w:tc>
              <w:tc>
                <w:tcPr>
                  <w:tcW w:w="981"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17800</w:t>
                  </w:r>
                </w:p>
              </w:tc>
              <w:tc>
                <w:tcPr>
                  <w:tcW w:w="935"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8</w:t>
                  </w:r>
                </w:p>
              </w:tc>
              <w:tc>
                <w:tcPr>
                  <w:tcW w:w="904"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90</w:t>
                  </w:r>
                </w:p>
              </w:tc>
              <w:tc>
                <w:tcPr>
                  <w:tcW w:w="84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966"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TA002</w:t>
                  </w:r>
                </w:p>
              </w:tc>
              <w:tc>
                <w:tcPr>
                  <w:tcW w:w="925"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2000</w:t>
                  </w:r>
                </w:p>
              </w:tc>
              <w:tc>
                <w:tcPr>
                  <w:tcW w:w="98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403"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13.77</w:t>
                  </w:r>
                </w:p>
              </w:tc>
              <w:tc>
                <w:tcPr>
                  <w:tcW w:w="981"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22000</w:t>
                  </w:r>
                </w:p>
              </w:tc>
              <w:tc>
                <w:tcPr>
                  <w:tcW w:w="935"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8</w:t>
                  </w:r>
                </w:p>
              </w:tc>
              <w:tc>
                <w:tcPr>
                  <w:tcW w:w="904"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82</w:t>
                  </w:r>
                </w:p>
              </w:tc>
              <w:tc>
                <w:tcPr>
                  <w:tcW w:w="84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r>
          </w:tbl>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根据《省生态环境厅关于深入开展涉VOCs治理重点工作核查的通知》（苏环办</w:t>
            </w:r>
            <w:r>
              <w:rPr>
                <w:rFonts w:hint="eastAsia"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2022</w:t>
            </w:r>
            <w:r>
              <w:rPr>
                <w:rFonts w:hint="eastAsia"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218号文）相关要求“</w:t>
            </w:r>
            <w:bookmarkStart w:id="7" w:name="_Hlk114059433"/>
            <w:r>
              <w:rPr>
                <w:rFonts w:hint="default" w:ascii="Times New Roman" w:hAnsi="Times New Roman" w:eastAsia="宋体" w:cs="Times New Roman"/>
                <w:color w:val="auto"/>
                <w:kern w:val="0"/>
                <w:sz w:val="24"/>
                <w:szCs w:val="24"/>
                <w:highlight w:val="none"/>
              </w:rPr>
              <w:t>活性炭更换周期一般不应超过累计运行500小时或3个月</w:t>
            </w:r>
            <w:bookmarkEnd w:id="7"/>
            <w:r>
              <w:rPr>
                <w:rFonts w:hint="default" w:ascii="Times New Roman" w:hAnsi="Times New Roman" w:eastAsia="宋体" w:cs="Times New Roman"/>
                <w:color w:val="auto"/>
                <w:kern w:val="0"/>
                <w:sz w:val="24"/>
                <w:szCs w:val="24"/>
                <w:highlight w:val="none"/>
              </w:rPr>
              <w:t>”，根据文件要求和本项目运行周期，本项目</w:t>
            </w:r>
            <w:r>
              <w:rPr>
                <w:rFonts w:hint="eastAsia" w:ascii="Times New Roman" w:hAnsi="Times New Roman" w:eastAsia="宋体" w:cs="Times New Roman"/>
                <w:color w:val="auto"/>
                <w:kern w:val="0"/>
                <w:sz w:val="24"/>
                <w:szCs w:val="24"/>
                <w:highlight w:val="none"/>
                <w:lang w:val="en-US" w:eastAsia="zh-CN"/>
              </w:rPr>
              <w:t>TA001二级活性炭箱年更换4次，TA002二级活性炭箱年更换4次，则</w:t>
            </w:r>
            <w:r>
              <w:rPr>
                <w:rFonts w:hint="default" w:ascii="Times New Roman" w:hAnsi="Times New Roman" w:eastAsia="宋体" w:cs="Times New Roman"/>
                <w:color w:val="auto"/>
                <w:kern w:val="0"/>
                <w:sz w:val="24"/>
                <w:szCs w:val="24"/>
                <w:highlight w:val="none"/>
              </w:rPr>
              <w:t>废活性炭产生量为</w:t>
            </w:r>
            <w:r>
              <w:rPr>
                <w:rFonts w:hint="eastAsia" w:ascii="Times New Roman" w:hAnsi="Times New Roman" w:eastAsia="宋体" w:cs="Times New Roman"/>
                <w:color w:val="auto"/>
                <w:kern w:val="0"/>
                <w:sz w:val="24"/>
                <w:szCs w:val="24"/>
                <w:highlight w:val="none"/>
                <w:lang w:val="en-US" w:eastAsia="zh-CN"/>
              </w:rPr>
              <w:t>15.58t/a（包含吸附量0.86t/a）</w:t>
            </w:r>
            <w:r>
              <w:rPr>
                <w:rFonts w:hint="default" w:ascii="Times New Roman" w:hAnsi="Times New Roman" w:eastAsia="宋体" w:cs="Times New Roman"/>
                <w:color w:val="auto"/>
                <w:kern w:val="0"/>
                <w:sz w:val="24"/>
                <w:szCs w:val="24"/>
                <w:highlight w:val="none"/>
              </w:rPr>
              <w:t>。</w:t>
            </w:r>
          </w:p>
          <w:p>
            <w:pPr>
              <w:pStyle w:val="73"/>
              <w:spacing w:line="360" w:lineRule="auto"/>
              <w:ind w:firstLine="720" w:firstLineChars="300"/>
              <w:rPr>
                <w:rFonts w:hint="eastAsia"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rPr>
              <w:t>②</w:t>
            </w:r>
            <w:r>
              <w:rPr>
                <w:rFonts w:hint="eastAsia" w:ascii="Times New Roman" w:hAnsi="Times New Roman" w:eastAsia="宋体" w:cs="Times New Roman"/>
                <w:color w:val="auto"/>
                <w:kern w:val="0"/>
                <w:sz w:val="24"/>
                <w:szCs w:val="24"/>
                <w:highlight w:val="none"/>
                <w:lang w:val="en-US" w:eastAsia="zh-CN"/>
              </w:rPr>
              <w:t>布袋除尘器</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eastAsia" w:ascii="Times New Roman" w:hAnsi="Times New Roman" w:eastAsia="宋体" w:cs="Times New Roman"/>
                <w:color w:val="auto"/>
                <w:kern w:val="0"/>
                <w:sz w:val="24"/>
                <w:szCs w:val="24"/>
                <w:highlight w:val="none"/>
                <w:lang w:val="en-US" w:eastAsia="zh-CN"/>
              </w:rPr>
              <w:t>布袋除尘器除尘原理：布袋除尘是一种干式除尘装置，它适用于捕集细小、干燥非纤维性粉尘。滤袋采用纺织的滤布或非纺织的毡制成，利用纤维织物的过滤作用对含尘气体进行过滤，当含尘气体进入布袋除尘器，颗粒大、比重大的粉尘，由于重力的作用沉降下来，落入灰斗，含有较细小粉尘的气体在通过滤料时，粉尘被阻留，使气体得到净化。布袋除尘器结构主要由上部箱体、中部箱体、下部箱体（灰斗）、清灰系统和排灰系统等部分组成。布袋除尘器除尘效果的优劣与多种因素有关，但主要取决于滤料，布袋除尘器的滤料为合成纤维、天然纤维或者玻璃纤维织成的布和毡，根据需要再把布和毡缝成圆筒或扁平形滤袋。布袋除尘器性能的好坏，除了正确选择滤袋材料外，清灰系统对布袋除尘器起着决定性作用，为此，清灰方法是区分布袋除尘器的特性之一，也是布袋除尘器运行中重要的一环，布袋除尘器运行中控制粉尘通过滤料的速度颇为重要，本项目粉尘采用布袋除尘系统处理粉尘在技术上是可行的，此种废气治理工艺属于成熟工艺，其工艺简单，安装维修方便，处理效率较高，因此具有技术经济可行性。</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对照《排污许可证申请与核发技术规范总则》（HJ942-2018）、《国家污染防治技术指导目录》，本项目所使用的废气污染防治技术为“布袋除尘装置”、“活性炭吸附”，不属于低效类技术，属于可行技术，故本项目所使用的废气污染防治技术是可行的。</w:t>
            </w:r>
          </w:p>
          <w:p>
            <w:pPr>
              <w:pStyle w:val="76"/>
              <w:keepNext w:val="0"/>
              <w:keepLines w:val="0"/>
              <w:pageBreakBefore w:val="0"/>
              <w:kinsoku/>
              <w:wordWrap/>
              <w:topLinePunct w:val="0"/>
              <w:autoSpaceDE/>
              <w:autoSpaceDN/>
              <w:bidi w:val="0"/>
              <w:adjustRightInd w:val="0"/>
              <w:snapToGrid w:val="0"/>
              <w:ind w:firstLine="482" w:firstLineChars="200"/>
              <w:textAlignment w:val="auto"/>
              <w:rPr>
                <w:rFonts w:hint="default" w:ascii="Times New Roman" w:hAnsi="Times New Roman" w:cs="Times New Roman"/>
                <w:b/>
                <w:color w:val="auto"/>
                <w:kern w:val="0"/>
                <w:sz w:val="24"/>
                <w:szCs w:val="24"/>
                <w:highlight w:val="none"/>
              </w:rPr>
            </w:pPr>
            <w:r>
              <w:rPr>
                <w:rFonts w:hint="eastAsia" w:ascii="Times New Roman" w:hAnsi="Times New Roman" w:cs="Times New Roman"/>
                <w:b/>
                <w:color w:val="auto"/>
                <w:kern w:val="0"/>
                <w:sz w:val="24"/>
                <w:szCs w:val="24"/>
                <w:highlight w:val="none"/>
                <w:lang w:val="en-US" w:eastAsia="zh-CN"/>
              </w:rPr>
              <w:t>③</w:t>
            </w:r>
            <w:r>
              <w:rPr>
                <w:rFonts w:hint="default" w:ascii="Times New Roman" w:hAnsi="Times New Roman" w:cs="Times New Roman"/>
                <w:b/>
                <w:color w:val="auto"/>
                <w:kern w:val="0"/>
                <w:sz w:val="24"/>
                <w:szCs w:val="24"/>
                <w:highlight w:val="none"/>
              </w:rPr>
              <w:t>无组织废气处理措施</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本项目生产过程中产生的无组织废气主要为未捕集到的废气。</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eastAsia" w:ascii="Times New Roman" w:hAnsi="Times New Roman" w:eastAsia="宋体" w:cs="Times New Roman"/>
                <w:color w:val="auto"/>
                <w:kern w:val="0"/>
                <w:sz w:val="24"/>
                <w:szCs w:val="24"/>
                <w:highlight w:val="none"/>
                <w:lang w:val="en-US" w:eastAsia="zh-CN"/>
              </w:rPr>
              <w:t>根据《挥发性有机物无组织排放控制标准》（GB 37822-2019），</w:t>
            </w:r>
            <w:r>
              <w:rPr>
                <w:rFonts w:hint="default" w:ascii="Times New Roman" w:hAnsi="Times New Roman" w:eastAsia="宋体" w:cs="Times New Roman"/>
                <w:color w:val="auto"/>
                <w:kern w:val="0"/>
                <w:sz w:val="24"/>
                <w:szCs w:val="24"/>
                <w:highlight w:val="none"/>
              </w:rPr>
              <w:t>建设单位通过以下措施加强无组织废气控制：</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（1）合理设计送排风系统，提高废气捕集率，尽量将废气收集集中处理</w:t>
            </w:r>
            <w:r>
              <w:rPr>
                <w:rFonts w:hint="default" w:ascii="Times New Roman" w:hAnsi="Times New Roman" w:eastAsia="宋体" w:cs="Times New Roman"/>
                <w:color w:val="auto"/>
                <w:kern w:val="0"/>
                <w:sz w:val="24"/>
                <w:szCs w:val="24"/>
                <w:highlight w:val="none"/>
                <w:lang w:eastAsia="zh-CN"/>
              </w:rPr>
              <w:t>；</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（2）加强生产管理，规范操作，使设备设施处于正常工作状态，减少生产、控制、输送等过程中的废气散发</w:t>
            </w:r>
            <w:r>
              <w:rPr>
                <w:rFonts w:hint="default" w:ascii="Times New Roman" w:hAnsi="Times New Roman" w:eastAsia="宋体" w:cs="Times New Roman"/>
                <w:color w:val="auto"/>
                <w:kern w:val="0"/>
                <w:sz w:val="24"/>
                <w:szCs w:val="24"/>
                <w:highlight w:val="none"/>
                <w:lang w:eastAsia="zh-CN"/>
              </w:rPr>
              <w:t>；</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（3）对于废气散发面积较大的工段，合理设计废气捕集系统，加大排风量和捕集面积，减少废气的无组织排放</w:t>
            </w:r>
            <w:r>
              <w:rPr>
                <w:rFonts w:hint="default" w:ascii="Times New Roman" w:hAnsi="Times New Roman" w:eastAsia="宋体" w:cs="Times New Roman"/>
                <w:color w:val="auto"/>
                <w:kern w:val="0"/>
                <w:sz w:val="24"/>
                <w:szCs w:val="24"/>
                <w:highlight w:val="none"/>
                <w:lang w:eastAsia="zh-CN"/>
              </w:rPr>
              <w:t>；</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（4）要求企业加强操作工人的自我防范、配备必要的劳保用品（口罩、眼镜等）以及按照规范操作等措施，减少对车间操作工人的影响</w:t>
            </w:r>
            <w:r>
              <w:rPr>
                <w:rFonts w:hint="default" w:ascii="Times New Roman" w:hAnsi="Times New Roman" w:eastAsia="宋体" w:cs="Times New Roman"/>
                <w:color w:val="auto"/>
                <w:kern w:val="0"/>
                <w:sz w:val="24"/>
                <w:szCs w:val="24"/>
                <w:highlight w:val="none"/>
                <w:lang w:eastAsia="zh-CN"/>
              </w:rPr>
              <w:t>；</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（5）加强厂内绿化，以减少无组织排放的气体对周围环境的影响</w:t>
            </w:r>
            <w:r>
              <w:rPr>
                <w:rFonts w:hint="default" w:ascii="Times New Roman" w:hAnsi="Times New Roman" w:eastAsia="宋体" w:cs="Times New Roman"/>
                <w:color w:val="auto"/>
                <w:kern w:val="0"/>
                <w:sz w:val="24"/>
                <w:szCs w:val="24"/>
                <w:highlight w:val="none"/>
                <w:lang w:eastAsia="zh-CN"/>
              </w:rPr>
              <w:t>；</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（6）合理车间平面布局，将产生无组织废气的工序尽量布置在远离厂界的地方，以减少无组织废气对厂界周围环境的影响。</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实践证明，通过采取以上无组织排放控制措施，可减少本项目的无组织气体的排放，污染物无组织排放量降低到较低的水平。通过预测，本项目无组织排放对大气环境及周边敏感目标的影响较小，不影响周边企业的生产、生活，无组织废气的控制措施可行。</w:t>
            </w:r>
          </w:p>
          <w:p>
            <w:pPr>
              <w:pStyle w:val="73"/>
              <w:keepNext w:val="0"/>
              <w:keepLines w:val="0"/>
              <w:pageBreakBefore w:val="0"/>
              <w:kinsoku/>
              <w:wordWrap/>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综上所述，建设项目产生的废气对周围环境影响较小。</w:t>
            </w:r>
          </w:p>
          <w:p>
            <w:pPr>
              <w:keepNext w:val="0"/>
              <w:keepLines w:val="0"/>
              <w:pageBreakBefore w:val="0"/>
              <w:kinsoku/>
              <w:wordWrap/>
              <w:topLinePunct w:val="0"/>
              <w:autoSpaceDE/>
              <w:autoSpaceDN/>
              <w:bidi w:val="0"/>
              <w:spacing w:line="360" w:lineRule="auto"/>
              <w:ind w:firstLine="482" w:firstLineChars="200"/>
              <w:textAlignment w:val="auto"/>
              <w:rPr>
                <w:rFonts w:hint="default" w:ascii="Times New Roman" w:hAnsi="Times New Roman" w:cs="Times New Roman"/>
                <w:b/>
                <w:bCs/>
                <w:color w:val="auto"/>
                <w:kern w:val="0"/>
                <w:sz w:val="24"/>
                <w:szCs w:val="24"/>
                <w:highlight w:val="none"/>
              </w:rPr>
            </w:pPr>
            <w:r>
              <w:rPr>
                <w:rFonts w:hint="default" w:ascii="Times New Roman" w:hAnsi="Times New Roman" w:cs="Times New Roman"/>
                <w:b/>
                <w:bCs/>
                <w:color w:val="auto"/>
                <w:kern w:val="0"/>
                <w:sz w:val="24"/>
                <w:szCs w:val="24"/>
                <w:highlight w:val="none"/>
              </w:rPr>
              <w:t>6、卫生防护距离确定</w:t>
            </w:r>
          </w:p>
          <w:p>
            <w:pPr>
              <w:pStyle w:val="73"/>
              <w:keepNext w:val="0"/>
              <w:keepLines w:val="0"/>
              <w:pageBreakBefore w:val="0"/>
              <w:kinsoku/>
              <w:wordWrap/>
              <w:topLinePunct w:val="0"/>
              <w:autoSpaceDE/>
              <w:autoSpaceDN/>
              <w:bidi w:val="0"/>
              <w:spacing w:line="360" w:lineRule="auto"/>
              <w:ind w:firstLine="480" w:firstLineChars="200"/>
              <w:textAlignment w:val="auto"/>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rPr>
              <w:t>根据《大气有害物质无组织排放卫生防护距离推导技术导则》（GB/T39499-2020）中要求“4行业主要特征大气有害物质：不同行业及生产工艺产生无组织排放的特征大气有害物质差别较大。在选取特征大气有害物质时，应首先考虑其对人体健康损害毒性特点，并根据目标行业企业的产品产量及其原辅材料、工艺特征、中间产物、产排污特点等具体情况，确定单个大气有害物质的无组织排放量及等标排放量（Qc/Cm），最终确定卫生防护距离相关的主要特征大气有害物质1种</w:t>
            </w:r>
            <w:r>
              <w:rPr>
                <w:rFonts w:hint="eastAsia" w:ascii="Times New Roman" w:hAnsi="Times New Roman" w:eastAsia="宋体" w:cs="Times New Roman"/>
                <w:color w:val="auto"/>
                <w:kern w:val="0"/>
                <w:sz w:val="24"/>
                <w:szCs w:val="24"/>
                <w:highlight w:val="none"/>
                <w:lang w:eastAsia="zh-CN"/>
              </w:rPr>
              <w:t>～</w:t>
            </w:r>
            <w:r>
              <w:rPr>
                <w:rFonts w:hint="default" w:ascii="Times New Roman" w:hAnsi="Times New Roman" w:eastAsia="宋体" w:cs="Times New Roman"/>
                <w:color w:val="auto"/>
                <w:kern w:val="0"/>
                <w:sz w:val="24"/>
                <w:szCs w:val="24"/>
                <w:highlight w:val="none"/>
              </w:rPr>
              <w:t>2种。当目标企业无组织排放存在多种有毒有害污染物时，基于单个污染物的等标排放量计算结果，优先选择等标排放量最大的污染物为企业无组织排放的主要特征大气有害物质。当前两种污染物的等标排放量相差在10%以内时，需要同时选择这两种特征大气有害物质分别计算卫生防护距离初值。”</w:t>
            </w:r>
          </w:p>
          <w:p>
            <w:pPr>
              <w:pStyle w:val="73"/>
              <w:spacing w:line="360" w:lineRule="auto"/>
              <w:ind w:firstLine="720" w:firstLineChars="3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本项目技改扩建后全厂各区域污染物等标排放量计算见下表4.</w:t>
            </w:r>
            <w:r>
              <w:rPr>
                <w:rFonts w:hint="default" w:ascii="Times New Roman" w:hAnsi="Times New Roman" w:eastAsia="宋体" w:cs="Times New Roman"/>
                <w:color w:val="auto"/>
                <w:kern w:val="0"/>
                <w:sz w:val="24"/>
                <w:szCs w:val="24"/>
                <w:highlight w:val="none"/>
                <w:lang w:val="en-US" w:eastAsia="zh-CN"/>
              </w:rPr>
              <w:t>1-</w:t>
            </w:r>
            <w:r>
              <w:rPr>
                <w:rFonts w:hint="eastAsia" w:ascii="Times New Roman" w:hAnsi="Times New Roman" w:eastAsia="宋体" w:cs="Times New Roman"/>
                <w:color w:val="auto"/>
                <w:kern w:val="0"/>
                <w:sz w:val="24"/>
                <w:szCs w:val="24"/>
                <w:highlight w:val="none"/>
                <w:lang w:val="en-US" w:eastAsia="zh-CN"/>
              </w:rPr>
              <w:t>12</w:t>
            </w:r>
            <w:r>
              <w:rPr>
                <w:rFonts w:hint="default" w:ascii="Times New Roman" w:hAnsi="Times New Roman" w:eastAsia="宋体" w:cs="Times New Roman"/>
                <w:color w:val="auto"/>
                <w:kern w:val="0"/>
                <w:sz w:val="24"/>
                <w:szCs w:val="24"/>
                <w:highlight w:val="none"/>
              </w:rPr>
              <w:t>。</w:t>
            </w:r>
          </w:p>
          <w:p>
            <w:pPr>
              <w:jc w:val="center"/>
              <w:rPr>
                <w:rFonts w:hint="default" w:ascii="Times New Roman" w:hAnsi="Times New Roman" w:cs="Times New Roman"/>
                <w:b/>
                <w:color w:val="auto"/>
                <w:kern w:val="0"/>
                <w:sz w:val="24"/>
                <w:szCs w:val="24"/>
                <w:highlight w:val="none"/>
              </w:rPr>
            </w:pPr>
            <w:r>
              <w:rPr>
                <w:rFonts w:hint="default" w:ascii="Times New Roman" w:hAnsi="Times New Roman" w:cs="Times New Roman"/>
                <w:b/>
                <w:color w:val="auto"/>
                <w:kern w:val="0"/>
                <w:sz w:val="24"/>
                <w:szCs w:val="24"/>
                <w:highlight w:val="none"/>
              </w:rPr>
              <w:t>表4.</w:t>
            </w:r>
            <w:r>
              <w:rPr>
                <w:rFonts w:hint="default" w:ascii="Times New Roman" w:hAnsi="Times New Roman" w:cs="Times New Roman"/>
                <w:b/>
                <w:color w:val="auto"/>
                <w:kern w:val="0"/>
                <w:sz w:val="24"/>
                <w:szCs w:val="24"/>
                <w:highlight w:val="none"/>
                <w:lang w:val="en-US" w:eastAsia="zh-CN"/>
              </w:rPr>
              <w:t>1-</w:t>
            </w:r>
            <w:r>
              <w:rPr>
                <w:rFonts w:hint="eastAsia" w:cs="Times New Roman"/>
                <w:b/>
                <w:color w:val="auto"/>
                <w:kern w:val="0"/>
                <w:sz w:val="24"/>
                <w:szCs w:val="24"/>
                <w:highlight w:val="none"/>
                <w:lang w:val="en-US" w:eastAsia="zh-CN"/>
              </w:rPr>
              <w:t xml:space="preserve">12 </w:t>
            </w:r>
            <w:r>
              <w:rPr>
                <w:rFonts w:hint="default" w:ascii="Times New Roman" w:hAnsi="Times New Roman" w:cs="Times New Roman"/>
                <w:b/>
                <w:color w:val="auto"/>
                <w:kern w:val="0"/>
                <w:sz w:val="24"/>
                <w:szCs w:val="24"/>
                <w:highlight w:val="none"/>
              </w:rPr>
              <w:t>各区域污染物等标排放量计算结果</w:t>
            </w:r>
          </w:p>
          <w:tbl>
            <w:tblPr>
              <w:tblStyle w:val="25"/>
              <w:tblW w:w="7841"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525"/>
              <w:gridCol w:w="1558"/>
              <w:gridCol w:w="1547"/>
              <w:gridCol w:w="1739"/>
              <w:gridCol w:w="147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jc w:val="center"/>
              </w:trPr>
              <w:tc>
                <w:tcPr>
                  <w:tcW w:w="152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污染源位置</w:t>
                  </w:r>
                </w:p>
              </w:tc>
              <w:tc>
                <w:tcPr>
                  <w:tcW w:w="1558"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污染物名称</w:t>
                  </w:r>
                </w:p>
              </w:tc>
              <w:tc>
                <w:tcPr>
                  <w:tcW w:w="1547" w:type="dxa"/>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rPr>
                    <w:t>排放速率</w:t>
                  </w:r>
                  <w:r>
                    <w:rPr>
                      <w:rFonts w:hint="eastAsia" w:cs="Times New Roman"/>
                      <w:color w:val="auto"/>
                      <w:kern w:val="0"/>
                      <w:sz w:val="21"/>
                      <w:szCs w:val="21"/>
                      <w:highlight w:val="none"/>
                      <w:lang w:eastAsia="zh-CN"/>
                    </w:rPr>
                    <w:t>（</w:t>
                  </w:r>
                  <w:r>
                    <w:rPr>
                      <w:rFonts w:hint="default" w:ascii="Times New Roman" w:hAnsi="Times New Roman" w:cs="Times New Roman"/>
                      <w:color w:val="auto"/>
                      <w:kern w:val="0"/>
                      <w:sz w:val="21"/>
                      <w:szCs w:val="21"/>
                      <w:highlight w:val="none"/>
                    </w:rPr>
                    <w:t>kg/h</w:t>
                  </w:r>
                  <w:r>
                    <w:rPr>
                      <w:rFonts w:hint="eastAsia" w:cs="Times New Roman"/>
                      <w:color w:val="auto"/>
                      <w:kern w:val="0"/>
                      <w:sz w:val="21"/>
                      <w:szCs w:val="21"/>
                      <w:highlight w:val="none"/>
                      <w:lang w:eastAsia="zh-CN"/>
                    </w:rPr>
                    <w:t>）</w:t>
                  </w:r>
                </w:p>
              </w:tc>
              <w:tc>
                <w:tcPr>
                  <w:tcW w:w="173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标准限值</w:t>
                  </w:r>
                  <w:r>
                    <w:rPr>
                      <w:rFonts w:hint="default" w:ascii="Times New Roman" w:hAnsi="Times New Roman" w:cs="Times New Roman"/>
                      <w:bCs/>
                      <w:color w:val="auto"/>
                      <w:kern w:val="0"/>
                      <w:sz w:val="21"/>
                      <w:szCs w:val="21"/>
                      <w:highlight w:val="none"/>
                    </w:rPr>
                    <w:t>Cm（mg/m</w:t>
                  </w:r>
                  <w:r>
                    <w:rPr>
                      <w:rFonts w:hint="default" w:ascii="Times New Roman" w:hAnsi="Times New Roman" w:cs="Times New Roman"/>
                      <w:bCs/>
                      <w:color w:val="auto"/>
                      <w:kern w:val="0"/>
                      <w:sz w:val="21"/>
                      <w:szCs w:val="21"/>
                      <w:highlight w:val="none"/>
                      <w:vertAlign w:val="superscript"/>
                    </w:rPr>
                    <w:t>3</w:t>
                  </w:r>
                  <w:r>
                    <w:rPr>
                      <w:rFonts w:hint="default" w:ascii="Times New Roman" w:hAnsi="Times New Roman" w:cs="Times New Roman"/>
                      <w:bCs/>
                      <w:color w:val="auto"/>
                      <w:kern w:val="0"/>
                      <w:sz w:val="21"/>
                      <w:szCs w:val="21"/>
                      <w:highlight w:val="none"/>
                    </w:rPr>
                    <w:t>）</w:t>
                  </w:r>
                </w:p>
              </w:tc>
              <w:tc>
                <w:tcPr>
                  <w:tcW w:w="1472"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等标排放量</w:t>
                  </w:r>
                  <w:r>
                    <w:rPr>
                      <w:rFonts w:hint="default" w:ascii="Times New Roman" w:hAnsi="Times New Roman" w:cs="Times New Roman"/>
                      <w:bCs/>
                      <w:color w:val="auto"/>
                      <w:kern w:val="0"/>
                      <w:sz w:val="21"/>
                      <w:szCs w:val="21"/>
                      <w:highlight w:val="none"/>
                    </w:rPr>
                    <w:t>Q</w:t>
                  </w:r>
                  <w:r>
                    <w:rPr>
                      <w:rFonts w:hint="default" w:ascii="Times New Roman" w:hAnsi="Times New Roman" w:cs="Times New Roman"/>
                      <w:bCs/>
                      <w:color w:val="auto"/>
                      <w:kern w:val="0"/>
                      <w:sz w:val="21"/>
                      <w:szCs w:val="21"/>
                      <w:highlight w:val="none"/>
                      <w:vertAlign w:val="subscript"/>
                    </w:rPr>
                    <w:t>c</w:t>
                  </w:r>
                  <w:r>
                    <w:rPr>
                      <w:rFonts w:hint="default" w:ascii="Times New Roman" w:hAnsi="Times New Roman" w:cs="Times New Roman"/>
                      <w:bCs/>
                      <w:color w:val="auto"/>
                      <w:kern w:val="0"/>
                      <w:sz w:val="21"/>
                      <w:szCs w:val="21"/>
                      <w:highlight w:val="none"/>
                    </w:rPr>
                    <w:t>/c</w:t>
                  </w:r>
                  <w:r>
                    <w:rPr>
                      <w:rFonts w:hint="default" w:ascii="Times New Roman" w:hAnsi="Times New Roman" w:cs="Times New Roman"/>
                      <w:bCs/>
                      <w:color w:val="auto"/>
                      <w:kern w:val="0"/>
                      <w:sz w:val="21"/>
                      <w:szCs w:val="21"/>
                      <w:highlight w:val="none"/>
                      <w:vertAlign w:val="subscript"/>
                    </w:rPr>
                    <w:t>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jc w:val="center"/>
              </w:trPr>
              <w:tc>
                <w:tcPr>
                  <w:tcW w:w="1525" w:type="dxa"/>
                  <w:vMerge w:val="restart"/>
                  <w:tcBorders>
                    <w:tl2br w:val="nil"/>
                    <w:tr2bl w:val="nil"/>
                  </w:tcBorders>
                  <w:shd w:val="clear" w:color="auto" w:fill="auto"/>
                  <w:vAlign w:val="center"/>
                </w:tcPr>
                <w:p>
                  <w:pPr>
                    <w:adjustRightInd w:val="0"/>
                    <w:snapToGrid w:val="0"/>
                    <w:ind w:left="-105" w:leftChars="-50" w:right="-105" w:rightChars="-50"/>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生产车间区域</w:t>
                  </w:r>
                </w:p>
              </w:tc>
              <w:tc>
                <w:tcPr>
                  <w:tcW w:w="1558" w:type="dxa"/>
                  <w:tcBorders>
                    <w:tl2br w:val="nil"/>
                    <w:tr2bl w:val="nil"/>
                  </w:tcBorders>
                  <w:shd w:val="clear" w:color="auto" w:fill="auto"/>
                  <w:vAlign w:val="center"/>
                </w:tcPr>
                <w:p>
                  <w:pPr>
                    <w:widowControl/>
                    <w:jc w:val="center"/>
                    <w:rPr>
                      <w:rFonts w:hint="default" w:ascii="Times New Roman" w:hAnsi="Times New Roman" w:cs="Times New Roman"/>
                      <w:color w:val="auto"/>
                      <w:sz w:val="21"/>
                      <w:szCs w:val="21"/>
                      <w:highlight w:val="none"/>
                    </w:rPr>
                  </w:pPr>
                  <w:r>
                    <w:rPr>
                      <w:rFonts w:hint="eastAsia" w:cs="Times New Roman"/>
                      <w:color w:val="auto"/>
                      <w:kern w:val="0"/>
                      <w:szCs w:val="21"/>
                      <w:highlight w:val="none"/>
                      <w:lang w:val="en-US" w:eastAsia="zh-CN"/>
                    </w:rPr>
                    <w:t>颗粒物</w:t>
                  </w:r>
                </w:p>
              </w:tc>
              <w:tc>
                <w:tcPr>
                  <w:tcW w:w="1547"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 xml:space="preserve">0.6254 </w:t>
                  </w:r>
                </w:p>
              </w:tc>
              <w:tc>
                <w:tcPr>
                  <w:tcW w:w="173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0.45</w:t>
                  </w:r>
                </w:p>
              </w:tc>
              <w:tc>
                <w:tcPr>
                  <w:tcW w:w="147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 xml:space="preserve">1.3898 </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44" w:hRule="atLeast"/>
                <w:jc w:val="center"/>
              </w:trPr>
              <w:tc>
                <w:tcPr>
                  <w:tcW w:w="1525" w:type="dxa"/>
                  <w:vMerge w:val="continue"/>
                  <w:tcBorders>
                    <w:tl2br w:val="nil"/>
                    <w:tr2bl w:val="nil"/>
                  </w:tcBorders>
                  <w:shd w:val="clear" w:color="auto" w:fill="auto"/>
                  <w:vAlign w:val="center"/>
                </w:tcPr>
                <w:p>
                  <w:pPr>
                    <w:adjustRightInd w:val="0"/>
                    <w:snapToGrid w:val="0"/>
                    <w:ind w:left="-105" w:leftChars="-50" w:right="-105" w:rightChars="-50"/>
                    <w:jc w:val="center"/>
                    <w:rPr>
                      <w:rFonts w:hint="default" w:ascii="Times New Roman" w:hAnsi="Times New Roman" w:cs="Times New Roman"/>
                      <w:color w:val="auto"/>
                      <w:kern w:val="0"/>
                      <w:sz w:val="21"/>
                      <w:szCs w:val="21"/>
                      <w:highlight w:val="none"/>
                    </w:rPr>
                  </w:pPr>
                </w:p>
              </w:tc>
              <w:tc>
                <w:tcPr>
                  <w:tcW w:w="1558" w:type="dxa"/>
                  <w:tcBorders>
                    <w:tl2br w:val="nil"/>
                    <w:tr2bl w:val="nil"/>
                  </w:tcBorders>
                  <w:shd w:val="clear" w:color="auto" w:fill="auto"/>
                  <w:vAlign w:val="center"/>
                </w:tcPr>
                <w:p>
                  <w:pPr>
                    <w:widowControl/>
                    <w:jc w:val="center"/>
                    <w:rPr>
                      <w:rFonts w:hint="default" w:ascii="Times New Roman" w:hAnsi="Times New Roman" w:cs="Times New Roman"/>
                      <w:color w:val="auto"/>
                      <w:sz w:val="21"/>
                      <w:szCs w:val="21"/>
                      <w:highlight w:val="none"/>
                    </w:rPr>
                  </w:pPr>
                  <w:r>
                    <w:rPr>
                      <w:rFonts w:hint="eastAsia" w:cs="Times New Roman"/>
                      <w:color w:val="auto"/>
                      <w:kern w:val="0"/>
                      <w:szCs w:val="21"/>
                      <w:highlight w:val="none"/>
                      <w:lang w:val="en-US" w:eastAsia="zh-CN"/>
                    </w:rPr>
                    <w:t>非甲烷总烃</w:t>
                  </w:r>
                </w:p>
              </w:tc>
              <w:tc>
                <w:tcPr>
                  <w:tcW w:w="1547"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 xml:space="preserve">0.0488 </w:t>
                  </w:r>
                </w:p>
              </w:tc>
              <w:tc>
                <w:tcPr>
                  <w:tcW w:w="173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2</w:t>
                  </w:r>
                </w:p>
              </w:tc>
              <w:tc>
                <w:tcPr>
                  <w:tcW w:w="1472"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ascii="Times New Roman" w:hAnsi="Times New Roman" w:eastAsia="宋体" w:cs="Times New Roman"/>
                      <w:color w:val="auto"/>
                      <w:kern w:val="0"/>
                      <w:sz w:val="21"/>
                      <w:szCs w:val="21"/>
                      <w:highlight w:val="none"/>
                      <w:lang w:val="en-US" w:eastAsia="zh-CN"/>
                    </w:rPr>
                    <w:t xml:space="preserve">0.0244 </w:t>
                  </w:r>
                </w:p>
              </w:tc>
            </w:tr>
          </w:tbl>
          <w:p>
            <w:pPr>
              <w:pStyle w:val="73"/>
              <w:spacing w:line="360" w:lineRule="auto"/>
              <w:ind w:firstLine="720" w:firstLineChars="30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eastAsia="宋体" w:cs="Times New Roman"/>
                <w:color w:val="auto"/>
                <w:kern w:val="0"/>
                <w:sz w:val="24"/>
                <w:szCs w:val="24"/>
                <w:highlight w:val="none"/>
              </w:rPr>
              <w:t>根据上表计算结果，本项目技改扩建后全厂选择颗粒物、非甲烷总烃等标排放量相差在10%以</w:t>
            </w:r>
            <w:r>
              <w:rPr>
                <w:rFonts w:hint="eastAsia" w:ascii="Times New Roman" w:hAnsi="Times New Roman" w:eastAsia="宋体" w:cs="Times New Roman"/>
                <w:color w:val="auto"/>
                <w:kern w:val="0"/>
                <w:sz w:val="24"/>
                <w:szCs w:val="24"/>
                <w:highlight w:val="none"/>
                <w:lang w:val="en-US" w:eastAsia="zh-CN"/>
              </w:rPr>
              <w:t>外</w:t>
            </w:r>
            <w:r>
              <w:rPr>
                <w:rFonts w:hint="default" w:ascii="Times New Roman" w:hAnsi="Times New Roman" w:eastAsia="宋体" w:cs="Times New Roman"/>
                <w:color w:val="auto"/>
                <w:kern w:val="0"/>
                <w:sz w:val="24"/>
                <w:szCs w:val="24"/>
                <w:highlight w:val="none"/>
              </w:rPr>
              <w:t>，因此选择颗粒物计算卫生防护距离初值</w:t>
            </w:r>
            <w:r>
              <w:rPr>
                <w:rFonts w:hint="default" w:ascii="Times New Roman" w:hAnsi="Times New Roman" w:eastAsia="宋体" w:cs="Times New Roman"/>
                <w:color w:val="auto"/>
                <w:kern w:val="0"/>
                <w:sz w:val="24"/>
                <w:szCs w:val="24"/>
                <w:highlight w:val="none"/>
                <w:lang w:eastAsia="zh-CN"/>
              </w:rPr>
              <w:t>；</w:t>
            </w:r>
          </w:p>
          <w:p>
            <w:pPr>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A、卫生防护距离初值计算公式</w:t>
            </w:r>
          </w:p>
          <w:p>
            <w:pPr>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采用GB/T3840-1991中7.4推荐的估算方法进行计算，具体公式如下：</w:t>
            </w:r>
          </w:p>
          <w:p>
            <w:pPr>
              <w:snapToGrid w:val="0"/>
              <w:spacing w:line="360" w:lineRule="auto"/>
              <w:ind w:firstLine="3000" w:firstLineChars="125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2"/>
                <w:sz w:val="24"/>
                <w:szCs w:val="24"/>
                <w:highlight w:val="none"/>
              </w:rPr>
              <w:object>
                <v:shape id="_x0000_i1030" o:spt="75" type="#_x0000_t75" style="height:36pt;width:141.75pt;" o:ole="t" filled="f" o:preferrelative="t" stroked="f" coordsize="21600,21600">
                  <v:path/>
                  <v:fill on="f" focussize="0,0"/>
                  <v:stroke on="f" joinstyle="miter"/>
                  <v:imagedata r:id="rId27" o:title=""/>
                  <o:lock v:ext="edit" aspectratio="t"/>
                  <w10:wrap type="none"/>
                  <w10:anchorlock/>
                </v:shape>
                <o:OLEObject Type="Embed" ProgID="Equation.3" ShapeID="_x0000_i1030" DrawAspect="Content" ObjectID="_1468075732" r:id="rId26">
                  <o:LockedField>false</o:LockedField>
                </o:OLEObject>
              </w:object>
            </w:r>
          </w:p>
          <w:p>
            <w:pPr>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式中：Qc—大气有害物质的无组织排放量，单位kg/h。</w:t>
            </w:r>
          </w:p>
          <w:p>
            <w:pPr>
              <w:adjustRightInd w:val="0"/>
              <w:snapToGrid w:val="0"/>
              <w:spacing w:line="360" w:lineRule="auto"/>
              <w:ind w:firstLine="1200" w:firstLineChars="50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C</w:t>
            </w:r>
            <w:r>
              <w:rPr>
                <w:rFonts w:hint="default" w:ascii="Times New Roman" w:hAnsi="Times New Roman" w:cs="Times New Roman"/>
                <w:color w:val="auto"/>
                <w:kern w:val="0"/>
                <w:sz w:val="24"/>
                <w:szCs w:val="24"/>
                <w:highlight w:val="none"/>
                <w:vertAlign w:val="subscript"/>
              </w:rPr>
              <w:t>m</w:t>
            </w:r>
            <w:r>
              <w:rPr>
                <w:rFonts w:hint="default" w:ascii="Times New Roman" w:hAnsi="Times New Roman" w:cs="Times New Roman"/>
                <w:color w:val="auto"/>
                <w:kern w:val="0"/>
                <w:sz w:val="24"/>
                <w:szCs w:val="24"/>
                <w:highlight w:val="none"/>
              </w:rPr>
              <w:t>—大气有害物质环境空气质量的标准限值，单位mg/Nm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lang w:eastAsia="zh-CN"/>
              </w:rPr>
              <w:t>；</w:t>
            </w:r>
          </w:p>
          <w:p>
            <w:pPr>
              <w:adjustRightInd w:val="0"/>
              <w:snapToGrid w:val="0"/>
              <w:spacing w:line="360" w:lineRule="auto"/>
              <w:ind w:firstLine="1200" w:firstLineChars="50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L—大气有害物质卫生防护距离初值，单位，m</w:t>
            </w:r>
            <w:r>
              <w:rPr>
                <w:rFonts w:hint="default" w:ascii="Times New Roman" w:hAnsi="Times New Roman" w:cs="Times New Roman"/>
                <w:color w:val="auto"/>
                <w:kern w:val="0"/>
                <w:sz w:val="24"/>
                <w:szCs w:val="24"/>
                <w:highlight w:val="none"/>
                <w:lang w:eastAsia="zh-CN"/>
              </w:rPr>
              <w:t>；</w:t>
            </w:r>
          </w:p>
          <w:p>
            <w:pPr>
              <w:adjustRightInd w:val="0"/>
              <w:snapToGrid w:val="0"/>
              <w:spacing w:line="360" w:lineRule="auto"/>
              <w:ind w:firstLine="1200" w:firstLineChars="500"/>
              <w:rPr>
                <w:rFonts w:hint="default"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kern w:val="0"/>
                <w:sz w:val="24"/>
                <w:szCs w:val="24"/>
                <w:highlight w:val="none"/>
              </w:rPr>
              <w:t>γ—大气有害物质无组织排放源所在生产单元的等效半径m，γ=（S/π）</w:t>
            </w:r>
            <w:r>
              <w:rPr>
                <w:rFonts w:hint="default" w:ascii="Times New Roman" w:hAnsi="Times New Roman" w:cs="Times New Roman"/>
                <w:color w:val="auto"/>
                <w:kern w:val="0"/>
                <w:sz w:val="24"/>
                <w:szCs w:val="24"/>
                <w:highlight w:val="none"/>
                <w:vertAlign w:val="superscript"/>
              </w:rPr>
              <w:t>0.5</w:t>
            </w:r>
            <w:r>
              <w:rPr>
                <w:rFonts w:hint="default" w:ascii="Times New Roman" w:hAnsi="Times New Roman" w:cs="Times New Roman"/>
                <w:color w:val="auto"/>
                <w:kern w:val="0"/>
                <w:sz w:val="24"/>
                <w:szCs w:val="24"/>
                <w:highlight w:val="none"/>
                <w:lang w:eastAsia="zh-CN"/>
              </w:rPr>
              <w:t>；</w:t>
            </w:r>
          </w:p>
          <w:p>
            <w:pPr>
              <w:snapToGrid w:val="0"/>
              <w:spacing w:line="360" w:lineRule="auto"/>
              <w:ind w:firstLine="1080" w:firstLineChars="45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A、B、C、D—卫生防护距离计算系数，无因次</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具体见表4.</w:t>
            </w:r>
            <w:r>
              <w:rPr>
                <w:rFonts w:hint="default" w:ascii="Times New Roman" w:hAnsi="Times New Roman" w:cs="Times New Roman"/>
                <w:color w:val="auto"/>
                <w:kern w:val="0"/>
                <w:sz w:val="24"/>
                <w:szCs w:val="24"/>
                <w:highlight w:val="none"/>
                <w:lang w:val="en-US" w:eastAsia="zh-CN"/>
              </w:rPr>
              <w:t>1-</w:t>
            </w:r>
            <w:r>
              <w:rPr>
                <w:rFonts w:hint="eastAsia" w:cs="Times New Roman"/>
                <w:color w:val="auto"/>
                <w:kern w:val="0"/>
                <w:sz w:val="24"/>
                <w:szCs w:val="24"/>
                <w:highlight w:val="none"/>
                <w:lang w:val="en-US" w:eastAsia="zh-CN"/>
              </w:rPr>
              <w:t>13</w:t>
            </w:r>
            <w:r>
              <w:rPr>
                <w:rFonts w:hint="default" w:ascii="Times New Roman" w:hAnsi="Times New Roman" w:cs="Times New Roman"/>
                <w:color w:val="auto"/>
                <w:kern w:val="0"/>
                <w:sz w:val="24"/>
                <w:szCs w:val="24"/>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表4.1-</w:t>
            </w:r>
            <w:r>
              <w:rPr>
                <w:rFonts w:hint="eastAsia" w:ascii="Times New Roman" w:hAnsi="Times New Roman" w:cs="Times New Roman"/>
                <w:b/>
                <w:bCs/>
                <w:color w:val="auto"/>
                <w:sz w:val="24"/>
                <w:szCs w:val="32"/>
                <w:highlight w:val="none"/>
                <w:lang w:val="en-US" w:eastAsia="zh-CN"/>
              </w:rPr>
              <w:t>1</w:t>
            </w:r>
            <w:r>
              <w:rPr>
                <w:rFonts w:hint="eastAsia" w:cs="Times New Roman"/>
                <w:b/>
                <w:bCs/>
                <w:color w:val="auto"/>
                <w:sz w:val="24"/>
                <w:szCs w:val="32"/>
                <w:highlight w:val="none"/>
                <w:lang w:val="en-US" w:eastAsia="zh-CN"/>
              </w:rPr>
              <w:t>3</w:t>
            </w:r>
            <w:r>
              <w:rPr>
                <w:rFonts w:hint="default" w:ascii="Times New Roman" w:hAnsi="Times New Roman" w:cs="Times New Roman"/>
                <w:b/>
                <w:bCs/>
                <w:color w:val="auto"/>
                <w:sz w:val="24"/>
                <w:szCs w:val="32"/>
                <w:highlight w:val="none"/>
                <w:lang w:val="en-US" w:eastAsia="zh-CN"/>
              </w:rPr>
              <w:t>卫生防护距离初值计算系数</w:t>
            </w:r>
          </w:p>
          <w:tbl>
            <w:tblPr>
              <w:tblStyle w:val="25"/>
              <w:tblW w:w="7939"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66"/>
              <w:gridCol w:w="849"/>
              <w:gridCol w:w="719"/>
              <w:gridCol w:w="862"/>
              <w:gridCol w:w="721"/>
              <w:gridCol w:w="719"/>
              <w:gridCol w:w="719"/>
              <w:gridCol w:w="721"/>
              <w:gridCol w:w="719"/>
              <w:gridCol w:w="719"/>
              <w:gridCol w:w="725"/>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计算系数</w:t>
                  </w:r>
                </w:p>
              </w:tc>
              <w:tc>
                <w:tcPr>
                  <w:tcW w:w="849"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年平均风速m/s</w:t>
                  </w:r>
                </w:p>
              </w:tc>
              <w:tc>
                <w:tcPr>
                  <w:tcW w:w="6624" w:type="dxa"/>
                  <w:gridSpan w:val="9"/>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卫生防护距离L/m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L≤1000</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1000＜L≤2000</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L＞2000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6624" w:type="dxa"/>
                  <w:gridSpan w:val="9"/>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工业企业大气污染源构成类别</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Ⅰ</w:t>
                  </w:r>
                </w:p>
              </w:tc>
              <w:tc>
                <w:tcPr>
                  <w:tcW w:w="862"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Ⅱ</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Ⅰ</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Ⅱ</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Ⅰ</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Ⅱ</w:t>
                  </w:r>
                </w:p>
              </w:tc>
              <w:tc>
                <w:tcPr>
                  <w:tcW w:w="725"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A</w:t>
                  </w: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862"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80</w:t>
                  </w:r>
                </w:p>
              </w:tc>
              <w:tc>
                <w:tcPr>
                  <w:tcW w:w="725"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2～4</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700</w:t>
                  </w:r>
                </w:p>
              </w:tc>
              <w:tc>
                <w:tcPr>
                  <w:tcW w:w="862"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470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700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470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380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250</w:t>
                  </w:r>
                </w:p>
              </w:tc>
              <w:tc>
                <w:tcPr>
                  <w:tcW w:w="725"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190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530</w:t>
                  </w:r>
                </w:p>
              </w:tc>
              <w:tc>
                <w:tcPr>
                  <w:tcW w:w="862"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260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530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350</w:t>
                  </w:r>
                </w:p>
              </w:tc>
              <w:tc>
                <w:tcPr>
                  <w:tcW w:w="721"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260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290</w:t>
                  </w:r>
                </w:p>
              </w:tc>
              <w:tc>
                <w:tcPr>
                  <w:tcW w:w="71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190</w:t>
                  </w:r>
                </w:p>
              </w:tc>
              <w:tc>
                <w:tcPr>
                  <w:tcW w:w="725"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140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B</w:t>
                  </w: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0.01</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0.015</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0.021</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0.036</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0.036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C</w:t>
                  </w: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1.85</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1.79</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1.85</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1.77</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1.77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restart"/>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D</w:t>
                  </w: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0.78</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0.78</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0.57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466" w:type="dxa"/>
                  <w:vMerge w:val="continue"/>
                  <w:tcBorders>
                    <w:tl2br w:val="nil"/>
                    <w:tr2bl w:val="nil"/>
                  </w:tcBorders>
                  <w:noWrap/>
                  <w:vAlign w:val="center"/>
                </w:tcPr>
                <w:p>
                  <w:pPr>
                    <w:widowControl/>
                    <w:snapToGrid w:val="0"/>
                    <w:jc w:val="left"/>
                    <w:rPr>
                      <w:rFonts w:hint="default" w:ascii="Times New Roman" w:hAnsi="Times New Roman" w:cs="Times New Roman"/>
                      <w:color w:val="auto"/>
                      <w:sz w:val="21"/>
                      <w:szCs w:val="21"/>
                      <w:highlight w:val="none"/>
                    </w:rPr>
                  </w:pPr>
                </w:p>
              </w:tc>
              <w:tc>
                <w:tcPr>
                  <w:tcW w:w="849" w:type="dxa"/>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＞2</w:t>
                  </w:r>
                </w:p>
              </w:tc>
              <w:tc>
                <w:tcPr>
                  <w:tcW w:w="2302"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0.84</w:t>
                  </w:r>
                </w:p>
              </w:tc>
              <w:tc>
                <w:tcPr>
                  <w:tcW w:w="2159"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0.84</w:t>
                  </w:r>
                </w:p>
              </w:tc>
              <w:tc>
                <w:tcPr>
                  <w:tcW w:w="2163" w:type="dxa"/>
                  <w:gridSpan w:val="3"/>
                  <w:tcBorders>
                    <w:tl2br w:val="nil"/>
                    <w:tr2bl w:val="nil"/>
                  </w:tcBorders>
                  <w:noWrap/>
                  <w:vAlign w:val="center"/>
                </w:tcPr>
                <w:p>
                  <w:pPr>
                    <w:tabs>
                      <w:tab w:val="left" w:pos="5670"/>
                    </w:tabs>
                    <w:adjustRightInd w:val="0"/>
                    <w:snapToGrid w:val="0"/>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0.76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7939" w:type="dxa"/>
                  <w:gridSpan w:val="11"/>
                  <w:tcBorders>
                    <w:tl2br w:val="nil"/>
                    <w:tr2bl w:val="nil"/>
                  </w:tcBorders>
                  <w:noWrap/>
                  <w:vAlign w:val="center"/>
                </w:tcPr>
                <w:p>
                  <w:pPr>
                    <w:tabs>
                      <w:tab w:val="left" w:pos="5670"/>
                    </w:tabs>
                    <w:adjustRightInd w:val="0"/>
                    <w:snapToGrid w:val="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注：</w:t>
                  </w:r>
                </w:p>
                <w:p>
                  <w:pPr>
                    <w:tabs>
                      <w:tab w:val="left" w:pos="5670"/>
                    </w:tabs>
                    <w:adjustRightInd w:val="0"/>
                    <w:snapToGrid w:val="0"/>
                    <w:ind w:firstLine="420" w:firstLineChars="20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I类：与无组织排放源共存的排放同种有害气体的排气筒的排放量，大于或等于标准规定的允许排放量的1/3者。</w:t>
                  </w:r>
                </w:p>
                <w:p>
                  <w:pPr>
                    <w:tabs>
                      <w:tab w:val="left" w:pos="5670"/>
                    </w:tabs>
                    <w:adjustRightInd w:val="0"/>
                    <w:snapToGrid w:val="0"/>
                    <w:ind w:firstLine="420" w:firstLineChars="200"/>
                    <w:jc w:val="left"/>
                    <w:rPr>
                      <w:rFonts w:hint="default" w:ascii="Times New Roman" w:hAnsi="Times New Roman" w:cs="Times New Roman"/>
                      <w:color w:val="auto"/>
                      <w:sz w:val="21"/>
                      <w:szCs w:val="21"/>
                      <w:highlight w:val="none"/>
                    </w:rPr>
                  </w:pPr>
                  <w:r>
                    <w:rPr>
                      <w:rFonts w:hint="eastAsia" w:cs="Times New Roman"/>
                      <w:color w:val="auto"/>
                      <w:sz w:val="21"/>
                      <w:szCs w:val="21"/>
                      <w:highlight w:val="none"/>
                      <w:lang w:eastAsia="zh-CN"/>
                    </w:rPr>
                    <w:t>Ⅱ类</w:t>
                  </w:r>
                  <w:r>
                    <w:rPr>
                      <w:rFonts w:hint="default" w:ascii="Times New Roman" w:hAnsi="Times New Roman" w:cs="Times New Roman"/>
                      <w:color w:val="auto"/>
                      <w:sz w:val="21"/>
                      <w:szCs w:val="21"/>
                      <w:highlight w:val="none"/>
                    </w:rPr>
                    <w:t>：与无组织排放源共存的排放同种有害气体的排气筒的排放量，小于标准规定的允许排放量的1/3，或虽无排放同种大气污染物之排放源共存，但无组织排放的有害物质的容许浓度指标是按急性反应指标确定者。</w:t>
                  </w:r>
                </w:p>
                <w:p>
                  <w:pPr>
                    <w:tabs>
                      <w:tab w:val="left" w:pos="5670"/>
                    </w:tabs>
                    <w:adjustRightInd w:val="0"/>
                    <w:snapToGrid w:val="0"/>
                    <w:ind w:firstLine="420" w:firstLineChars="200"/>
                    <w:jc w:val="left"/>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Ⅲ类：无排放同种有害物质的排气筒与无组织排放源共存，但无组织排放的有害物质的容许浓度是按慢性反应指标确定者。</w:t>
                  </w:r>
                </w:p>
              </w:tc>
            </w:tr>
          </w:tbl>
          <w:p>
            <w:pPr>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本项目有与无组织排放源共存的排放同种有害气体的排气筒，其排放量</w:t>
            </w:r>
            <w:r>
              <w:rPr>
                <w:rFonts w:hint="eastAsia" w:cs="Times New Roman"/>
                <w:color w:val="auto"/>
                <w:kern w:val="0"/>
                <w:sz w:val="24"/>
                <w:szCs w:val="24"/>
                <w:highlight w:val="none"/>
                <w:lang w:val="en-US" w:eastAsia="zh-CN"/>
              </w:rPr>
              <w:t>大</w:t>
            </w:r>
            <w:r>
              <w:rPr>
                <w:rFonts w:hint="default" w:ascii="Times New Roman" w:hAnsi="Times New Roman" w:cs="Times New Roman"/>
                <w:color w:val="auto"/>
                <w:kern w:val="0"/>
                <w:sz w:val="24"/>
                <w:szCs w:val="24"/>
                <w:highlight w:val="none"/>
              </w:rPr>
              <w:t>于标准规定的允许排放量的1/3，属于Ⅰ类</w:t>
            </w:r>
            <w:r>
              <w:rPr>
                <w:rFonts w:hint="default" w:ascii="Times New Roman" w:hAnsi="Times New Roman"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如皋市常年平均风速在2</w:t>
            </w:r>
            <w:r>
              <w:rPr>
                <w:rFonts w:hint="eastAsia" w:cs="Times New Roman"/>
                <w:color w:val="auto"/>
                <w:kern w:val="0"/>
                <w:sz w:val="24"/>
                <w:szCs w:val="24"/>
                <w:highlight w:val="none"/>
                <w:lang w:eastAsia="zh-CN"/>
              </w:rPr>
              <w:t>～</w:t>
            </w:r>
            <w:r>
              <w:rPr>
                <w:rFonts w:hint="default" w:ascii="Times New Roman" w:hAnsi="Times New Roman" w:cs="Times New Roman"/>
                <w:color w:val="auto"/>
                <w:kern w:val="0"/>
                <w:sz w:val="24"/>
                <w:szCs w:val="24"/>
                <w:highlight w:val="none"/>
              </w:rPr>
              <w:t>4m/s，初始距离L&lt;1000m，根据上述表格A、B、C、D取值为</w:t>
            </w:r>
            <w:r>
              <w:rPr>
                <w:rFonts w:hint="eastAsia" w:cs="Times New Roman"/>
                <w:color w:val="auto"/>
                <w:kern w:val="0"/>
                <w:sz w:val="24"/>
                <w:szCs w:val="24"/>
                <w:highlight w:val="none"/>
                <w:lang w:val="en-US" w:eastAsia="zh-CN"/>
              </w:rPr>
              <w:t>700</w:t>
            </w:r>
            <w:r>
              <w:rPr>
                <w:rFonts w:hint="default" w:ascii="Times New Roman" w:hAnsi="Times New Roman" w:cs="Times New Roman"/>
                <w:color w:val="auto"/>
                <w:kern w:val="0"/>
                <w:sz w:val="24"/>
                <w:szCs w:val="24"/>
                <w:highlight w:val="none"/>
              </w:rPr>
              <w:t>、0.021、1.85、0.84。</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卫生防护距离计算结果见表4</w:t>
            </w:r>
            <w:r>
              <w:rPr>
                <w:rFonts w:hint="default" w:ascii="Times New Roman" w:hAnsi="Times New Roman" w:cs="Times New Roman"/>
                <w:color w:val="auto"/>
                <w:kern w:val="0"/>
                <w:sz w:val="24"/>
                <w:szCs w:val="24"/>
                <w:highlight w:val="none"/>
                <w:lang w:val="en-US" w:eastAsia="zh-CN"/>
              </w:rPr>
              <w:t>.1-1</w:t>
            </w:r>
            <w:r>
              <w:rPr>
                <w:rFonts w:hint="eastAsia"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表4.1-1</w:t>
            </w:r>
            <w:r>
              <w:rPr>
                <w:rFonts w:hint="eastAsia" w:cs="Times New Roman"/>
                <w:b/>
                <w:bCs/>
                <w:color w:val="auto"/>
                <w:sz w:val="24"/>
                <w:szCs w:val="32"/>
                <w:highlight w:val="none"/>
                <w:lang w:val="en-US" w:eastAsia="zh-CN"/>
              </w:rPr>
              <w:t>4</w:t>
            </w:r>
            <w:r>
              <w:rPr>
                <w:rFonts w:hint="default" w:ascii="Times New Roman" w:hAnsi="Times New Roman" w:cs="Times New Roman"/>
                <w:b/>
                <w:bCs/>
                <w:color w:val="auto"/>
                <w:sz w:val="24"/>
                <w:szCs w:val="32"/>
                <w:highlight w:val="none"/>
                <w:lang w:val="en-US" w:eastAsia="zh-CN"/>
              </w:rPr>
              <w:t>卫生防护距离计算结果</w:t>
            </w:r>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82"/>
              <w:gridCol w:w="1543"/>
              <w:gridCol w:w="1272"/>
              <w:gridCol w:w="1525"/>
              <w:gridCol w:w="1395"/>
              <w:gridCol w:w="102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1182" w:type="dxa"/>
                  <w:vMerge w:val="restart"/>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污染源位置</w:t>
                  </w:r>
                </w:p>
              </w:tc>
              <w:tc>
                <w:tcPr>
                  <w:tcW w:w="1543" w:type="dxa"/>
                  <w:vMerge w:val="restart"/>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污染物名称</w:t>
                  </w:r>
                </w:p>
              </w:tc>
              <w:tc>
                <w:tcPr>
                  <w:tcW w:w="1272" w:type="dxa"/>
                  <w:vMerge w:val="restart"/>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Qc</w:t>
                  </w:r>
                </w:p>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（kg/h）</w:t>
                  </w:r>
                </w:p>
              </w:tc>
              <w:tc>
                <w:tcPr>
                  <w:tcW w:w="1525" w:type="dxa"/>
                  <w:vMerge w:val="restart"/>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C</w:t>
                  </w:r>
                  <w:r>
                    <w:rPr>
                      <w:rFonts w:hint="default" w:ascii="Times New Roman" w:hAnsi="Times New Roman" w:cs="Times New Roman"/>
                      <w:color w:val="auto"/>
                      <w:kern w:val="0"/>
                      <w:sz w:val="21"/>
                      <w:szCs w:val="21"/>
                      <w:highlight w:val="none"/>
                      <w:vertAlign w:val="subscript"/>
                    </w:rPr>
                    <w:t>m</w:t>
                  </w:r>
                </w:p>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（mg/m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w:t>
                  </w:r>
                </w:p>
              </w:tc>
              <w:tc>
                <w:tcPr>
                  <w:tcW w:w="2416" w:type="dxa"/>
                  <w:gridSpan w:val="2"/>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卫生防护距离（m）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1182" w:type="dxa"/>
                  <w:vMerge w:val="continue"/>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p>
              </w:tc>
              <w:tc>
                <w:tcPr>
                  <w:tcW w:w="1543" w:type="dxa"/>
                  <w:vMerge w:val="continue"/>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p>
              </w:tc>
              <w:tc>
                <w:tcPr>
                  <w:tcW w:w="1272" w:type="dxa"/>
                  <w:vMerge w:val="continue"/>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p>
              </w:tc>
              <w:tc>
                <w:tcPr>
                  <w:tcW w:w="1525" w:type="dxa"/>
                  <w:vMerge w:val="continue"/>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p>
              </w:tc>
              <w:tc>
                <w:tcPr>
                  <w:tcW w:w="1395" w:type="dxa"/>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L</w:t>
                  </w:r>
                  <w:r>
                    <w:rPr>
                      <w:rFonts w:hint="default" w:ascii="Times New Roman" w:hAnsi="Times New Roman" w:cs="Times New Roman"/>
                      <w:color w:val="auto"/>
                      <w:kern w:val="0"/>
                      <w:sz w:val="21"/>
                      <w:szCs w:val="21"/>
                      <w:highlight w:val="none"/>
                      <w:vertAlign w:val="subscript"/>
                    </w:rPr>
                    <w:t>计</w:t>
                  </w:r>
                </w:p>
              </w:tc>
              <w:tc>
                <w:tcPr>
                  <w:tcW w:w="1021" w:type="dxa"/>
                  <w:tcBorders>
                    <w:tl2br w:val="nil"/>
                    <w:tr2bl w:val="nil"/>
                  </w:tcBorders>
                  <w:vAlign w:val="center"/>
                </w:tcPr>
                <w:p>
                  <w:pPr>
                    <w:widowControl/>
                    <w:adjustRightInd w:val="0"/>
                    <w:snapToGrid w:val="0"/>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L</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jc w:val="center"/>
              </w:trPr>
              <w:tc>
                <w:tcPr>
                  <w:tcW w:w="1182" w:type="dxa"/>
                  <w:tcBorders>
                    <w:tl2br w:val="nil"/>
                    <w:tr2bl w:val="nil"/>
                  </w:tcBorders>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生产车间区域</w:t>
                  </w:r>
                </w:p>
              </w:tc>
              <w:tc>
                <w:tcPr>
                  <w:tcW w:w="1543"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 w:val="21"/>
                      <w:szCs w:val="21"/>
                      <w:highlight w:val="none"/>
                      <w:lang w:val="en-US" w:eastAsia="zh-CN" w:bidi="ar-SA"/>
                    </w:rPr>
                    <w:t>颗粒物</w:t>
                  </w:r>
                </w:p>
              </w:tc>
              <w:tc>
                <w:tcPr>
                  <w:tcW w:w="1272" w:type="dxa"/>
                  <w:tcBorders>
                    <w:tl2br w:val="nil"/>
                    <w:tr2bl w:val="nil"/>
                  </w:tcBorders>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1.3898</w:t>
                  </w:r>
                </w:p>
              </w:tc>
              <w:tc>
                <w:tcPr>
                  <w:tcW w:w="1525" w:type="dxa"/>
                  <w:tcBorders>
                    <w:tl2br w:val="nil"/>
                    <w:tr2bl w:val="nil"/>
                  </w:tcBorders>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c>
                <w:tcPr>
                  <w:tcW w:w="1395" w:type="dxa"/>
                  <w:tcBorders>
                    <w:tl2br w:val="nil"/>
                    <w:tr2bl w:val="nil"/>
                  </w:tcBorders>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54.796</w:t>
                  </w:r>
                </w:p>
              </w:tc>
              <w:tc>
                <w:tcPr>
                  <w:tcW w:w="1021" w:type="dxa"/>
                  <w:tcBorders>
                    <w:tl2br w:val="nil"/>
                    <w:tr2bl w:val="nil"/>
                  </w:tcBorders>
                  <w:vAlign w:val="center"/>
                </w:tcPr>
                <w:p>
                  <w:pPr>
                    <w:widowControl/>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100</w:t>
                  </w:r>
                </w:p>
              </w:tc>
            </w:tr>
          </w:tbl>
          <w:p>
            <w:pPr>
              <w:adjustRightInd w:val="0"/>
              <w:snapToGrid w:val="0"/>
              <w:spacing w:line="360" w:lineRule="auto"/>
              <w:ind w:firstLine="482"/>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B、卫生防护距离终值的确定</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根据上述计算，本项目技改扩建后全厂以</w:t>
            </w:r>
            <w:r>
              <w:rPr>
                <w:rFonts w:hint="eastAsia" w:cs="Times New Roman"/>
                <w:color w:val="auto"/>
                <w:kern w:val="0"/>
                <w:sz w:val="24"/>
                <w:szCs w:val="24"/>
                <w:highlight w:val="none"/>
                <w:lang w:val="en-US" w:eastAsia="zh-CN"/>
              </w:rPr>
              <w:t>生产车间一、车间二所在区域</w:t>
            </w:r>
            <w:r>
              <w:rPr>
                <w:rFonts w:hint="default" w:ascii="Times New Roman" w:hAnsi="Times New Roman" w:cs="Times New Roman"/>
                <w:color w:val="auto"/>
                <w:kern w:val="0"/>
                <w:sz w:val="24"/>
                <w:szCs w:val="24"/>
                <w:highlight w:val="none"/>
              </w:rPr>
              <w:t>为边界设置</w:t>
            </w:r>
            <w:r>
              <w:rPr>
                <w:rFonts w:hint="eastAsia" w:cs="Times New Roman"/>
                <w:color w:val="auto"/>
                <w:kern w:val="0"/>
                <w:sz w:val="24"/>
                <w:szCs w:val="24"/>
                <w:highlight w:val="none"/>
                <w:lang w:val="en-US" w:eastAsia="zh-CN"/>
              </w:rPr>
              <w:t>100</w:t>
            </w:r>
            <w:r>
              <w:rPr>
                <w:rFonts w:hint="default" w:ascii="Times New Roman" w:hAnsi="Times New Roman" w:cs="Times New Roman"/>
                <w:color w:val="auto"/>
                <w:kern w:val="0"/>
                <w:sz w:val="24"/>
                <w:szCs w:val="24"/>
                <w:highlight w:val="none"/>
              </w:rPr>
              <w:t>m的卫生防护距离。</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经</w:t>
            </w:r>
            <w:r>
              <w:rPr>
                <w:rFonts w:hint="eastAsia" w:cs="Times New Roman"/>
                <w:color w:val="auto"/>
                <w:kern w:val="0"/>
                <w:sz w:val="24"/>
                <w:szCs w:val="24"/>
                <w:highlight w:val="none"/>
                <w:lang w:eastAsia="zh-CN"/>
              </w:rPr>
              <w:t>现场勘查</w:t>
            </w:r>
            <w:r>
              <w:rPr>
                <w:rFonts w:hint="default" w:ascii="Times New Roman" w:hAnsi="Times New Roman" w:cs="Times New Roman"/>
                <w:color w:val="auto"/>
                <w:kern w:val="0"/>
                <w:sz w:val="24"/>
                <w:szCs w:val="24"/>
                <w:highlight w:val="none"/>
              </w:rPr>
              <w:t>，项目卫生防护距离包络线内无敏感目标，今后也不得新建居民、学校、医院等环境敏感目标，因此，对周围的环境影响比较小。</w:t>
            </w:r>
          </w:p>
          <w:p>
            <w:pPr>
              <w:adjustRightInd w:val="0"/>
              <w:snapToGrid w:val="0"/>
              <w:spacing w:line="360" w:lineRule="auto"/>
              <w:ind w:firstLine="482" w:firstLineChars="200"/>
              <w:rPr>
                <w:rFonts w:hint="default" w:ascii="Times New Roman" w:hAnsi="Times New Roman" w:eastAsia="宋体" w:cs="Times New Roman"/>
                <w:b/>
                <w:bCs/>
                <w:color w:val="auto"/>
                <w:kern w:val="0"/>
                <w:sz w:val="24"/>
                <w:szCs w:val="24"/>
                <w:highlight w:val="none"/>
              </w:rPr>
            </w:pPr>
            <w:r>
              <w:rPr>
                <w:rFonts w:hint="eastAsia" w:ascii="Times New Roman" w:hAnsi="Times New Roman" w:eastAsia="宋体" w:cs="Times New Roman"/>
                <w:b/>
                <w:bCs/>
                <w:color w:val="auto"/>
                <w:kern w:val="0"/>
                <w:sz w:val="24"/>
                <w:szCs w:val="24"/>
                <w:highlight w:val="none"/>
                <w:lang w:val="en-US" w:eastAsia="zh-CN"/>
              </w:rPr>
              <w:t>7</w:t>
            </w:r>
            <w:r>
              <w:rPr>
                <w:rFonts w:hint="default" w:ascii="Times New Roman" w:hAnsi="Times New Roman" w:eastAsia="宋体" w:cs="Times New Roman"/>
                <w:b/>
                <w:bCs/>
                <w:color w:val="auto"/>
                <w:kern w:val="0"/>
                <w:sz w:val="24"/>
                <w:szCs w:val="24"/>
                <w:highlight w:val="none"/>
              </w:rPr>
              <w:t>、大气环境影响分析结论</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本项目位于</w:t>
            </w:r>
            <w:r>
              <w:rPr>
                <w:rFonts w:hint="default" w:ascii="Times New Roman" w:hAnsi="Times New Roman" w:cs="Times New Roman"/>
                <w:color w:val="auto"/>
                <w:kern w:val="0"/>
                <w:sz w:val="24"/>
                <w:szCs w:val="24"/>
                <w:highlight w:val="none"/>
                <w:lang w:val="en-US" w:eastAsia="zh-CN"/>
              </w:rPr>
              <w:t>江苏省如皋市城北街道起凤西路118号</w:t>
            </w:r>
            <w:r>
              <w:rPr>
                <w:rFonts w:hint="default" w:ascii="Times New Roman" w:hAnsi="Times New Roman" w:cs="Times New Roman"/>
                <w:color w:val="auto"/>
                <w:kern w:val="0"/>
                <w:sz w:val="24"/>
                <w:szCs w:val="24"/>
                <w:highlight w:val="none"/>
              </w:rPr>
              <w:t>，企业卫生防护距离为以</w:t>
            </w:r>
            <w:r>
              <w:rPr>
                <w:rFonts w:hint="eastAsia" w:cs="Times New Roman"/>
                <w:color w:val="auto"/>
                <w:kern w:val="0"/>
                <w:sz w:val="24"/>
                <w:szCs w:val="24"/>
                <w:highlight w:val="none"/>
                <w:lang w:val="en-US" w:eastAsia="zh-CN"/>
              </w:rPr>
              <w:t>生产车间一、二所在区域</w:t>
            </w:r>
            <w:r>
              <w:rPr>
                <w:rFonts w:hint="default" w:ascii="Times New Roman" w:hAnsi="Times New Roman" w:cs="Times New Roman"/>
                <w:color w:val="auto"/>
                <w:kern w:val="0"/>
                <w:sz w:val="24"/>
                <w:szCs w:val="24"/>
                <w:highlight w:val="none"/>
              </w:rPr>
              <w:t>为边界向外设置</w:t>
            </w:r>
            <w:r>
              <w:rPr>
                <w:rFonts w:hint="eastAsia" w:cs="Times New Roman"/>
                <w:color w:val="auto"/>
                <w:kern w:val="0"/>
                <w:sz w:val="24"/>
                <w:szCs w:val="24"/>
                <w:highlight w:val="none"/>
                <w:lang w:val="en-US" w:eastAsia="zh-CN"/>
              </w:rPr>
              <w:t>100</w:t>
            </w:r>
            <w:r>
              <w:rPr>
                <w:rFonts w:hint="default" w:ascii="Times New Roman" w:hAnsi="Times New Roman" w:cs="Times New Roman"/>
                <w:color w:val="auto"/>
                <w:kern w:val="0"/>
                <w:sz w:val="24"/>
                <w:szCs w:val="24"/>
                <w:highlight w:val="none"/>
              </w:rPr>
              <w:t>m的卫生防护距离包络线。卫生防护距离内无敏感目标，因此，本项目能满足项目卫生防护距离的要求。</w:t>
            </w:r>
          </w:p>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eastAsia="zh-CN"/>
              </w:rPr>
            </w:pPr>
            <w:r>
              <w:rPr>
                <w:rFonts w:hint="eastAsia" w:cs="Times New Roman"/>
                <w:color w:val="auto"/>
                <w:kern w:val="0"/>
                <w:sz w:val="24"/>
                <w:szCs w:val="24"/>
                <w:highlight w:val="none"/>
                <w:lang w:val="en-US" w:eastAsia="zh-CN"/>
              </w:rPr>
              <w:t>本项目磨头、敲盖过程中产生的颗粒物经集气罩收集后经布袋除尘器处理后通过</w:t>
            </w:r>
            <w:r>
              <w:rPr>
                <w:rFonts w:hint="default" w:ascii="Times New Roman" w:hAnsi="Times New Roman" w:cs="Times New Roman"/>
                <w:color w:val="auto"/>
                <w:kern w:val="0"/>
                <w:sz w:val="24"/>
                <w:szCs w:val="24"/>
                <w:highlight w:val="none"/>
              </w:rPr>
              <w:t>15m高排气筒排放（DA001）</w:t>
            </w:r>
            <w:r>
              <w:rPr>
                <w:rFonts w:hint="eastAsia" w:ascii="Times New Roman" w:hAnsi="Times New Roman"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调胶、上胶、植绒、胶合板刷、灌胶废气经过</w:t>
            </w:r>
            <w:r>
              <w:rPr>
                <w:rFonts w:hint="eastAsia" w:ascii="Times New Roman" w:hAnsi="Times New Roman" w:cs="Times New Roman"/>
                <w:color w:val="auto"/>
                <w:kern w:val="0"/>
                <w:sz w:val="24"/>
                <w:szCs w:val="24"/>
                <w:highlight w:val="none"/>
                <w:lang w:val="en-US" w:eastAsia="zh-CN"/>
              </w:rPr>
              <w:t>二级活性炭吸附装置处理后</w:t>
            </w:r>
            <w:r>
              <w:rPr>
                <w:rFonts w:hint="default" w:ascii="Times New Roman" w:hAnsi="Times New Roman" w:cs="Times New Roman"/>
                <w:color w:val="auto"/>
                <w:kern w:val="0"/>
                <w:sz w:val="24"/>
                <w:szCs w:val="24"/>
                <w:highlight w:val="none"/>
              </w:rPr>
              <w:t>通过15m高排气筒排放（DA00</w:t>
            </w:r>
            <w:r>
              <w:rPr>
                <w:rFonts w:hint="eastAsia" w:cs="Times New Roman"/>
                <w:color w:val="auto"/>
                <w:kern w:val="0"/>
                <w:sz w:val="24"/>
                <w:szCs w:val="24"/>
                <w:highlight w:val="none"/>
                <w:lang w:val="en-US" w:eastAsia="zh-CN"/>
              </w:rPr>
              <w:t>1</w:t>
            </w:r>
            <w:r>
              <w:rPr>
                <w:rFonts w:hint="default" w:ascii="Times New Roman" w:hAnsi="Times New Roman" w:cs="Times New Roman"/>
                <w:color w:val="auto"/>
                <w:kern w:val="0"/>
                <w:sz w:val="24"/>
                <w:szCs w:val="24"/>
                <w:highlight w:val="none"/>
              </w:rPr>
              <w:t>）</w:t>
            </w:r>
            <w:r>
              <w:rPr>
                <w:rFonts w:hint="eastAsia" w:cs="Times New Roman"/>
                <w:color w:val="auto"/>
                <w:kern w:val="0"/>
                <w:sz w:val="24"/>
                <w:szCs w:val="24"/>
                <w:highlight w:val="none"/>
                <w:lang w:eastAsia="zh-CN"/>
              </w:rPr>
              <w:t>，</w:t>
            </w:r>
            <w:r>
              <w:rPr>
                <w:rFonts w:hint="eastAsia" w:cs="Times New Roman"/>
                <w:color w:val="auto"/>
                <w:kern w:val="0"/>
                <w:sz w:val="24"/>
                <w:szCs w:val="24"/>
                <w:highlight w:val="none"/>
                <w:lang w:val="en-US" w:eastAsia="zh-CN"/>
              </w:rPr>
              <w:t>注塑、浸漆废气经过</w:t>
            </w:r>
            <w:r>
              <w:rPr>
                <w:rFonts w:hint="eastAsia" w:ascii="Times New Roman" w:hAnsi="Times New Roman" w:cs="Times New Roman"/>
                <w:color w:val="auto"/>
                <w:kern w:val="0"/>
                <w:sz w:val="24"/>
                <w:szCs w:val="24"/>
                <w:highlight w:val="none"/>
                <w:lang w:val="en-US" w:eastAsia="zh-CN"/>
              </w:rPr>
              <w:t>二级活性炭吸附装置处理后</w:t>
            </w:r>
            <w:r>
              <w:rPr>
                <w:rFonts w:hint="default" w:ascii="Times New Roman" w:hAnsi="Times New Roman" w:cs="Times New Roman"/>
                <w:color w:val="auto"/>
                <w:kern w:val="0"/>
                <w:sz w:val="24"/>
                <w:szCs w:val="24"/>
                <w:highlight w:val="none"/>
              </w:rPr>
              <w:t>通过15m高排气筒排放（DA00</w:t>
            </w:r>
            <w:r>
              <w:rPr>
                <w:rFonts w:hint="eastAsia" w:cs="Times New Roman"/>
                <w:color w:val="auto"/>
                <w:kern w:val="0"/>
                <w:sz w:val="24"/>
                <w:szCs w:val="24"/>
                <w:highlight w:val="none"/>
                <w:lang w:val="en-US" w:eastAsia="zh-CN"/>
              </w:rPr>
              <w:t>2</w:t>
            </w:r>
            <w:r>
              <w:rPr>
                <w:rFonts w:hint="default" w:ascii="Times New Roman" w:hAnsi="Times New Roman" w:cs="Times New Roman"/>
                <w:color w:val="auto"/>
                <w:kern w:val="0"/>
                <w:sz w:val="24"/>
                <w:szCs w:val="24"/>
                <w:highlight w:val="none"/>
              </w:rPr>
              <w:t>）。</w:t>
            </w:r>
            <w:r>
              <w:rPr>
                <w:rFonts w:hint="default" w:ascii="Times New Roman" w:hAnsi="Times New Roman" w:cs="Times New Roman"/>
                <w:color w:val="auto"/>
                <w:sz w:val="24"/>
                <w:szCs w:val="24"/>
                <w:highlight w:val="none"/>
              </w:rPr>
              <w:t>本项目</w:t>
            </w:r>
            <w:r>
              <w:rPr>
                <w:rFonts w:hint="eastAsia" w:cs="Times New Roman"/>
                <w:color w:val="auto"/>
                <w:sz w:val="24"/>
                <w:szCs w:val="24"/>
                <w:highlight w:val="none"/>
                <w:lang w:val="en-US" w:eastAsia="zh-CN"/>
              </w:rPr>
              <w:t>DA001排气筒排放颗粒物、非甲烷总满足</w:t>
            </w:r>
            <w:r>
              <w:rPr>
                <w:rFonts w:hint="default" w:ascii="Times New Roman" w:hAnsi="Times New Roman" w:cs="Times New Roman"/>
                <w:color w:val="auto"/>
                <w:sz w:val="24"/>
                <w:szCs w:val="24"/>
                <w:highlight w:val="none"/>
              </w:rPr>
              <w:t>《大气污染物综合排放标准》（DB32/4041-2021）</w:t>
            </w:r>
            <w:r>
              <w:rPr>
                <w:rFonts w:hint="eastAsia" w:ascii="Times New Roman" w:hAnsi="Times New Roman" w:cs="Times New Roman"/>
                <w:color w:val="auto"/>
                <w:sz w:val="24"/>
                <w:szCs w:val="24"/>
                <w:highlight w:val="none"/>
                <w:lang w:val="en-US" w:eastAsia="zh-CN"/>
              </w:rPr>
              <w:t>浓度限值</w:t>
            </w:r>
            <w:r>
              <w:rPr>
                <w:rFonts w:hint="eastAsia" w:ascii="Times New Roman" w:hAnsi="Times New Roman" w:cs="Times New Roman"/>
                <w:color w:val="auto"/>
                <w:sz w:val="24"/>
                <w:szCs w:val="24"/>
                <w:highlight w:val="none"/>
                <w:lang w:eastAsia="zh-CN"/>
              </w:rPr>
              <w:t>，</w:t>
            </w:r>
            <w:r>
              <w:rPr>
                <w:rFonts w:hint="eastAsia" w:cs="Times New Roman"/>
                <w:color w:val="auto"/>
                <w:sz w:val="24"/>
                <w:szCs w:val="24"/>
                <w:highlight w:val="none"/>
                <w:lang w:val="en-US" w:eastAsia="zh-CN"/>
              </w:rPr>
              <w:t>MDI满足</w:t>
            </w:r>
            <w:r>
              <w:rPr>
                <w:rFonts w:hint="eastAsia" w:ascii="Times New Roman" w:hAnsi="Times New Roman" w:cs="Times New Roman"/>
                <w:color w:val="auto"/>
                <w:sz w:val="24"/>
                <w:szCs w:val="24"/>
                <w:highlight w:val="none"/>
                <w:lang w:val="en-US" w:eastAsia="zh-CN"/>
              </w:rPr>
              <w:t>《</w:t>
            </w:r>
            <w:r>
              <w:rPr>
                <w:rFonts w:hint="eastAsia" w:cs="Times New Roman"/>
                <w:color w:val="auto"/>
                <w:sz w:val="24"/>
                <w:szCs w:val="24"/>
                <w:highlight w:val="none"/>
                <w:lang w:val="en-US" w:eastAsia="zh-CN"/>
              </w:rPr>
              <w:t>合成树脂工业污染物排放标准</w:t>
            </w:r>
            <w:r>
              <w:rPr>
                <w:rFonts w:hint="eastAsia" w:ascii="Times New Roman" w:hAnsi="Times New Roman" w:cs="Times New Roman"/>
                <w:color w:val="auto"/>
                <w:sz w:val="24"/>
                <w:szCs w:val="24"/>
                <w:highlight w:val="none"/>
                <w:lang w:val="en-US" w:eastAsia="zh-CN"/>
              </w:rPr>
              <w:t>》（GB31572-2015）浓度限值</w:t>
            </w:r>
            <w:r>
              <w:rPr>
                <w:rFonts w:hint="eastAsia" w:cs="Times New Roman"/>
                <w:color w:val="auto"/>
                <w:sz w:val="24"/>
                <w:szCs w:val="24"/>
                <w:highlight w:val="none"/>
                <w:lang w:val="en-US" w:eastAsia="zh-CN"/>
              </w:rPr>
              <w:t>，本项目DA002排气筒排放</w:t>
            </w:r>
            <w:r>
              <w:rPr>
                <w:rFonts w:hint="eastAsia" w:ascii="Times New Roman" w:hAnsi="Times New Roman" w:cs="Times New Roman"/>
                <w:color w:val="auto"/>
                <w:sz w:val="24"/>
                <w:szCs w:val="24"/>
                <w:highlight w:val="none"/>
                <w:lang w:val="en-US" w:eastAsia="zh-CN"/>
              </w:rPr>
              <w:t>非甲烷总烃</w:t>
            </w:r>
            <w:r>
              <w:rPr>
                <w:rFonts w:hint="eastAsia" w:cs="Times New Roman"/>
                <w:color w:val="auto"/>
                <w:sz w:val="24"/>
                <w:szCs w:val="24"/>
                <w:highlight w:val="none"/>
                <w:lang w:val="en-US" w:eastAsia="zh-CN"/>
              </w:rPr>
              <w:t>满足《工业涂装工序大气污染物排放标准》（DB32/4439-2022）</w:t>
            </w:r>
            <w:r>
              <w:rPr>
                <w:rFonts w:hint="eastAsia" w:ascii="Times New Roman" w:hAnsi="Times New Roman" w:cs="Times New Roman"/>
                <w:color w:val="auto"/>
                <w:sz w:val="24"/>
                <w:szCs w:val="24"/>
                <w:highlight w:val="none"/>
                <w:lang w:val="en-US" w:eastAsia="zh-CN"/>
              </w:rPr>
              <w:t>浓度限值</w:t>
            </w:r>
            <w:r>
              <w:rPr>
                <w:rFonts w:hint="eastAsia" w:ascii="Times New Roman" w:hAnsi="Times New Roman" w:cs="Times New Roman"/>
                <w:color w:val="auto"/>
                <w:kern w:val="0"/>
                <w:sz w:val="24"/>
                <w:szCs w:val="24"/>
                <w:highlight w:val="none"/>
                <w:lang w:val="en-US" w:eastAsia="zh-CN"/>
              </w:rPr>
              <w:t>，</w:t>
            </w:r>
            <w:r>
              <w:rPr>
                <w:rFonts w:hint="default" w:ascii="Times New Roman" w:hAnsi="Times New Roman" w:cs="Times New Roman"/>
                <w:color w:val="auto"/>
                <w:kern w:val="0"/>
                <w:sz w:val="24"/>
                <w:szCs w:val="24"/>
                <w:highlight w:val="none"/>
              </w:rPr>
              <w:t>对周边大气环境影响较小</w:t>
            </w:r>
            <w:r>
              <w:rPr>
                <w:rFonts w:hint="eastAsia" w:cs="Times New Roman"/>
                <w:color w:val="auto"/>
                <w:kern w:val="0"/>
                <w:sz w:val="24"/>
                <w:szCs w:val="24"/>
                <w:highlight w:val="none"/>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2" w:firstLineChars="200"/>
              <w:textAlignment w:val="auto"/>
              <w:rPr>
                <w:rFonts w:hint="default" w:ascii="Times New Roman" w:hAnsi="Times New Roman" w:cs="Times New Roman"/>
                <w:b/>
                <w:color w:val="auto"/>
                <w:kern w:val="0"/>
                <w:sz w:val="24"/>
                <w:szCs w:val="24"/>
                <w:highlight w:val="none"/>
                <w:lang w:val="en-US" w:eastAsia="zh-CN"/>
              </w:rPr>
            </w:pPr>
            <w:r>
              <w:rPr>
                <w:rFonts w:hint="default" w:ascii="Times New Roman" w:hAnsi="Times New Roman" w:cs="Times New Roman"/>
                <w:b/>
                <w:color w:val="auto"/>
                <w:kern w:val="0"/>
                <w:sz w:val="24"/>
                <w:szCs w:val="24"/>
                <w:highlight w:val="none"/>
                <w:lang w:val="en-US" w:eastAsia="zh-CN"/>
              </w:rPr>
              <w:t>二、废水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1、废水排放源强</w:t>
            </w:r>
          </w:p>
          <w:p>
            <w:pPr>
              <w:adjustRightInd w:val="0"/>
              <w:snapToGrid w:val="0"/>
              <w:spacing w:line="360" w:lineRule="auto"/>
              <w:ind w:firstLine="482"/>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本项目废水主要为职工生活污水，</w:t>
            </w:r>
            <w:r>
              <w:rPr>
                <w:rFonts w:hint="default" w:ascii="Times New Roman" w:hAnsi="Times New Roman" w:cs="Times New Roman"/>
                <w:color w:val="auto"/>
                <w:kern w:val="0"/>
                <w:sz w:val="24"/>
                <w:szCs w:val="24"/>
                <w:highlight w:val="none"/>
                <w:lang w:val="en-US" w:eastAsia="zh-CN"/>
              </w:rPr>
              <w:t>本项目</w:t>
            </w:r>
            <w:r>
              <w:rPr>
                <w:rFonts w:hint="eastAsia" w:cs="Times New Roman"/>
                <w:color w:val="auto"/>
                <w:kern w:val="0"/>
                <w:sz w:val="24"/>
                <w:szCs w:val="24"/>
                <w:highlight w:val="none"/>
                <w:lang w:val="en-US" w:eastAsia="zh-CN"/>
              </w:rPr>
              <w:t>新增</w:t>
            </w:r>
            <w:r>
              <w:rPr>
                <w:rFonts w:hint="default" w:ascii="Times New Roman" w:hAnsi="Times New Roman" w:cs="Times New Roman"/>
                <w:color w:val="auto"/>
                <w:kern w:val="0"/>
                <w:sz w:val="24"/>
                <w:szCs w:val="24"/>
                <w:highlight w:val="none"/>
                <w:lang w:val="en-US" w:eastAsia="zh-CN"/>
              </w:rPr>
              <w:t>职工人数为</w:t>
            </w:r>
            <w:r>
              <w:rPr>
                <w:rFonts w:hint="eastAsia" w:cs="Times New Roman"/>
                <w:color w:val="auto"/>
                <w:kern w:val="0"/>
                <w:sz w:val="24"/>
                <w:szCs w:val="24"/>
                <w:highlight w:val="none"/>
                <w:lang w:val="en-US" w:eastAsia="zh-CN"/>
              </w:rPr>
              <w:t>30</w:t>
            </w:r>
            <w:r>
              <w:rPr>
                <w:rFonts w:hint="default" w:ascii="Times New Roman" w:hAnsi="Times New Roman" w:cs="Times New Roman"/>
                <w:color w:val="auto"/>
                <w:kern w:val="0"/>
                <w:sz w:val="24"/>
                <w:szCs w:val="24"/>
                <w:highlight w:val="none"/>
                <w:lang w:val="en-US" w:eastAsia="zh-CN"/>
              </w:rPr>
              <w:t>人，年工作时间为30</w:t>
            </w:r>
            <w:r>
              <w:rPr>
                <w:rFonts w:hint="default" w:cs="Times New Roman"/>
                <w:color w:val="auto"/>
                <w:kern w:val="0"/>
                <w:sz w:val="24"/>
                <w:szCs w:val="24"/>
                <w:highlight w:val="none"/>
                <w:lang w:val="en-US" w:eastAsia="zh-CN"/>
              </w:rPr>
              <w:t>0天</w:t>
            </w:r>
            <w:r>
              <w:rPr>
                <w:rFonts w:hint="eastAsia" w:cs="Times New Roman"/>
                <w:color w:val="auto"/>
                <w:kern w:val="0"/>
                <w:sz w:val="24"/>
                <w:szCs w:val="24"/>
                <w:highlight w:val="none"/>
                <w:lang w:val="en-US" w:eastAsia="zh-CN"/>
              </w:rPr>
              <w:t>，本项目不设食堂</w:t>
            </w:r>
            <w:r>
              <w:rPr>
                <w:rFonts w:hint="default" w:cs="Times New Roman"/>
                <w:color w:val="auto"/>
                <w:kern w:val="0"/>
                <w:sz w:val="24"/>
                <w:szCs w:val="24"/>
                <w:highlight w:val="none"/>
                <w:lang w:val="en-US" w:eastAsia="zh-CN"/>
              </w:rPr>
              <w:t>，</w:t>
            </w:r>
            <w:r>
              <w:rPr>
                <w:rFonts w:hint="eastAsia"/>
                <w:color w:val="auto"/>
                <w:kern w:val="0"/>
                <w:sz w:val="24"/>
                <w:szCs w:val="24"/>
                <w:highlight w:val="none"/>
              </w:rPr>
              <w:t>根据《江苏省工业、建筑业、服务业、生活和农业用水定额（2025年）》，城市居民用水量取150L/人·d计。项目生活用水量=</w:t>
            </w:r>
            <w:r>
              <w:rPr>
                <w:rFonts w:hint="eastAsia"/>
                <w:color w:val="auto"/>
                <w:kern w:val="0"/>
                <w:sz w:val="24"/>
                <w:szCs w:val="24"/>
                <w:highlight w:val="none"/>
                <w:lang w:val="en-US" w:eastAsia="zh-CN"/>
              </w:rPr>
              <w:t>30</w:t>
            </w:r>
            <w:r>
              <w:rPr>
                <w:rFonts w:hint="eastAsia"/>
                <w:color w:val="auto"/>
                <w:kern w:val="0"/>
                <w:sz w:val="24"/>
                <w:szCs w:val="24"/>
                <w:highlight w:val="none"/>
              </w:rPr>
              <w:t>×3</w:t>
            </w:r>
            <w:r>
              <w:rPr>
                <w:rFonts w:hint="eastAsia"/>
                <w:color w:val="auto"/>
                <w:kern w:val="0"/>
                <w:sz w:val="24"/>
                <w:szCs w:val="24"/>
                <w:highlight w:val="none"/>
                <w:lang w:val="en-US" w:eastAsia="zh-CN"/>
              </w:rPr>
              <w:t>0</w:t>
            </w:r>
            <w:r>
              <w:rPr>
                <w:rFonts w:hint="eastAsia"/>
                <w:color w:val="auto"/>
                <w:kern w:val="0"/>
                <w:sz w:val="24"/>
                <w:szCs w:val="24"/>
                <w:highlight w:val="none"/>
              </w:rPr>
              <w:t>0×150/1000=1</w:t>
            </w:r>
            <w:r>
              <w:rPr>
                <w:rFonts w:hint="eastAsia"/>
                <w:color w:val="auto"/>
                <w:kern w:val="0"/>
                <w:sz w:val="24"/>
                <w:szCs w:val="24"/>
                <w:highlight w:val="none"/>
                <w:lang w:val="en-US" w:eastAsia="zh-CN"/>
              </w:rPr>
              <w:t>350</w:t>
            </w:r>
            <w:r>
              <w:rPr>
                <w:rFonts w:hint="eastAsia"/>
                <w:color w:val="auto"/>
                <w:kern w:val="0"/>
                <w:sz w:val="24"/>
                <w:szCs w:val="24"/>
                <w:highlight w:val="none"/>
              </w:rPr>
              <w:t>m</w:t>
            </w:r>
            <w:r>
              <w:rPr>
                <w:rFonts w:hint="eastAsia"/>
                <w:color w:val="auto"/>
                <w:kern w:val="0"/>
                <w:sz w:val="24"/>
                <w:szCs w:val="24"/>
                <w:highlight w:val="none"/>
                <w:vertAlign w:val="superscript"/>
              </w:rPr>
              <w:t>3</w:t>
            </w:r>
            <w:r>
              <w:rPr>
                <w:rFonts w:hint="eastAsia"/>
                <w:color w:val="auto"/>
                <w:kern w:val="0"/>
                <w:sz w:val="24"/>
                <w:szCs w:val="24"/>
                <w:highlight w:val="none"/>
              </w:rPr>
              <w:t>/a</w:t>
            </w:r>
            <w:r>
              <w:rPr>
                <w:rFonts w:hint="eastAsia"/>
                <w:color w:val="auto"/>
                <w:kern w:val="0"/>
                <w:sz w:val="24"/>
                <w:szCs w:val="24"/>
                <w:highlight w:val="none"/>
                <w:lang w:val="en-US" w:eastAsia="zh-CN"/>
              </w:rPr>
              <w:t>，</w:t>
            </w:r>
            <w:r>
              <w:rPr>
                <w:rFonts w:hint="default"/>
                <w:color w:val="auto"/>
                <w:kern w:val="0"/>
                <w:sz w:val="24"/>
                <w:szCs w:val="24"/>
                <w:highlight w:val="none"/>
                <w:lang w:val="en-US" w:eastAsia="zh-CN"/>
              </w:rPr>
              <w:t>排污系数按照80%计，则生活污水产生量为</w:t>
            </w:r>
            <w:r>
              <w:rPr>
                <w:rFonts w:hint="eastAsia"/>
                <w:color w:val="auto"/>
                <w:kern w:val="0"/>
                <w:sz w:val="24"/>
                <w:szCs w:val="24"/>
                <w:highlight w:val="none"/>
                <w:lang w:val="en-US" w:eastAsia="zh-CN"/>
              </w:rPr>
              <w:t>1080</w:t>
            </w:r>
            <w:r>
              <w:rPr>
                <w:rFonts w:hint="default"/>
                <w:color w:val="auto"/>
                <w:kern w:val="0"/>
                <w:sz w:val="24"/>
                <w:szCs w:val="24"/>
                <w:highlight w:val="none"/>
                <w:lang w:val="en-US" w:eastAsia="zh-CN"/>
              </w:rPr>
              <w:t>t/a，</w:t>
            </w:r>
            <w:r>
              <w:rPr>
                <w:rFonts w:hint="eastAsia"/>
                <w:color w:val="auto"/>
                <w:kern w:val="0"/>
                <w:sz w:val="24"/>
                <w:szCs w:val="24"/>
                <w:highlight w:val="none"/>
              </w:rPr>
              <w:t>根据《排放源统计调查产排污核算方法和系数手册》中生活源产排污系数手册，COD</w:t>
            </w:r>
            <w:r>
              <w:rPr>
                <w:rFonts w:hint="eastAsia"/>
                <w:color w:val="auto"/>
                <w:kern w:val="0"/>
                <w:sz w:val="24"/>
                <w:szCs w:val="24"/>
                <w:highlight w:val="none"/>
                <w:lang w:val="en-US" w:eastAsia="zh-CN"/>
              </w:rPr>
              <w:t xml:space="preserve"> </w:t>
            </w:r>
            <w:r>
              <w:rPr>
                <w:rFonts w:hint="eastAsia"/>
                <w:color w:val="auto"/>
                <w:kern w:val="0"/>
                <w:sz w:val="24"/>
                <w:szCs w:val="24"/>
                <w:highlight w:val="none"/>
              </w:rPr>
              <w:t>340mg/L，氨氮</w:t>
            </w:r>
            <w:r>
              <w:rPr>
                <w:rFonts w:hint="eastAsia"/>
                <w:color w:val="auto"/>
                <w:kern w:val="0"/>
                <w:sz w:val="24"/>
                <w:szCs w:val="24"/>
                <w:highlight w:val="none"/>
                <w:lang w:val="en-US" w:eastAsia="zh-CN"/>
              </w:rPr>
              <w:t xml:space="preserve"> </w:t>
            </w:r>
            <w:r>
              <w:rPr>
                <w:rFonts w:hint="eastAsia"/>
                <w:color w:val="auto"/>
                <w:kern w:val="0"/>
                <w:sz w:val="24"/>
                <w:szCs w:val="24"/>
                <w:highlight w:val="none"/>
              </w:rPr>
              <w:t>32.6mg/L，TP</w:t>
            </w:r>
            <w:r>
              <w:rPr>
                <w:rFonts w:hint="eastAsia"/>
                <w:color w:val="auto"/>
                <w:kern w:val="0"/>
                <w:sz w:val="24"/>
                <w:szCs w:val="24"/>
                <w:highlight w:val="none"/>
                <w:lang w:val="en-US" w:eastAsia="zh-CN"/>
              </w:rPr>
              <w:t xml:space="preserve"> </w:t>
            </w:r>
            <w:r>
              <w:rPr>
                <w:rFonts w:hint="eastAsia"/>
                <w:color w:val="auto"/>
                <w:kern w:val="0"/>
                <w:sz w:val="24"/>
                <w:szCs w:val="24"/>
                <w:highlight w:val="none"/>
              </w:rPr>
              <w:t>4.27mg/L，总氮</w:t>
            </w:r>
            <w:r>
              <w:rPr>
                <w:rFonts w:hint="eastAsia"/>
                <w:color w:val="auto"/>
                <w:kern w:val="0"/>
                <w:sz w:val="24"/>
                <w:szCs w:val="24"/>
                <w:highlight w:val="none"/>
                <w:lang w:val="en-US" w:eastAsia="zh-CN"/>
              </w:rPr>
              <w:t xml:space="preserve"> </w:t>
            </w:r>
            <w:r>
              <w:rPr>
                <w:rFonts w:hint="eastAsia"/>
                <w:color w:val="auto"/>
                <w:kern w:val="0"/>
                <w:sz w:val="24"/>
                <w:szCs w:val="24"/>
                <w:highlight w:val="none"/>
              </w:rPr>
              <w:t>44.8mg/L</w:t>
            </w:r>
            <w:r>
              <w:rPr>
                <w:rFonts w:hint="eastAsia"/>
                <w:color w:val="auto"/>
                <w:kern w:val="0"/>
                <w:sz w:val="24"/>
                <w:szCs w:val="24"/>
                <w:highlight w:val="none"/>
                <w:lang w:val="en-US" w:eastAsia="zh-CN"/>
              </w:rPr>
              <w:t>，</w:t>
            </w:r>
            <w:r>
              <w:rPr>
                <w:rFonts w:hint="default"/>
                <w:color w:val="auto"/>
                <w:kern w:val="0"/>
                <w:sz w:val="24"/>
                <w:szCs w:val="24"/>
                <w:highlight w:val="none"/>
                <w:lang w:val="en-US" w:eastAsia="zh-CN"/>
              </w:rPr>
              <w:t>生活污水经化粪池处理达标后接管至</w:t>
            </w:r>
            <w:r>
              <w:rPr>
                <w:rFonts w:hint="eastAsia"/>
                <w:color w:val="auto"/>
                <w:kern w:val="0"/>
                <w:sz w:val="24"/>
                <w:szCs w:val="24"/>
                <w:highlight w:val="none"/>
                <w:lang w:val="en-US" w:eastAsia="zh-CN"/>
              </w:rPr>
              <w:t>如皋恒发水处理有限公司</w:t>
            </w:r>
            <w:r>
              <w:rPr>
                <w:rFonts w:hint="default"/>
                <w:color w:val="auto"/>
                <w:kern w:val="0"/>
                <w:sz w:val="24"/>
                <w:szCs w:val="24"/>
                <w:highlight w:val="none"/>
                <w:lang w:val="en-US" w:eastAsia="zh-CN"/>
              </w:rPr>
              <w:t>处理。</w:t>
            </w:r>
          </w:p>
          <w:p>
            <w:pPr>
              <w:jc w:val="center"/>
              <w:rPr>
                <w:rFonts w:hint="default" w:ascii="Times New Roman" w:hAnsi="Times New Roman" w:cs="Times New Roman"/>
                <w:b/>
                <w:bCs/>
                <w:color w:val="auto"/>
                <w:sz w:val="24"/>
                <w:szCs w:val="32"/>
                <w:highlight w:val="none"/>
                <w:lang w:val="zh-CN" w:eastAsia="zh-CN"/>
              </w:rPr>
            </w:pPr>
            <w:r>
              <w:rPr>
                <w:rFonts w:hint="default" w:ascii="Times New Roman" w:hAnsi="Times New Roman" w:cs="Times New Roman"/>
                <w:b/>
                <w:bCs/>
                <w:color w:val="auto"/>
                <w:sz w:val="24"/>
                <w:szCs w:val="32"/>
                <w:highlight w:val="none"/>
                <w:lang w:val="zh-CN" w:eastAsia="zh-CN"/>
              </w:rPr>
              <w:t>表4.2-</w:t>
            </w:r>
            <w:r>
              <w:rPr>
                <w:rFonts w:hint="default" w:ascii="Times New Roman" w:hAnsi="Times New Roman" w:cs="Times New Roman"/>
                <w:b/>
                <w:bCs/>
                <w:color w:val="auto"/>
                <w:sz w:val="24"/>
                <w:szCs w:val="32"/>
                <w:highlight w:val="none"/>
                <w:lang w:val="en-US" w:eastAsia="zh-CN"/>
              </w:rPr>
              <w:t>1</w:t>
            </w:r>
            <w:r>
              <w:rPr>
                <w:rFonts w:hint="eastAsia" w:cs="Times New Roman"/>
                <w:b/>
                <w:bCs/>
                <w:color w:val="auto"/>
                <w:sz w:val="24"/>
                <w:szCs w:val="32"/>
                <w:highlight w:val="none"/>
                <w:lang w:val="en-US" w:eastAsia="zh-CN"/>
              </w:rPr>
              <w:t>本</w:t>
            </w:r>
            <w:r>
              <w:rPr>
                <w:rFonts w:hint="default" w:ascii="Times New Roman" w:hAnsi="Times New Roman" w:cs="Times New Roman"/>
                <w:b/>
                <w:bCs/>
                <w:color w:val="auto"/>
                <w:sz w:val="24"/>
                <w:szCs w:val="32"/>
                <w:highlight w:val="none"/>
                <w:lang w:val="zh-CN" w:eastAsia="zh-CN"/>
              </w:rPr>
              <w:t>项目</w:t>
            </w:r>
            <w:r>
              <w:rPr>
                <w:rFonts w:hint="eastAsia" w:cs="Times New Roman"/>
                <w:b/>
                <w:bCs/>
                <w:color w:val="auto"/>
                <w:sz w:val="24"/>
                <w:szCs w:val="32"/>
                <w:highlight w:val="none"/>
                <w:lang w:val="en-US" w:eastAsia="zh-CN"/>
              </w:rPr>
              <w:t>新增</w:t>
            </w:r>
            <w:r>
              <w:rPr>
                <w:rFonts w:hint="default" w:ascii="Times New Roman" w:hAnsi="Times New Roman" w:cs="Times New Roman"/>
                <w:b/>
                <w:bCs/>
                <w:color w:val="auto"/>
                <w:sz w:val="24"/>
                <w:szCs w:val="32"/>
                <w:highlight w:val="none"/>
                <w:lang w:val="zh-CN" w:eastAsia="zh-CN"/>
              </w:rPr>
              <w:t>废水产生及排放情况一览表</w:t>
            </w:r>
          </w:p>
          <w:tbl>
            <w:tblPr>
              <w:tblStyle w:val="25"/>
              <w:tblW w:w="793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99"/>
              <w:gridCol w:w="682"/>
              <w:gridCol w:w="653"/>
              <w:gridCol w:w="735"/>
              <w:gridCol w:w="917"/>
              <w:gridCol w:w="624"/>
              <w:gridCol w:w="729"/>
              <w:gridCol w:w="626"/>
              <w:gridCol w:w="929"/>
              <w:gridCol w:w="795"/>
              <w:gridCol w:w="7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499"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废水来源</w:t>
                  </w:r>
                </w:p>
              </w:tc>
              <w:tc>
                <w:tcPr>
                  <w:tcW w:w="682"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废水量</w:t>
                  </w:r>
                </w:p>
                <w:p>
                  <w:pPr>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m</w:t>
                  </w:r>
                  <w:r>
                    <w:rPr>
                      <w:rFonts w:hint="default" w:ascii="Times New Roman" w:hAnsi="Times New Roman" w:cs="Times New Roman"/>
                      <w:color w:val="auto"/>
                      <w:kern w:val="0"/>
                      <w:sz w:val="21"/>
                      <w:szCs w:val="21"/>
                      <w:highlight w:val="none"/>
                      <w:vertAlign w:val="superscript"/>
                    </w:rPr>
                    <w:t>3</w:t>
                  </w:r>
                  <w:r>
                    <w:rPr>
                      <w:rFonts w:hint="default" w:ascii="Times New Roman" w:hAnsi="Times New Roman" w:cs="Times New Roman"/>
                      <w:color w:val="auto"/>
                      <w:kern w:val="0"/>
                      <w:sz w:val="21"/>
                      <w:szCs w:val="21"/>
                      <w:highlight w:val="none"/>
                    </w:rPr>
                    <w:t>/a</w:t>
                  </w:r>
                </w:p>
              </w:tc>
              <w:tc>
                <w:tcPr>
                  <w:tcW w:w="2305" w:type="dxa"/>
                  <w:gridSpan w:val="3"/>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产生情况</w:t>
                  </w:r>
                </w:p>
              </w:tc>
              <w:tc>
                <w:tcPr>
                  <w:tcW w:w="624"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预处置措施</w:t>
                  </w:r>
                </w:p>
              </w:tc>
              <w:tc>
                <w:tcPr>
                  <w:tcW w:w="2284" w:type="dxa"/>
                  <w:gridSpan w:val="3"/>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排放情况</w:t>
                  </w:r>
                </w:p>
              </w:tc>
              <w:tc>
                <w:tcPr>
                  <w:tcW w:w="795" w:type="dxa"/>
                  <w:vMerge w:val="restart"/>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21"/>
                      <w:szCs w:val="21"/>
                      <w:highlight w:val="none"/>
                      <w:lang w:eastAsia="zh-CN"/>
                    </w:rPr>
                  </w:pPr>
                  <w:r>
                    <w:rPr>
                      <w:rFonts w:hint="default" w:ascii="Times New Roman" w:hAnsi="Times New Roman" w:cs="Times New Roman"/>
                      <w:color w:val="auto"/>
                      <w:kern w:val="0"/>
                      <w:sz w:val="21"/>
                      <w:szCs w:val="21"/>
                      <w:highlight w:val="none"/>
                    </w:rPr>
                    <w:t>标准浓度限值</w:t>
                  </w:r>
                  <w:r>
                    <w:rPr>
                      <w:rFonts w:hint="eastAsia" w:cs="Times New Roman"/>
                      <w:color w:val="auto"/>
                      <w:kern w:val="0"/>
                      <w:sz w:val="21"/>
                      <w:szCs w:val="21"/>
                      <w:highlight w:val="none"/>
                      <w:lang w:eastAsia="zh-CN"/>
                    </w:rPr>
                    <w:t>（</w:t>
                  </w:r>
                  <w:r>
                    <w:rPr>
                      <w:rFonts w:hint="default" w:ascii="Times New Roman" w:hAnsi="Times New Roman" w:cs="Times New Roman"/>
                      <w:color w:val="auto"/>
                      <w:kern w:val="0"/>
                      <w:sz w:val="21"/>
                      <w:szCs w:val="21"/>
                      <w:highlight w:val="none"/>
                    </w:rPr>
                    <w:t>mg/L</w:t>
                  </w:r>
                  <w:r>
                    <w:rPr>
                      <w:rFonts w:hint="eastAsia" w:cs="Times New Roman"/>
                      <w:color w:val="auto"/>
                      <w:kern w:val="0"/>
                      <w:sz w:val="21"/>
                      <w:szCs w:val="21"/>
                      <w:highlight w:val="none"/>
                      <w:lang w:eastAsia="zh-CN"/>
                    </w:rPr>
                    <w:t>）</w:t>
                  </w:r>
                </w:p>
              </w:tc>
              <w:tc>
                <w:tcPr>
                  <w:tcW w:w="749" w:type="dxa"/>
                  <w:vMerge w:val="restart"/>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排放去向</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95" w:hRule="atLeast"/>
              </w:trPr>
              <w:tc>
                <w:tcPr>
                  <w:tcW w:w="49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682"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污染物名称</w:t>
                  </w:r>
                </w:p>
              </w:tc>
              <w:tc>
                <w:tcPr>
                  <w:tcW w:w="735"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产生浓度mg/L</w:t>
                  </w:r>
                </w:p>
              </w:tc>
              <w:tc>
                <w:tcPr>
                  <w:tcW w:w="917"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产生量t/a</w:t>
                  </w:r>
                </w:p>
              </w:tc>
              <w:tc>
                <w:tcPr>
                  <w:tcW w:w="624"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1355" w:type="dxa"/>
                  <w:gridSpan w:val="2"/>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排放浓度mg/L</w:t>
                  </w:r>
                </w:p>
              </w:tc>
              <w:tc>
                <w:tcPr>
                  <w:tcW w:w="929"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排放量t/a</w:t>
                  </w:r>
                </w:p>
              </w:tc>
              <w:tc>
                <w:tcPr>
                  <w:tcW w:w="795"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74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499" w:type="dxa"/>
                  <w:vMerge w:val="restart"/>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生活污水</w:t>
                  </w:r>
                </w:p>
              </w:tc>
              <w:tc>
                <w:tcPr>
                  <w:tcW w:w="682" w:type="dxa"/>
                  <w:vMerge w:val="restart"/>
                  <w:tcBorders>
                    <w:tl2br w:val="nil"/>
                    <w:tr2bl w:val="nil"/>
                  </w:tcBorders>
                  <w:shd w:val="clear" w:color="auto" w:fill="auto"/>
                  <w:vAlign w:val="center"/>
                </w:tcPr>
                <w:p>
                  <w:pPr>
                    <w:jc w:val="center"/>
                    <w:rPr>
                      <w:rFonts w:hint="default" w:ascii="Times New Roman" w:hAnsi="Times New Roman" w:eastAsia="宋体" w:cs="Times New Roman"/>
                      <w:color w:val="auto"/>
                      <w:kern w:val="0"/>
                      <w:sz w:val="21"/>
                      <w:szCs w:val="21"/>
                      <w:highlight w:val="none"/>
                      <w:lang w:val="en-US" w:eastAsia="zh-CN"/>
                    </w:rPr>
                  </w:pPr>
                  <w:r>
                    <w:rPr>
                      <w:rFonts w:hint="eastAsia" w:cs="Times New Roman"/>
                      <w:color w:val="auto"/>
                      <w:kern w:val="0"/>
                      <w:sz w:val="21"/>
                      <w:szCs w:val="21"/>
                      <w:highlight w:val="none"/>
                      <w:lang w:val="en-US" w:eastAsia="zh-CN"/>
                    </w:rPr>
                    <w:t>1080</w:t>
                  </w: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COD</w:t>
                  </w:r>
                </w:p>
              </w:tc>
              <w:tc>
                <w:tcPr>
                  <w:tcW w:w="735"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34</w:t>
                  </w:r>
                  <w:r>
                    <w:rPr>
                      <w:rFonts w:hint="default" w:ascii="Times New Roman" w:hAnsi="Times New Roman" w:cs="Times New Roman"/>
                      <w:color w:val="auto"/>
                      <w:sz w:val="21"/>
                      <w:szCs w:val="21"/>
                      <w:highlight w:val="none"/>
                    </w:rPr>
                    <w:t>0</w:t>
                  </w:r>
                </w:p>
              </w:tc>
              <w:tc>
                <w:tcPr>
                  <w:tcW w:w="917"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0.3672 </w:t>
                  </w:r>
                </w:p>
              </w:tc>
              <w:tc>
                <w:tcPr>
                  <w:tcW w:w="624" w:type="dxa"/>
                  <w:vMerge w:val="restart"/>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化粪池</w:t>
                  </w:r>
                </w:p>
              </w:tc>
              <w:tc>
                <w:tcPr>
                  <w:tcW w:w="729"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COD</w:t>
                  </w:r>
                </w:p>
              </w:tc>
              <w:tc>
                <w:tcPr>
                  <w:tcW w:w="626" w:type="dxa"/>
                  <w:tcBorders>
                    <w:tl2br w:val="nil"/>
                    <w:tr2bl w:val="nil"/>
                  </w:tcBorders>
                  <w:shd w:val="clear" w:color="auto" w:fill="auto"/>
                  <w:vAlign w:val="center"/>
                </w:tcPr>
                <w:p>
                  <w:pPr>
                    <w:widowControl/>
                    <w:jc w:val="center"/>
                    <w:textAlignment w:val="center"/>
                    <w:rPr>
                      <w:rFonts w:hint="default" w:ascii="Times New Roman" w:hAnsi="Times New Roman" w:cs="Times New Roman"/>
                      <w:color w:val="auto"/>
                      <w:sz w:val="21"/>
                      <w:szCs w:val="21"/>
                      <w:highlight w:val="none"/>
                    </w:rPr>
                  </w:pPr>
                  <w:r>
                    <w:rPr>
                      <w:color w:val="auto"/>
                      <w:kern w:val="0"/>
                      <w:sz w:val="21"/>
                      <w:lang w:bidi="ar"/>
                    </w:rPr>
                    <w:t>255</w:t>
                  </w:r>
                </w:p>
              </w:tc>
              <w:tc>
                <w:tcPr>
                  <w:tcW w:w="929" w:type="dxa"/>
                  <w:tcBorders>
                    <w:tl2br w:val="nil"/>
                    <w:tr2bl w:val="nil"/>
                  </w:tcBorders>
                  <w:shd w:val="clear" w:color="auto" w:fill="auto"/>
                  <w:vAlign w:val="center"/>
                </w:tcPr>
                <w:p>
                  <w:pPr>
                    <w:widowControl/>
                    <w:jc w:val="center"/>
                    <w:textAlignment w:val="center"/>
                    <w:rPr>
                      <w:rFonts w:hint="default"/>
                      <w:color w:val="auto"/>
                      <w:kern w:val="0"/>
                      <w:sz w:val="21"/>
                      <w:lang w:bidi="ar"/>
                    </w:rPr>
                  </w:pPr>
                  <w:r>
                    <w:rPr>
                      <w:rFonts w:hint="default"/>
                      <w:color w:val="auto"/>
                      <w:kern w:val="0"/>
                      <w:sz w:val="21"/>
                      <w:lang w:val="en-US" w:eastAsia="zh-CN" w:bidi="ar"/>
                    </w:rPr>
                    <w:t xml:space="preserve"> 0.2754 </w:t>
                  </w:r>
                </w:p>
              </w:tc>
              <w:tc>
                <w:tcPr>
                  <w:tcW w:w="795" w:type="dxa"/>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500</w:t>
                  </w:r>
                </w:p>
              </w:tc>
              <w:tc>
                <w:tcPr>
                  <w:tcW w:w="749" w:type="dxa"/>
                  <w:vMerge w:val="restart"/>
                  <w:tcBorders>
                    <w:tl2br w:val="nil"/>
                    <w:tr2bl w:val="nil"/>
                  </w:tcBorders>
                  <w:vAlign w:val="center"/>
                </w:tcPr>
                <w:p>
                  <w:pPr>
                    <w:jc w:val="center"/>
                    <w:rPr>
                      <w:rFonts w:hint="default" w:ascii="Times New Roman" w:hAnsi="Times New Roman" w:cs="Times New Roman"/>
                      <w:color w:val="auto"/>
                      <w:sz w:val="21"/>
                      <w:szCs w:val="21"/>
                      <w:highlight w:val="none"/>
                      <w:lang w:eastAsia="zh-CN"/>
                    </w:rPr>
                  </w:pPr>
                  <w:r>
                    <w:rPr>
                      <w:rFonts w:hint="eastAsia" w:ascii="Times New Roman" w:hAnsi="Times New Roman" w:cs="Times New Roman"/>
                      <w:color w:val="auto"/>
                      <w:sz w:val="21"/>
                      <w:szCs w:val="21"/>
                      <w:highlight w:val="none"/>
                      <w:lang w:eastAsia="zh-CN"/>
                    </w:rPr>
                    <w:t>如皋恒发水处理有限公司</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49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682" w:type="dxa"/>
                  <w:vMerge w:val="continue"/>
                  <w:tcBorders>
                    <w:tl2br w:val="nil"/>
                    <w:tr2bl w:val="nil"/>
                  </w:tcBorders>
                  <w:shd w:val="clear" w:color="auto" w:fill="auto"/>
                  <w:vAlign w:val="center"/>
                </w:tcPr>
                <w:p>
                  <w:pPr>
                    <w:jc w:val="center"/>
                    <w:rPr>
                      <w:rFonts w:hint="default" w:ascii="Times New Roman" w:hAnsi="Times New Roman" w:cs="Times New Roman"/>
                      <w:color w:val="auto"/>
                      <w:kern w:val="0"/>
                      <w:sz w:val="21"/>
                      <w:szCs w:val="21"/>
                      <w:highlight w:val="none"/>
                    </w:rPr>
                  </w:pP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SS</w:t>
                  </w:r>
                </w:p>
              </w:tc>
              <w:tc>
                <w:tcPr>
                  <w:tcW w:w="735"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eastAsia" w:cs="Times New Roman"/>
                      <w:i w:val="0"/>
                      <w:iCs w:val="0"/>
                      <w:color w:val="auto"/>
                      <w:kern w:val="0"/>
                      <w:sz w:val="21"/>
                      <w:szCs w:val="21"/>
                      <w:u w:val="none"/>
                      <w:lang w:val="en-US" w:eastAsia="zh-CN" w:bidi="ar"/>
                    </w:rPr>
                    <w:t>150</w:t>
                  </w:r>
                </w:p>
              </w:tc>
              <w:tc>
                <w:tcPr>
                  <w:tcW w:w="917"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0.1620 </w:t>
                  </w:r>
                </w:p>
              </w:tc>
              <w:tc>
                <w:tcPr>
                  <w:tcW w:w="624"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c>
                <w:tcPr>
                  <w:tcW w:w="729"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SS</w:t>
                  </w:r>
                </w:p>
              </w:tc>
              <w:tc>
                <w:tcPr>
                  <w:tcW w:w="626" w:type="dxa"/>
                  <w:tcBorders>
                    <w:tl2br w:val="nil"/>
                    <w:tr2bl w:val="nil"/>
                  </w:tcBorders>
                  <w:shd w:val="clear" w:color="auto" w:fill="auto"/>
                  <w:vAlign w:val="center"/>
                </w:tcPr>
                <w:p>
                  <w:pPr>
                    <w:widowControl/>
                    <w:jc w:val="center"/>
                    <w:textAlignment w:val="center"/>
                    <w:rPr>
                      <w:rFonts w:hint="default" w:ascii="Times New Roman" w:hAnsi="Times New Roman" w:cs="Times New Roman"/>
                      <w:color w:val="auto"/>
                      <w:sz w:val="21"/>
                      <w:szCs w:val="21"/>
                      <w:highlight w:val="none"/>
                    </w:rPr>
                  </w:pPr>
                  <w:r>
                    <w:rPr>
                      <w:color w:val="auto"/>
                      <w:kern w:val="0"/>
                      <w:sz w:val="21"/>
                      <w:lang w:bidi="ar"/>
                    </w:rPr>
                    <w:t>120</w:t>
                  </w:r>
                </w:p>
              </w:tc>
              <w:tc>
                <w:tcPr>
                  <w:tcW w:w="929" w:type="dxa"/>
                  <w:tcBorders>
                    <w:tl2br w:val="nil"/>
                    <w:tr2bl w:val="nil"/>
                  </w:tcBorders>
                  <w:shd w:val="clear" w:color="auto" w:fill="auto"/>
                  <w:vAlign w:val="center"/>
                </w:tcPr>
                <w:p>
                  <w:pPr>
                    <w:widowControl/>
                    <w:jc w:val="center"/>
                    <w:textAlignment w:val="center"/>
                    <w:rPr>
                      <w:rFonts w:hint="default"/>
                      <w:color w:val="auto"/>
                      <w:kern w:val="0"/>
                      <w:sz w:val="21"/>
                      <w:lang w:bidi="ar"/>
                    </w:rPr>
                  </w:pPr>
                  <w:r>
                    <w:rPr>
                      <w:rFonts w:hint="default"/>
                      <w:color w:val="auto"/>
                      <w:kern w:val="0"/>
                      <w:sz w:val="21"/>
                      <w:lang w:val="en-US" w:eastAsia="zh-CN" w:bidi="ar"/>
                    </w:rPr>
                    <w:t xml:space="preserve"> 0.1296 </w:t>
                  </w:r>
                </w:p>
              </w:tc>
              <w:tc>
                <w:tcPr>
                  <w:tcW w:w="795" w:type="dxa"/>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400</w:t>
                  </w:r>
                </w:p>
              </w:tc>
              <w:tc>
                <w:tcPr>
                  <w:tcW w:w="749"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49" w:hRule="atLeast"/>
              </w:trPr>
              <w:tc>
                <w:tcPr>
                  <w:tcW w:w="49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682" w:type="dxa"/>
                  <w:vMerge w:val="continue"/>
                  <w:tcBorders>
                    <w:tl2br w:val="nil"/>
                    <w:tr2bl w:val="nil"/>
                  </w:tcBorders>
                  <w:shd w:val="clear" w:color="auto" w:fill="auto"/>
                  <w:vAlign w:val="center"/>
                </w:tcPr>
                <w:p>
                  <w:pPr>
                    <w:jc w:val="center"/>
                    <w:rPr>
                      <w:rFonts w:hint="default" w:ascii="Times New Roman" w:hAnsi="Times New Roman" w:cs="Times New Roman"/>
                      <w:color w:val="auto"/>
                      <w:kern w:val="0"/>
                      <w:sz w:val="21"/>
                      <w:szCs w:val="21"/>
                      <w:highlight w:val="none"/>
                    </w:rPr>
                  </w:pP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氨氮</w:t>
                  </w:r>
                </w:p>
              </w:tc>
              <w:tc>
                <w:tcPr>
                  <w:tcW w:w="735" w:type="dxa"/>
                  <w:tcBorders>
                    <w:tl2br w:val="nil"/>
                    <w:tr2bl w:val="nil"/>
                  </w:tcBorders>
                  <w:shd w:val="clear" w:color="auto" w:fill="auto"/>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32.6</w:t>
                  </w:r>
                </w:p>
              </w:tc>
              <w:tc>
                <w:tcPr>
                  <w:tcW w:w="917"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0.0352 </w:t>
                  </w:r>
                </w:p>
              </w:tc>
              <w:tc>
                <w:tcPr>
                  <w:tcW w:w="624"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c>
                <w:tcPr>
                  <w:tcW w:w="729"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氨氮</w:t>
                  </w:r>
                </w:p>
              </w:tc>
              <w:tc>
                <w:tcPr>
                  <w:tcW w:w="626"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32.6</w:t>
                  </w:r>
                </w:p>
              </w:tc>
              <w:tc>
                <w:tcPr>
                  <w:tcW w:w="929" w:type="dxa"/>
                  <w:tcBorders>
                    <w:tl2br w:val="nil"/>
                    <w:tr2bl w:val="nil"/>
                  </w:tcBorders>
                  <w:shd w:val="clear" w:color="auto" w:fill="auto"/>
                  <w:vAlign w:val="center"/>
                </w:tcPr>
                <w:p>
                  <w:pPr>
                    <w:widowControl/>
                    <w:jc w:val="center"/>
                    <w:textAlignment w:val="center"/>
                    <w:rPr>
                      <w:rFonts w:hint="default"/>
                      <w:color w:val="auto"/>
                      <w:kern w:val="0"/>
                      <w:sz w:val="21"/>
                      <w:lang w:bidi="ar"/>
                    </w:rPr>
                  </w:pPr>
                  <w:r>
                    <w:rPr>
                      <w:rFonts w:hint="default"/>
                      <w:color w:val="auto"/>
                      <w:kern w:val="0"/>
                      <w:sz w:val="21"/>
                      <w:lang w:val="en-US" w:eastAsia="zh-CN" w:bidi="ar"/>
                    </w:rPr>
                    <w:t xml:space="preserve"> 0.0352 </w:t>
                  </w:r>
                </w:p>
              </w:tc>
              <w:tc>
                <w:tcPr>
                  <w:tcW w:w="795" w:type="dxa"/>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45</w:t>
                  </w:r>
                </w:p>
              </w:tc>
              <w:tc>
                <w:tcPr>
                  <w:tcW w:w="749"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49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682" w:type="dxa"/>
                  <w:vMerge w:val="continue"/>
                  <w:tcBorders>
                    <w:tl2br w:val="nil"/>
                    <w:tr2bl w:val="nil"/>
                  </w:tcBorders>
                  <w:shd w:val="clear" w:color="auto" w:fill="auto"/>
                  <w:vAlign w:val="center"/>
                </w:tcPr>
                <w:p>
                  <w:pPr>
                    <w:jc w:val="center"/>
                    <w:rPr>
                      <w:rFonts w:hint="default" w:ascii="Times New Roman" w:hAnsi="Times New Roman" w:cs="Times New Roman"/>
                      <w:color w:val="auto"/>
                      <w:kern w:val="0"/>
                      <w:sz w:val="21"/>
                      <w:szCs w:val="21"/>
                      <w:highlight w:val="none"/>
                    </w:rPr>
                  </w:pP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TN</w:t>
                  </w:r>
                </w:p>
              </w:tc>
              <w:tc>
                <w:tcPr>
                  <w:tcW w:w="735" w:type="dxa"/>
                  <w:tcBorders>
                    <w:tl2br w:val="nil"/>
                    <w:tr2bl w:val="nil"/>
                  </w:tcBorders>
                  <w:shd w:val="clear" w:color="auto" w:fill="auto"/>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44.8</w:t>
                  </w:r>
                </w:p>
              </w:tc>
              <w:tc>
                <w:tcPr>
                  <w:tcW w:w="917"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0.0484 </w:t>
                  </w:r>
                </w:p>
              </w:tc>
              <w:tc>
                <w:tcPr>
                  <w:tcW w:w="624"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c>
                <w:tcPr>
                  <w:tcW w:w="729"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TN</w:t>
                  </w:r>
                </w:p>
              </w:tc>
              <w:tc>
                <w:tcPr>
                  <w:tcW w:w="626"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44.8</w:t>
                  </w:r>
                </w:p>
              </w:tc>
              <w:tc>
                <w:tcPr>
                  <w:tcW w:w="929" w:type="dxa"/>
                  <w:tcBorders>
                    <w:tl2br w:val="nil"/>
                    <w:tr2bl w:val="nil"/>
                  </w:tcBorders>
                  <w:shd w:val="clear" w:color="auto" w:fill="auto"/>
                  <w:vAlign w:val="center"/>
                </w:tcPr>
                <w:p>
                  <w:pPr>
                    <w:widowControl/>
                    <w:jc w:val="center"/>
                    <w:textAlignment w:val="center"/>
                    <w:rPr>
                      <w:rFonts w:hint="default"/>
                      <w:color w:val="auto"/>
                      <w:kern w:val="0"/>
                      <w:sz w:val="21"/>
                      <w:lang w:bidi="ar"/>
                    </w:rPr>
                  </w:pPr>
                  <w:r>
                    <w:rPr>
                      <w:rFonts w:hint="default"/>
                      <w:color w:val="auto"/>
                      <w:kern w:val="0"/>
                      <w:sz w:val="21"/>
                      <w:lang w:val="en-US" w:eastAsia="zh-CN" w:bidi="ar"/>
                    </w:rPr>
                    <w:t xml:space="preserve"> 0.0484 </w:t>
                  </w:r>
                </w:p>
              </w:tc>
              <w:tc>
                <w:tcPr>
                  <w:tcW w:w="795" w:type="dxa"/>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70</w:t>
                  </w:r>
                </w:p>
              </w:tc>
              <w:tc>
                <w:tcPr>
                  <w:tcW w:w="749"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70" w:hRule="atLeast"/>
              </w:trPr>
              <w:tc>
                <w:tcPr>
                  <w:tcW w:w="499" w:type="dxa"/>
                  <w:vMerge w:val="continue"/>
                  <w:tcBorders>
                    <w:tl2br w:val="nil"/>
                    <w:tr2bl w:val="nil"/>
                  </w:tcBorders>
                  <w:vAlign w:val="center"/>
                </w:tcPr>
                <w:p>
                  <w:pPr>
                    <w:widowControl/>
                    <w:jc w:val="center"/>
                    <w:rPr>
                      <w:rFonts w:hint="default" w:ascii="Times New Roman" w:hAnsi="Times New Roman" w:cs="Times New Roman"/>
                      <w:color w:val="auto"/>
                      <w:kern w:val="0"/>
                      <w:sz w:val="21"/>
                      <w:szCs w:val="21"/>
                      <w:highlight w:val="none"/>
                    </w:rPr>
                  </w:pPr>
                </w:p>
              </w:tc>
              <w:tc>
                <w:tcPr>
                  <w:tcW w:w="682" w:type="dxa"/>
                  <w:vMerge w:val="continue"/>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p>
              </w:tc>
              <w:tc>
                <w:tcPr>
                  <w:tcW w:w="653" w:type="dxa"/>
                  <w:tcBorders>
                    <w:tl2br w:val="nil"/>
                    <w:tr2bl w:val="nil"/>
                  </w:tcBorders>
                  <w:shd w:val="clear" w:color="auto" w:fill="auto"/>
                  <w:vAlign w:val="center"/>
                </w:tcPr>
                <w:p>
                  <w:pPr>
                    <w:widowControl/>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color w:val="auto"/>
                      <w:kern w:val="0"/>
                      <w:sz w:val="21"/>
                      <w:szCs w:val="21"/>
                      <w:highlight w:val="none"/>
                    </w:rPr>
                    <w:t>TP</w:t>
                  </w:r>
                </w:p>
              </w:tc>
              <w:tc>
                <w:tcPr>
                  <w:tcW w:w="735" w:type="dxa"/>
                  <w:tcBorders>
                    <w:tl2br w:val="nil"/>
                    <w:tr2bl w:val="nil"/>
                  </w:tcBorders>
                  <w:shd w:val="clear" w:color="auto" w:fill="auto"/>
                  <w:vAlign w:val="center"/>
                </w:tcPr>
                <w:p>
                  <w:pPr>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4.27</w:t>
                  </w:r>
                </w:p>
              </w:tc>
              <w:tc>
                <w:tcPr>
                  <w:tcW w:w="917"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rPr>
                  </w:pPr>
                  <w:r>
                    <w:rPr>
                      <w:rFonts w:hint="default" w:ascii="Times New Roman" w:hAnsi="Times New Roman" w:eastAsia="宋体" w:cs="Times New Roman"/>
                      <w:i w:val="0"/>
                      <w:iCs w:val="0"/>
                      <w:color w:val="auto"/>
                      <w:kern w:val="0"/>
                      <w:sz w:val="21"/>
                      <w:szCs w:val="21"/>
                      <w:u w:val="none"/>
                      <w:lang w:val="en-US" w:eastAsia="zh-CN" w:bidi="ar"/>
                    </w:rPr>
                    <w:t xml:space="preserve">0.0046 </w:t>
                  </w:r>
                </w:p>
              </w:tc>
              <w:tc>
                <w:tcPr>
                  <w:tcW w:w="624"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c>
                <w:tcPr>
                  <w:tcW w:w="729"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TP</w:t>
                  </w:r>
                </w:p>
              </w:tc>
              <w:tc>
                <w:tcPr>
                  <w:tcW w:w="626"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rPr>
                  </w:pPr>
                  <w:r>
                    <w:rPr>
                      <w:rFonts w:hint="eastAsia" w:cs="Times New Roman"/>
                      <w:color w:val="auto"/>
                      <w:sz w:val="21"/>
                      <w:szCs w:val="21"/>
                      <w:highlight w:val="none"/>
                      <w:lang w:val="en-US" w:eastAsia="zh-CN"/>
                    </w:rPr>
                    <w:t>4.27</w:t>
                  </w:r>
                </w:p>
              </w:tc>
              <w:tc>
                <w:tcPr>
                  <w:tcW w:w="929" w:type="dxa"/>
                  <w:tcBorders>
                    <w:tl2br w:val="nil"/>
                    <w:tr2bl w:val="nil"/>
                  </w:tcBorders>
                  <w:shd w:val="clear" w:color="auto" w:fill="auto"/>
                  <w:vAlign w:val="center"/>
                </w:tcPr>
                <w:p>
                  <w:pPr>
                    <w:widowControl/>
                    <w:jc w:val="center"/>
                    <w:textAlignment w:val="center"/>
                    <w:rPr>
                      <w:rFonts w:hint="default"/>
                      <w:color w:val="auto"/>
                      <w:kern w:val="0"/>
                      <w:sz w:val="21"/>
                      <w:lang w:bidi="ar"/>
                    </w:rPr>
                  </w:pPr>
                  <w:r>
                    <w:rPr>
                      <w:rFonts w:hint="default"/>
                      <w:color w:val="auto"/>
                      <w:kern w:val="0"/>
                      <w:sz w:val="21"/>
                      <w:lang w:val="en-US" w:eastAsia="zh-CN" w:bidi="ar"/>
                    </w:rPr>
                    <w:t xml:space="preserve"> 0.0046 </w:t>
                  </w:r>
                </w:p>
              </w:tc>
              <w:tc>
                <w:tcPr>
                  <w:tcW w:w="795" w:type="dxa"/>
                  <w:tcBorders>
                    <w:tl2br w:val="nil"/>
                    <w:tr2bl w:val="nil"/>
                  </w:tcBorders>
                  <w:vAlign w:val="center"/>
                </w:tcPr>
                <w:p>
                  <w:pPr>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8</w:t>
                  </w:r>
                </w:p>
              </w:tc>
              <w:tc>
                <w:tcPr>
                  <w:tcW w:w="749" w:type="dxa"/>
                  <w:vMerge w:val="continue"/>
                  <w:tcBorders>
                    <w:tl2br w:val="nil"/>
                    <w:tr2bl w:val="nil"/>
                  </w:tcBorders>
                  <w:vAlign w:val="center"/>
                </w:tcPr>
                <w:p>
                  <w:pPr>
                    <w:jc w:val="center"/>
                    <w:rPr>
                      <w:rFonts w:hint="default" w:ascii="Times New Roman" w:hAnsi="Times New Roman" w:cs="Times New Roman"/>
                      <w:color w:val="auto"/>
                      <w:sz w:val="21"/>
                      <w:szCs w:val="21"/>
                      <w:highlight w:val="none"/>
                    </w:rPr>
                  </w:pPr>
                </w:p>
              </w:tc>
            </w:tr>
          </w:tbl>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表4.2-2</w:t>
            </w:r>
            <w:r>
              <w:rPr>
                <w:rFonts w:hint="eastAsia" w:cs="Times New Roman"/>
                <w:b/>
                <w:bCs/>
                <w:color w:val="auto"/>
                <w:sz w:val="24"/>
                <w:szCs w:val="32"/>
                <w:highlight w:val="none"/>
                <w:lang w:val="en-US" w:eastAsia="zh-CN"/>
              </w:rPr>
              <w:t>本项目</w:t>
            </w:r>
            <w:r>
              <w:rPr>
                <w:rFonts w:hint="default" w:ascii="Times New Roman" w:hAnsi="Times New Roman" w:cs="Times New Roman"/>
                <w:b/>
                <w:bCs/>
                <w:color w:val="auto"/>
                <w:sz w:val="24"/>
                <w:szCs w:val="32"/>
                <w:highlight w:val="none"/>
                <w:lang w:val="en-US" w:eastAsia="zh-CN"/>
              </w:rPr>
              <w:t>水污染物“三本账”单位：t/a</w:t>
            </w:r>
          </w:p>
          <w:tbl>
            <w:tblPr>
              <w:tblStyle w:val="25"/>
              <w:tblW w:w="7935"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530"/>
              <w:gridCol w:w="1375"/>
              <w:gridCol w:w="1518"/>
              <w:gridCol w:w="1948"/>
              <w:gridCol w:w="1564"/>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污染物名称</w:t>
                  </w:r>
                </w:p>
              </w:tc>
              <w:tc>
                <w:tcPr>
                  <w:tcW w:w="1375"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产生情况</w:t>
                  </w:r>
                </w:p>
              </w:tc>
              <w:tc>
                <w:tcPr>
                  <w:tcW w:w="1518"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削减量</w:t>
                  </w:r>
                </w:p>
              </w:tc>
              <w:tc>
                <w:tcPr>
                  <w:tcW w:w="1948"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接管量</w:t>
                  </w:r>
                </w:p>
              </w:tc>
              <w:tc>
                <w:tcPr>
                  <w:tcW w:w="1564"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最终排放量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240" w:hRule="atLeast"/>
                <w:jc w:val="center"/>
              </w:trPr>
              <w:tc>
                <w:tcPr>
                  <w:tcW w:w="1530"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废水量</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cs="Times New Roman"/>
                      <w:color w:val="auto"/>
                      <w:sz w:val="21"/>
                      <w:szCs w:val="21"/>
                      <w:highlight w:val="none"/>
                      <w:lang w:val="en-US"/>
                    </w:rPr>
                  </w:pPr>
                  <w:r>
                    <w:rPr>
                      <w:rFonts w:hint="eastAsia"/>
                      <w:color w:val="auto"/>
                      <w:kern w:val="0"/>
                      <w:sz w:val="21"/>
                      <w:lang w:val="en-US" w:eastAsia="zh-CN" w:bidi="ar"/>
                    </w:rPr>
                    <w:t>1080</w:t>
                  </w:r>
                </w:p>
              </w:tc>
              <w:tc>
                <w:tcPr>
                  <w:tcW w:w="151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w:t>
                  </w:r>
                </w:p>
              </w:tc>
              <w:tc>
                <w:tcPr>
                  <w:tcW w:w="194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1080</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1080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COD</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0.3672 </w:t>
                  </w:r>
                </w:p>
              </w:tc>
              <w:tc>
                <w:tcPr>
                  <w:tcW w:w="151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0.0918</w:t>
                  </w:r>
                </w:p>
              </w:tc>
              <w:tc>
                <w:tcPr>
                  <w:tcW w:w="194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 xml:space="preserve"> 0.2754 </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0.054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SS</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0.1620 </w:t>
                  </w:r>
                </w:p>
              </w:tc>
              <w:tc>
                <w:tcPr>
                  <w:tcW w:w="151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0.0324</w:t>
                  </w:r>
                </w:p>
              </w:tc>
              <w:tc>
                <w:tcPr>
                  <w:tcW w:w="194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 xml:space="preserve"> 0.1296 </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0.0108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氨氮</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0.0352 </w:t>
                  </w:r>
                </w:p>
              </w:tc>
              <w:tc>
                <w:tcPr>
                  <w:tcW w:w="151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w:t>
                  </w:r>
                </w:p>
              </w:tc>
              <w:tc>
                <w:tcPr>
                  <w:tcW w:w="194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 xml:space="preserve"> 0.0352 </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0.00864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TN</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0.0484 </w:t>
                  </w:r>
                </w:p>
              </w:tc>
              <w:tc>
                <w:tcPr>
                  <w:tcW w:w="151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w:t>
                  </w:r>
                </w:p>
              </w:tc>
              <w:tc>
                <w:tcPr>
                  <w:tcW w:w="1948"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 xml:space="preserve"> 0.0484 </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0.0162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30" w:type="dxa"/>
                  <w:tcBorders>
                    <w:tl2br w:val="nil"/>
                    <w:tr2bl w:val="nil"/>
                  </w:tcBorders>
                  <w:shd w:val="clear" w:color="auto" w:fill="auto"/>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TP</w:t>
                  </w:r>
                </w:p>
              </w:tc>
              <w:tc>
                <w:tcPr>
                  <w:tcW w:w="1375" w:type="dxa"/>
                  <w:tcBorders>
                    <w:tl2br w:val="nil"/>
                    <w:tr2bl w:val="nil"/>
                  </w:tcBorders>
                  <w:shd w:val="clear" w:color="auto" w:fill="auto"/>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i w:val="0"/>
                      <w:iCs w:val="0"/>
                      <w:color w:val="auto"/>
                      <w:kern w:val="0"/>
                      <w:sz w:val="21"/>
                      <w:szCs w:val="21"/>
                      <w:u w:val="none"/>
                      <w:lang w:val="en-US" w:eastAsia="zh-CN" w:bidi="ar"/>
                    </w:rPr>
                    <w:t xml:space="preserve">0.0046 </w:t>
                  </w:r>
                </w:p>
              </w:tc>
              <w:tc>
                <w:tcPr>
                  <w:tcW w:w="1518" w:type="dxa"/>
                  <w:tcBorders>
                    <w:tl2br w:val="nil"/>
                    <w:tr2bl w:val="nil"/>
                  </w:tcBorders>
                  <w:shd w:val="clear" w:color="auto" w:fill="auto"/>
                  <w:vAlign w:val="center"/>
                </w:tcPr>
                <w:p>
                  <w:pPr>
                    <w:jc w:val="center"/>
                    <w:rPr>
                      <w:rFonts w:hint="default" w:ascii="Times New Roman" w:hAnsi="Times New Roman" w:cs="Times New Roman"/>
                      <w:color w:val="auto"/>
                      <w:sz w:val="21"/>
                      <w:szCs w:val="21"/>
                      <w:highlight w:val="none"/>
                      <w:lang w:val="en-US" w:eastAsia="zh-CN"/>
                    </w:rPr>
                  </w:pPr>
                  <w:r>
                    <w:rPr>
                      <w:rFonts w:hint="default" w:ascii="Times New Roman" w:hAnsi="Times New Roman" w:cs="Times New Roman"/>
                      <w:color w:val="auto"/>
                      <w:sz w:val="21"/>
                      <w:szCs w:val="21"/>
                      <w:highlight w:val="none"/>
                      <w:lang w:val="en-US" w:eastAsia="zh-CN"/>
                    </w:rPr>
                    <w:t>0</w:t>
                  </w:r>
                </w:p>
              </w:tc>
              <w:tc>
                <w:tcPr>
                  <w:tcW w:w="1948" w:type="dxa"/>
                  <w:tcBorders>
                    <w:tl2br w:val="nil"/>
                    <w:tr2bl w:val="nil"/>
                  </w:tcBorders>
                  <w:shd w:val="clear" w:color="auto" w:fill="auto"/>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0.0046 </w:t>
                  </w:r>
                </w:p>
              </w:tc>
              <w:tc>
                <w:tcPr>
                  <w:tcW w:w="1564"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0.00054</w:t>
                  </w:r>
                </w:p>
              </w:tc>
            </w:tr>
          </w:tbl>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表4.2-</w:t>
            </w:r>
            <w:r>
              <w:rPr>
                <w:rFonts w:hint="eastAsia" w:cs="Times New Roman"/>
                <w:b/>
                <w:bCs/>
                <w:color w:val="auto"/>
                <w:sz w:val="24"/>
                <w:szCs w:val="32"/>
                <w:highlight w:val="none"/>
                <w:lang w:val="en-US" w:eastAsia="zh-CN"/>
              </w:rPr>
              <w:t>3全厂</w:t>
            </w:r>
            <w:r>
              <w:rPr>
                <w:rFonts w:hint="default" w:ascii="Times New Roman" w:hAnsi="Times New Roman" w:cs="Times New Roman"/>
                <w:b/>
                <w:bCs/>
                <w:color w:val="auto"/>
                <w:sz w:val="24"/>
                <w:szCs w:val="32"/>
                <w:highlight w:val="none"/>
                <w:lang w:val="en-US" w:eastAsia="zh-CN"/>
              </w:rPr>
              <w:t>水污染物“三本账”单位：t/a</w:t>
            </w:r>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558"/>
              <w:gridCol w:w="1401"/>
              <w:gridCol w:w="1401"/>
              <w:gridCol w:w="1985"/>
              <w:gridCol w:w="159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spacing w:line="240" w:lineRule="auto"/>
                    <w:jc w:val="center"/>
                    <w:rPr>
                      <w:rFonts w:hint="default" w:ascii="Times New Roman" w:hAnsi="Times New Roman" w:cs="Times New Roman"/>
                      <w:color w:val="auto"/>
                      <w:sz w:val="21"/>
                      <w:szCs w:val="21"/>
                      <w:highlight w:val="none"/>
                    </w:rPr>
                  </w:pPr>
                  <w:r>
                    <w:rPr>
                      <w:rFonts w:hint="default" w:ascii="Times New Roman" w:hAnsi="Times New Roman" w:cs="Times New Roman"/>
                      <w:color w:val="auto"/>
                      <w:sz w:val="21"/>
                      <w:szCs w:val="21"/>
                      <w:highlight w:val="none"/>
                    </w:rPr>
                    <w:t>污染物名称</w:t>
                  </w:r>
                </w:p>
              </w:tc>
              <w:tc>
                <w:tcPr>
                  <w:tcW w:w="1401" w:type="dxa"/>
                  <w:tcBorders>
                    <w:tl2br w:val="nil"/>
                    <w:tr2bl w:val="nil"/>
                  </w:tcBorders>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现有项目接管</w:t>
                  </w:r>
                  <w:r>
                    <w:rPr>
                      <w:rFonts w:hint="default" w:ascii="Times New Roman" w:hAnsi="Times New Roman" w:cs="Times New Roman"/>
                      <w:color w:val="auto"/>
                      <w:sz w:val="21"/>
                      <w:szCs w:val="21"/>
                      <w:highlight w:val="none"/>
                    </w:rPr>
                    <w:t>量</w:t>
                  </w:r>
                </w:p>
              </w:tc>
              <w:tc>
                <w:tcPr>
                  <w:tcW w:w="1401" w:type="dxa"/>
                  <w:tcBorders>
                    <w:tl2br w:val="nil"/>
                    <w:tr2bl w:val="nil"/>
                  </w:tcBorders>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本项目接管</w:t>
                  </w:r>
                  <w:r>
                    <w:rPr>
                      <w:rFonts w:hint="default" w:ascii="Times New Roman" w:hAnsi="Times New Roman" w:cs="Times New Roman"/>
                      <w:color w:val="auto"/>
                      <w:sz w:val="21"/>
                      <w:szCs w:val="21"/>
                      <w:highlight w:val="none"/>
                    </w:rPr>
                    <w:t>量</w:t>
                  </w:r>
                </w:p>
              </w:tc>
              <w:tc>
                <w:tcPr>
                  <w:tcW w:w="1985"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全厂</w:t>
                  </w:r>
                  <w:r>
                    <w:rPr>
                      <w:rFonts w:hint="default" w:cs="Times New Roman"/>
                      <w:i w:val="0"/>
                      <w:iCs w:val="0"/>
                      <w:color w:val="auto"/>
                      <w:kern w:val="0"/>
                      <w:sz w:val="21"/>
                      <w:szCs w:val="21"/>
                      <w:highlight w:val="none"/>
                      <w:u w:val="none"/>
                      <w:lang w:val="en-US" w:eastAsia="zh-CN" w:bidi="ar"/>
                    </w:rPr>
                    <w:t>接管量</w:t>
                  </w:r>
                </w:p>
              </w:tc>
              <w:tc>
                <w:tcPr>
                  <w:tcW w:w="1593"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全厂</w:t>
                  </w:r>
                  <w:r>
                    <w:rPr>
                      <w:rFonts w:hint="default" w:cs="Times New Roman"/>
                      <w:i w:val="0"/>
                      <w:iCs w:val="0"/>
                      <w:color w:val="auto"/>
                      <w:kern w:val="0"/>
                      <w:sz w:val="21"/>
                      <w:szCs w:val="21"/>
                      <w:highlight w:val="none"/>
                      <w:u w:val="none"/>
                      <w:lang w:val="en-US" w:eastAsia="zh-CN" w:bidi="ar"/>
                    </w:rPr>
                    <w:t>最终排放量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2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废水量</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1374</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eastAsia"/>
                      <w:color w:val="auto"/>
                      <w:kern w:val="0"/>
                      <w:sz w:val="21"/>
                      <w:lang w:val="en-US" w:eastAsia="zh-CN" w:bidi="ar"/>
                    </w:rPr>
                    <w:t>1080</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2454</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2454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COD</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0.24512</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default"/>
                      <w:color w:val="auto"/>
                      <w:kern w:val="0"/>
                      <w:sz w:val="21"/>
                      <w:lang w:val="en-US" w:eastAsia="zh-CN" w:bidi="ar"/>
                    </w:rPr>
                    <w:t xml:space="preserve"> 0.2754 </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0.52052</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0.1227</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SS</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0.0795</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default"/>
                      <w:color w:val="auto"/>
                      <w:kern w:val="0"/>
                      <w:sz w:val="21"/>
                      <w:lang w:val="en-US" w:eastAsia="zh-CN" w:bidi="ar"/>
                    </w:rPr>
                    <w:t xml:space="preserve"> 0.1296 </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0.2091</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0.0245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氨氮</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0.02785</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default"/>
                      <w:color w:val="auto"/>
                      <w:kern w:val="0"/>
                      <w:sz w:val="21"/>
                      <w:lang w:val="en-US" w:eastAsia="zh-CN" w:bidi="ar"/>
                    </w:rPr>
                    <w:t xml:space="preserve"> 0.0352 </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0.06305</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0.0196</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TN</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0.04809</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default"/>
                      <w:color w:val="auto"/>
                      <w:kern w:val="0"/>
                      <w:sz w:val="21"/>
                      <w:lang w:val="en-US" w:eastAsia="zh-CN" w:bidi="ar"/>
                    </w:rPr>
                    <w:t xml:space="preserve"> 0.0484 </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0.09649</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0.0368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Ex>
              <w:trPr>
                <w:trHeight w:val="340" w:hRule="atLeast"/>
                <w:jc w:val="center"/>
              </w:trPr>
              <w:tc>
                <w:tcPr>
                  <w:tcW w:w="1558"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default" w:cs="Times New Roman"/>
                      <w:i w:val="0"/>
                      <w:iCs w:val="0"/>
                      <w:color w:val="auto"/>
                      <w:kern w:val="0"/>
                      <w:sz w:val="21"/>
                      <w:szCs w:val="21"/>
                      <w:highlight w:val="none"/>
                      <w:u w:val="none"/>
                      <w:lang w:val="en-US" w:eastAsia="zh-CN" w:bidi="ar"/>
                    </w:rPr>
                    <w:t>TP</w:t>
                  </w:r>
                </w:p>
              </w:tc>
              <w:tc>
                <w:tcPr>
                  <w:tcW w:w="1401"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i w:val="0"/>
                      <w:iCs w:val="0"/>
                      <w:color w:val="auto"/>
                      <w:kern w:val="0"/>
                      <w:sz w:val="21"/>
                      <w:szCs w:val="21"/>
                      <w:highlight w:val="none"/>
                      <w:u w:val="none"/>
                      <w:lang w:val="en-US" w:eastAsia="zh-CN" w:bidi="ar"/>
                    </w:rPr>
                  </w:pPr>
                  <w:r>
                    <w:rPr>
                      <w:rFonts w:hint="eastAsia" w:cs="Times New Roman"/>
                      <w:i w:val="0"/>
                      <w:iCs w:val="0"/>
                      <w:color w:val="auto"/>
                      <w:kern w:val="0"/>
                      <w:sz w:val="21"/>
                      <w:szCs w:val="21"/>
                      <w:highlight w:val="none"/>
                      <w:u w:val="none"/>
                      <w:lang w:val="en-US" w:eastAsia="zh-CN" w:bidi="ar"/>
                    </w:rPr>
                    <w:t>0.00433</w:t>
                  </w:r>
                </w:p>
              </w:tc>
              <w:tc>
                <w:tcPr>
                  <w:tcW w:w="1401" w:type="dxa"/>
                  <w:tcBorders>
                    <w:tl2br w:val="nil"/>
                    <w:tr2bl w:val="nil"/>
                  </w:tcBorders>
                  <w:shd w:val="clear" w:color="auto" w:fill="auto"/>
                  <w:vAlign w:val="center"/>
                </w:tcPr>
                <w:p>
                  <w:pPr>
                    <w:widowControl/>
                    <w:jc w:val="center"/>
                    <w:textAlignment w:val="center"/>
                    <w:rPr>
                      <w:rFonts w:hint="default" w:cs="Times New Roman"/>
                      <w:i w:val="0"/>
                      <w:iCs w:val="0"/>
                      <w:color w:val="auto"/>
                      <w:kern w:val="0"/>
                      <w:sz w:val="21"/>
                      <w:szCs w:val="21"/>
                      <w:highlight w:val="none"/>
                      <w:u w:val="none"/>
                      <w:lang w:val="en-US" w:eastAsia="zh-CN" w:bidi="ar"/>
                    </w:rPr>
                  </w:pPr>
                  <w:r>
                    <w:rPr>
                      <w:rFonts w:hint="default"/>
                      <w:color w:val="auto"/>
                      <w:kern w:val="0"/>
                      <w:sz w:val="21"/>
                      <w:lang w:val="en-US" w:eastAsia="zh-CN" w:bidi="ar"/>
                    </w:rPr>
                    <w:t xml:space="preserve"> 0.0046 </w:t>
                  </w:r>
                </w:p>
              </w:tc>
              <w:tc>
                <w:tcPr>
                  <w:tcW w:w="1985"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default"/>
                      <w:color w:val="auto"/>
                      <w:kern w:val="0"/>
                      <w:sz w:val="21"/>
                      <w:lang w:val="en-US" w:eastAsia="zh-CN" w:bidi="ar"/>
                    </w:rPr>
                    <w:t>0.00893</w:t>
                  </w:r>
                </w:p>
              </w:tc>
              <w:tc>
                <w:tcPr>
                  <w:tcW w:w="1593" w:type="dxa"/>
                  <w:tcBorders>
                    <w:tl2br w:val="nil"/>
                    <w:tr2bl w:val="nil"/>
                  </w:tcBorders>
                  <w:shd w:val="clear" w:color="auto" w:fill="auto"/>
                  <w:vAlign w:val="center"/>
                </w:tcPr>
                <w:p>
                  <w:pPr>
                    <w:widowControl/>
                    <w:jc w:val="center"/>
                    <w:textAlignment w:val="center"/>
                    <w:rPr>
                      <w:rFonts w:hint="default"/>
                      <w:color w:val="auto"/>
                      <w:kern w:val="0"/>
                      <w:sz w:val="21"/>
                      <w:lang w:val="en-US" w:eastAsia="zh-CN" w:bidi="ar"/>
                    </w:rPr>
                  </w:pPr>
                  <w:r>
                    <w:rPr>
                      <w:rFonts w:hint="eastAsia"/>
                      <w:color w:val="auto"/>
                      <w:kern w:val="0"/>
                      <w:sz w:val="21"/>
                      <w:lang w:val="en-US" w:eastAsia="zh-CN" w:bidi="ar"/>
                    </w:rPr>
                    <w:t>0.0012</w:t>
                  </w:r>
                </w:p>
              </w:tc>
            </w:tr>
          </w:tbl>
          <w:p>
            <w:pPr>
              <w:autoSpaceDE w:val="0"/>
              <w:autoSpaceDN w:val="0"/>
              <w:adjustRightInd w:val="0"/>
              <w:snapToGrid w:val="0"/>
              <w:spacing w:line="360" w:lineRule="auto"/>
              <w:ind w:firstLine="48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2</w:t>
            </w:r>
            <w:r>
              <w:rPr>
                <w:rFonts w:hint="default" w:ascii="Times New Roman" w:hAnsi="Times New Roman" w:cs="Times New Roman"/>
                <w:color w:val="auto"/>
                <w:kern w:val="0"/>
                <w:sz w:val="24"/>
                <w:szCs w:val="24"/>
                <w:highlight w:val="none"/>
                <w:lang w:val="zh-CN"/>
              </w:rPr>
              <w:t>、废水防治措施</w:t>
            </w:r>
          </w:p>
          <w:p>
            <w:pPr>
              <w:pStyle w:val="22"/>
              <w:snapToGrid w:val="0"/>
              <w:spacing w:before="0" w:beforeAutospacing="0" w:after="0" w:afterAutospacing="0" w:line="360" w:lineRule="auto"/>
              <w:ind w:firstLine="480" w:firstLineChars="200"/>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snapToGrid w:val="0"/>
                <w:color w:val="auto"/>
                <w:sz w:val="24"/>
                <w:szCs w:val="24"/>
                <w:highlight w:val="none"/>
              </w:rPr>
              <w:t>本项目废水防治措施见表4.2-</w:t>
            </w:r>
            <w:r>
              <w:rPr>
                <w:rFonts w:hint="eastAsia" w:ascii="Times New Roman" w:hAnsi="Times New Roman" w:cs="Times New Roman" w:eastAsiaTheme="minorEastAsia"/>
                <w:snapToGrid w:val="0"/>
                <w:color w:val="auto"/>
                <w:sz w:val="24"/>
                <w:szCs w:val="24"/>
                <w:highlight w:val="none"/>
                <w:lang w:val="en-US" w:eastAsia="zh-CN"/>
              </w:rPr>
              <w:t>4</w:t>
            </w:r>
            <w:r>
              <w:rPr>
                <w:rFonts w:hint="default" w:ascii="Times New Roman" w:hAnsi="Times New Roman" w:cs="Times New Roman" w:eastAsiaTheme="minorEastAsia"/>
                <w:snapToGrid w:val="0"/>
                <w:color w:val="auto"/>
                <w:sz w:val="24"/>
                <w:szCs w:val="24"/>
                <w:highlight w:val="none"/>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表4.2-</w:t>
            </w:r>
            <w:r>
              <w:rPr>
                <w:rFonts w:hint="eastAsia" w:cs="Times New Roman"/>
                <w:b/>
                <w:bCs/>
                <w:color w:val="auto"/>
                <w:sz w:val="24"/>
                <w:szCs w:val="32"/>
                <w:highlight w:val="none"/>
                <w:lang w:val="en-US" w:eastAsia="zh-CN"/>
              </w:rPr>
              <w:t>4</w:t>
            </w:r>
            <w:r>
              <w:rPr>
                <w:rFonts w:hint="default" w:ascii="Times New Roman" w:hAnsi="Times New Roman" w:cs="Times New Roman"/>
                <w:b/>
                <w:bCs/>
                <w:color w:val="auto"/>
                <w:sz w:val="24"/>
                <w:szCs w:val="32"/>
                <w:highlight w:val="none"/>
                <w:lang w:val="en-US" w:eastAsia="zh-CN"/>
              </w:rPr>
              <w:t>本项目废水类别、污染物及污染防治设施一览表</w:t>
            </w:r>
          </w:p>
          <w:tbl>
            <w:tblPr>
              <w:tblStyle w:val="26"/>
              <w:tblW w:w="7933"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62"/>
              <w:gridCol w:w="861"/>
              <w:gridCol w:w="735"/>
              <w:gridCol w:w="602"/>
              <w:gridCol w:w="950"/>
              <w:gridCol w:w="753"/>
              <w:gridCol w:w="773"/>
              <w:gridCol w:w="591"/>
              <w:gridCol w:w="1169"/>
              <w:gridCol w:w="73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62"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8" w:name="_Toc77166142"/>
                  <w:r>
                    <w:rPr>
                      <w:rFonts w:hint="default" w:ascii="Times New Roman" w:hAnsi="Times New Roman" w:cs="Times New Roman" w:eastAsiaTheme="minorEastAsia"/>
                      <w:snapToGrid w:val="0"/>
                      <w:color w:val="auto"/>
                      <w:sz w:val="21"/>
                      <w:szCs w:val="21"/>
                      <w:highlight w:val="none"/>
                    </w:rPr>
                    <w:t>废水类别</w:t>
                  </w:r>
                  <w:bookmarkEnd w:id="8"/>
                </w:p>
              </w:tc>
              <w:tc>
                <w:tcPr>
                  <w:tcW w:w="861"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9" w:name="_Toc77166143"/>
                  <w:r>
                    <w:rPr>
                      <w:rFonts w:hint="default" w:ascii="Times New Roman" w:hAnsi="Times New Roman" w:cs="Times New Roman" w:eastAsiaTheme="minorEastAsia"/>
                      <w:snapToGrid w:val="0"/>
                      <w:color w:val="auto"/>
                      <w:sz w:val="21"/>
                      <w:szCs w:val="21"/>
                      <w:highlight w:val="none"/>
                    </w:rPr>
                    <w:t>污染物项目</w:t>
                  </w:r>
                  <w:r>
                    <w:rPr>
                      <w:rFonts w:hint="default" w:ascii="Times New Roman" w:hAnsi="Times New Roman" w:cs="Times New Roman" w:eastAsiaTheme="minorEastAsia"/>
                      <w:snapToGrid w:val="0"/>
                      <w:color w:val="auto"/>
                      <w:sz w:val="21"/>
                      <w:szCs w:val="21"/>
                      <w:highlight w:val="none"/>
                      <w:vertAlign w:val="superscript"/>
                    </w:rPr>
                    <w:t>[1]</w:t>
                  </w:r>
                  <w:bookmarkEnd w:id="9"/>
                </w:p>
              </w:tc>
              <w:tc>
                <w:tcPr>
                  <w:tcW w:w="2287" w:type="dxa"/>
                  <w:gridSpan w:val="3"/>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0" w:name="_Toc77166144"/>
                  <w:r>
                    <w:rPr>
                      <w:rFonts w:hint="default" w:ascii="Times New Roman" w:hAnsi="Times New Roman" w:cs="Times New Roman" w:eastAsiaTheme="minorEastAsia"/>
                      <w:snapToGrid w:val="0"/>
                      <w:color w:val="auto"/>
                      <w:sz w:val="21"/>
                      <w:szCs w:val="21"/>
                      <w:highlight w:val="none"/>
                    </w:rPr>
                    <w:t>污染物防治设施</w:t>
                  </w:r>
                  <w:bookmarkEnd w:id="10"/>
                </w:p>
              </w:tc>
              <w:tc>
                <w:tcPr>
                  <w:tcW w:w="753"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1" w:name="_Toc77166145"/>
                  <w:r>
                    <w:rPr>
                      <w:rFonts w:hint="default" w:ascii="Times New Roman" w:hAnsi="Times New Roman" w:cs="Times New Roman" w:eastAsiaTheme="minorEastAsia"/>
                      <w:snapToGrid w:val="0"/>
                      <w:color w:val="auto"/>
                      <w:sz w:val="21"/>
                      <w:szCs w:val="21"/>
                      <w:highlight w:val="none"/>
                    </w:rPr>
                    <w:t>流向/</w:t>
                  </w:r>
                  <w:bookmarkEnd w:id="11"/>
                </w:p>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2" w:name="_Toc77166146"/>
                  <w:r>
                    <w:rPr>
                      <w:rFonts w:hint="default" w:ascii="Times New Roman" w:hAnsi="Times New Roman" w:cs="Times New Roman" w:eastAsiaTheme="minorEastAsia"/>
                      <w:snapToGrid w:val="0"/>
                      <w:color w:val="auto"/>
                      <w:sz w:val="21"/>
                      <w:szCs w:val="21"/>
                      <w:highlight w:val="none"/>
                    </w:rPr>
                    <w:t>排放去向</w:t>
                  </w:r>
                  <w:bookmarkEnd w:id="12"/>
                </w:p>
              </w:tc>
              <w:tc>
                <w:tcPr>
                  <w:tcW w:w="773"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3" w:name="_Toc77166147"/>
                  <w:r>
                    <w:rPr>
                      <w:rFonts w:hint="default" w:ascii="Times New Roman" w:hAnsi="Times New Roman" w:cs="Times New Roman" w:eastAsiaTheme="minorEastAsia"/>
                      <w:snapToGrid w:val="0"/>
                      <w:color w:val="auto"/>
                      <w:sz w:val="21"/>
                      <w:szCs w:val="21"/>
                      <w:highlight w:val="none"/>
                    </w:rPr>
                    <w:t>对应</w:t>
                  </w:r>
                  <w:bookmarkEnd w:id="13"/>
                </w:p>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4" w:name="_Toc77166148"/>
                  <w:r>
                    <w:rPr>
                      <w:rFonts w:hint="default" w:ascii="Times New Roman" w:hAnsi="Times New Roman" w:cs="Times New Roman" w:eastAsiaTheme="minorEastAsia"/>
                      <w:snapToGrid w:val="0"/>
                      <w:color w:val="auto"/>
                      <w:sz w:val="21"/>
                      <w:szCs w:val="21"/>
                      <w:highlight w:val="none"/>
                    </w:rPr>
                    <w:t>排放口</w:t>
                  </w:r>
                  <w:bookmarkEnd w:id="14"/>
                </w:p>
              </w:tc>
              <w:tc>
                <w:tcPr>
                  <w:tcW w:w="591" w:type="dxa"/>
                  <w:vMerge w:val="restart"/>
                  <w:tcBorders>
                    <w:tl2br w:val="nil"/>
                    <w:tr2bl w:val="nil"/>
                  </w:tcBorders>
                  <w:vAlign w:val="center"/>
                </w:tcPr>
                <w:p>
                  <w:pPr>
                    <w:autoSpaceDE w:val="0"/>
                    <w:autoSpaceDN w:val="0"/>
                    <w:adjustRightIn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排放</w:t>
                  </w:r>
                </w:p>
                <w:p>
                  <w:pPr>
                    <w:autoSpaceDE w:val="0"/>
                    <w:autoSpaceDN w:val="0"/>
                    <w:adjustRightInd w:val="0"/>
                    <w:jc w:val="center"/>
                    <w:rPr>
                      <w:rFonts w:hint="default" w:ascii="Times New Roman" w:hAnsi="Times New Roman" w:cs="Times New Roman" w:eastAsiaTheme="minorEastAsia"/>
                      <w:snapToGrid w:val="0"/>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方式</w:t>
                  </w:r>
                </w:p>
              </w:tc>
              <w:tc>
                <w:tcPr>
                  <w:tcW w:w="1169" w:type="dxa"/>
                  <w:vMerge w:val="restart"/>
                  <w:tcBorders>
                    <w:tl2br w:val="nil"/>
                    <w:tr2bl w:val="nil"/>
                  </w:tcBorders>
                  <w:vAlign w:val="center"/>
                </w:tcPr>
                <w:p>
                  <w:pPr>
                    <w:autoSpaceDE w:val="0"/>
                    <w:autoSpaceDN w:val="0"/>
                    <w:adjustRightInd w:val="0"/>
                    <w:jc w:val="center"/>
                    <w:rPr>
                      <w:rFonts w:hint="default" w:ascii="Times New Roman" w:hAnsi="Times New Roman" w:cs="Times New Roman" w:eastAsiaTheme="minorEastAsia"/>
                      <w:snapToGrid w:val="0"/>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排放规律</w:t>
                  </w:r>
                </w:p>
              </w:tc>
              <w:tc>
                <w:tcPr>
                  <w:tcW w:w="737"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5" w:name="_Toc77166149"/>
                  <w:r>
                    <w:rPr>
                      <w:rFonts w:hint="default" w:ascii="Times New Roman" w:hAnsi="Times New Roman" w:cs="Times New Roman" w:eastAsiaTheme="minorEastAsia"/>
                      <w:snapToGrid w:val="0"/>
                      <w:color w:val="auto"/>
                      <w:sz w:val="21"/>
                      <w:szCs w:val="21"/>
                      <w:highlight w:val="none"/>
                    </w:rPr>
                    <w:t>排放口</w:t>
                  </w:r>
                  <w:bookmarkEnd w:id="15"/>
                </w:p>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6" w:name="_Toc77166150"/>
                  <w:r>
                    <w:rPr>
                      <w:rFonts w:hint="default" w:ascii="Times New Roman" w:hAnsi="Times New Roman" w:cs="Times New Roman" w:eastAsiaTheme="minorEastAsia"/>
                      <w:snapToGrid w:val="0"/>
                      <w:color w:val="auto"/>
                      <w:sz w:val="21"/>
                      <w:szCs w:val="21"/>
                      <w:highlight w:val="none"/>
                    </w:rPr>
                    <w:t>类型</w:t>
                  </w:r>
                  <w:bookmarkEnd w:id="16"/>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62"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861"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735"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7" w:name="_Toc77166151"/>
                  <w:r>
                    <w:rPr>
                      <w:rFonts w:hint="default" w:ascii="Times New Roman" w:hAnsi="Times New Roman" w:cs="Times New Roman" w:eastAsiaTheme="minorEastAsia"/>
                      <w:snapToGrid w:val="0"/>
                      <w:color w:val="auto"/>
                      <w:sz w:val="21"/>
                      <w:szCs w:val="21"/>
                      <w:highlight w:val="none"/>
                    </w:rPr>
                    <w:t>规范要求</w:t>
                  </w:r>
                  <w:bookmarkEnd w:id="17"/>
                </w:p>
              </w:tc>
              <w:tc>
                <w:tcPr>
                  <w:tcW w:w="602"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8" w:name="_Toc77166152"/>
                  <w:r>
                    <w:rPr>
                      <w:rFonts w:hint="default" w:ascii="Times New Roman" w:hAnsi="Times New Roman" w:cs="Times New Roman" w:eastAsiaTheme="minorEastAsia"/>
                      <w:snapToGrid w:val="0"/>
                      <w:color w:val="auto"/>
                      <w:sz w:val="21"/>
                      <w:szCs w:val="21"/>
                      <w:highlight w:val="none"/>
                    </w:rPr>
                    <w:t>本项目</w:t>
                  </w:r>
                  <w:bookmarkEnd w:id="18"/>
                </w:p>
              </w:tc>
              <w:tc>
                <w:tcPr>
                  <w:tcW w:w="950"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9" w:name="_Toc77166153"/>
                  <w:r>
                    <w:rPr>
                      <w:rFonts w:hint="default" w:ascii="Times New Roman" w:hAnsi="Times New Roman" w:cs="Times New Roman" w:eastAsiaTheme="minorEastAsia"/>
                      <w:snapToGrid w:val="0"/>
                      <w:color w:val="auto"/>
                      <w:sz w:val="21"/>
                      <w:szCs w:val="21"/>
                      <w:highlight w:val="none"/>
                    </w:rPr>
                    <w:t>是否为</w:t>
                  </w:r>
                  <w:bookmarkEnd w:id="19"/>
                </w:p>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20" w:name="_Toc77166154"/>
                  <w:r>
                    <w:rPr>
                      <w:rFonts w:hint="default" w:ascii="Times New Roman" w:hAnsi="Times New Roman" w:cs="Times New Roman" w:eastAsiaTheme="minorEastAsia"/>
                      <w:snapToGrid w:val="0"/>
                      <w:color w:val="auto"/>
                      <w:sz w:val="21"/>
                      <w:szCs w:val="21"/>
                      <w:highlight w:val="none"/>
                    </w:rPr>
                    <w:t>可行技术</w:t>
                  </w:r>
                  <w:bookmarkEnd w:id="20"/>
                </w:p>
              </w:tc>
              <w:tc>
                <w:tcPr>
                  <w:tcW w:w="75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77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591"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1169"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737"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762"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生活污水</w:t>
                  </w:r>
                </w:p>
              </w:tc>
              <w:tc>
                <w:tcPr>
                  <w:tcW w:w="861"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COD、</w:t>
                  </w:r>
                  <w:r>
                    <w:rPr>
                      <w:rFonts w:hint="eastAsia" w:ascii="Times New Roman" w:hAnsi="Times New Roman" w:cs="Times New Roman" w:eastAsiaTheme="minorEastAsia"/>
                      <w:snapToGrid w:val="0"/>
                      <w:color w:val="auto"/>
                      <w:sz w:val="21"/>
                      <w:szCs w:val="21"/>
                      <w:highlight w:val="none"/>
                      <w:lang w:val="en-US" w:eastAsia="zh-CN"/>
                    </w:rPr>
                    <w:t>SS、</w:t>
                  </w:r>
                  <w:r>
                    <w:rPr>
                      <w:rFonts w:hint="default" w:ascii="Times New Roman" w:hAnsi="Times New Roman" w:cs="Times New Roman" w:eastAsiaTheme="minorEastAsia"/>
                      <w:snapToGrid w:val="0"/>
                      <w:color w:val="auto"/>
                      <w:sz w:val="21"/>
                      <w:szCs w:val="21"/>
                      <w:highlight w:val="none"/>
                    </w:rPr>
                    <w:t>氨氮、TN、TP</w:t>
                  </w:r>
                </w:p>
              </w:tc>
              <w:tc>
                <w:tcPr>
                  <w:tcW w:w="735"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化粪池</w:t>
                  </w:r>
                </w:p>
              </w:tc>
              <w:tc>
                <w:tcPr>
                  <w:tcW w:w="602"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化粪池</w:t>
                  </w:r>
                </w:p>
              </w:tc>
              <w:tc>
                <w:tcPr>
                  <w:tcW w:w="950"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是</w:t>
                  </w:r>
                </w:p>
              </w:tc>
              <w:tc>
                <w:tcPr>
                  <w:tcW w:w="753"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市政污水管网</w:t>
                  </w:r>
                </w:p>
              </w:tc>
              <w:tc>
                <w:tcPr>
                  <w:tcW w:w="773"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DW001</w:t>
                  </w:r>
                </w:p>
              </w:tc>
              <w:tc>
                <w:tcPr>
                  <w:tcW w:w="591" w:type="dxa"/>
                  <w:tcBorders>
                    <w:tl2br w:val="nil"/>
                    <w:tr2bl w:val="nil"/>
                  </w:tcBorders>
                  <w:vAlign w:val="center"/>
                </w:tcPr>
                <w:p>
                  <w:pPr>
                    <w:pStyle w:val="22"/>
                    <w:snapToGrid w:val="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间接排放</w:t>
                  </w:r>
                </w:p>
              </w:tc>
              <w:tc>
                <w:tcPr>
                  <w:tcW w:w="1169" w:type="dxa"/>
                  <w:tcBorders>
                    <w:tl2br w:val="nil"/>
                    <w:tr2bl w:val="nil"/>
                  </w:tcBorders>
                  <w:vAlign w:val="center"/>
                </w:tcPr>
                <w:p>
                  <w:pPr>
                    <w:autoSpaceDE w:val="0"/>
                    <w:autoSpaceDN w:val="0"/>
                    <w:adjustRightInd w:val="0"/>
                    <w:jc w:val="center"/>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color w:val="auto"/>
                      <w:kern w:val="0"/>
                      <w:sz w:val="21"/>
                      <w:szCs w:val="21"/>
                      <w:highlight w:val="none"/>
                    </w:rPr>
                    <w:t>间断排放，排放期间流量不稳定且无规律，但</w:t>
                  </w:r>
                  <w:r>
                    <w:rPr>
                      <w:rFonts w:hint="default" w:ascii="Times New Roman" w:hAnsi="Times New Roman" w:cs="Times New Roman" w:eastAsiaTheme="minorEastAsia"/>
                      <w:color w:val="auto"/>
                      <w:sz w:val="21"/>
                      <w:szCs w:val="21"/>
                      <w:highlight w:val="none"/>
                    </w:rPr>
                    <w:t>不属于冲击型</w:t>
                  </w:r>
                </w:p>
              </w:tc>
              <w:tc>
                <w:tcPr>
                  <w:tcW w:w="737"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一般排放口</w:t>
                  </w:r>
                </w:p>
              </w:tc>
            </w:tr>
          </w:tbl>
          <w:p>
            <w:pPr>
              <w:snapToGrid w:val="0"/>
              <w:spacing w:line="360" w:lineRule="auto"/>
              <w:ind w:firstLine="480" w:firstLineChars="200"/>
              <w:rPr>
                <w:rFonts w:hint="default" w:ascii="Times New Roman" w:hAnsi="Times New Roman" w:eastAsia="宋体" w:cs="Times New Roman"/>
                <w:color w:val="auto"/>
                <w:kern w:val="0"/>
                <w:sz w:val="24"/>
                <w:szCs w:val="24"/>
                <w:highlight w:val="none"/>
                <w:lang w:val="en-US" w:eastAsia="zh-CN"/>
              </w:rPr>
            </w:pPr>
            <w:r>
              <w:rPr>
                <w:rFonts w:hint="default" w:ascii="Times New Roman" w:hAnsi="Times New Roman" w:cs="Times New Roman"/>
                <w:color w:val="auto"/>
                <w:kern w:val="0"/>
                <w:sz w:val="24"/>
                <w:szCs w:val="24"/>
                <w:highlight w:val="none"/>
              </w:rPr>
              <w:t>根据工程分析，项目生活污水经化粪池预处理，</w:t>
            </w:r>
            <w:r>
              <w:rPr>
                <w:rFonts w:hint="default" w:ascii="Times New Roman" w:hAnsi="Times New Roman" w:cs="Times New Roman"/>
                <w:color w:val="auto"/>
                <w:kern w:val="0"/>
                <w:sz w:val="24"/>
                <w:szCs w:val="24"/>
                <w:highlight w:val="none"/>
                <w:lang w:val="en-US" w:eastAsia="zh-CN"/>
              </w:rPr>
              <w:t>接管至</w:t>
            </w:r>
            <w:r>
              <w:rPr>
                <w:rFonts w:hint="eastAsia" w:cs="Times New Roman"/>
                <w:color w:val="auto"/>
                <w:kern w:val="0"/>
                <w:sz w:val="24"/>
                <w:szCs w:val="24"/>
                <w:highlight w:val="none"/>
                <w:lang w:val="en-US" w:eastAsia="zh-CN"/>
              </w:rPr>
              <w:t>如皋恒发水处理有限公司</w:t>
            </w:r>
            <w:r>
              <w:rPr>
                <w:rFonts w:hint="default" w:ascii="Times New Roman" w:hAnsi="Times New Roman" w:cs="Times New Roman"/>
                <w:color w:val="auto"/>
                <w:kern w:val="0"/>
                <w:sz w:val="24"/>
                <w:szCs w:val="24"/>
                <w:highlight w:val="none"/>
                <w:lang w:val="en-US" w:eastAsia="zh-CN"/>
              </w:rPr>
              <w:t>深度处理。</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表4.2-</w:t>
            </w:r>
            <w:r>
              <w:rPr>
                <w:rFonts w:hint="eastAsia" w:cs="Times New Roman"/>
                <w:b/>
                <w:bCs/>
                <w:color w:val="auto"/>
                <w:sz w:val="24"/>
                <w:szCs w:val="32"/>
                <w:highlight w:val="none"/>
                <w:lang w:val="en-US" w:eastAsia="zh-CN"/>
              </w:rPr>
              <w:t>5</w:t>
            </w:r>
            <w:r>
              <w:rPr>
                <w:rFonts w:hint="default" w:ascii="Times New Roman" w:hAnsi="Times New Roman" w:cs="Times New Roman"/>
                <w:b/>
                <w:bCs/>
                <w:color w:val="auto"/>
                <w:sz w:val="24"/>
                <w:szCs w:val="32"/>
                <w:highlight w:val="none"/>
                <w:lang w:val="en-US" w:eastAsia="zh-CN"/>
              </w:rPr>
              <w:t>废水间接排放口基本情况表</w:t>
            </w:r>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11"/>
              <w:gridCol w:w="758"/>
              <w:gridCol w:w="758"/>
              <w:gridCol w:w="750"/>
              <w:gridCol w:w="723"/>
              <w:gridCol w:w="668"/>
              <w:gridCol w:w="927"/>
              <w:gridCol w:w="436"/>
              <w:gridCol w:w="676"/>
              <w:gridCol w:w="771"/>
              <w:gridCol w:w="106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21" w:name="_Toc28421"/>
                  <w:bookmarkStart w:id="22" w:name="_Toc17310"/>
                  <w:bookmarkStart w:id="23" w:name="_Toc15991"/>
                  <w:bookmarkStart w:id="24" w:name="_Toc29935"/>
                  <w:r>
                    <w:rPr>
                      <w:rFonts w:hint="default" w:ascii="Times New Roman" w:hAnsi="Times New Roman" w:cs="Times New Roman" w:eastAsiaTheme="minorEastAsia"/>
                      <w:b/>
                      <w:color w:val="auto"/>
                      <w:kern w:val="0"/>
                      <w:sz w:val="21"/>
                      <w:szCs w:val="21"/>
                      <w:highlight w:val="none"/>
                    </w:rPr>
                    <w:t>序号</w:t>
                  </w:r>
                  <w:bookmarkEnd w:id="21"/>
                  <w:bookmarkEnd w:id="22"/>
                  <w:bookmarkEnd w:id="23"/>
                  <w:bookmarkEnd w:id="24"/>
                </w:p>
              </w:tc>
              <w:tc>
                <w:tcPr>
                  <w:tcW w:w="758"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25" w:name="_Toc6352"/>
                  <w:bookmarkStart w:id="26" w:name="_Toc13491"/>
                  <w:bookmarkStart w:id="27" w:name="_Toc27544"/>
                  <w:bookmarkStart w:id="28" w:name="_Toc8157"/>
                  <w:bookmarkStart w:id="29" w:name="_Toc11323"/>
                  <w:r>
                    <w:rPr>
                      <w:rFonts w:hint="default" w:ascii="Times New Roman" w:hAnsi="Times New Roman" w:cs="Times New Roman" w:eastAsiaTheme="minorEastAsia"/>
                      <w:b/>
                      <w:color w:val="auto"/>
                      <w:kern w:val="0"/>
                      <w:sz w:val="21"/>
                      <w:szCs w:val="21"/>
                      <w:highlight w:val="none"/>
                    </w:rPr>
                    <w:t>排放口编号</w:t>
                  </w:r>
                  <w:bookmarkEnd w:id="25"/>
                  <w:bookmarkEnd w:id="26"/>
                  <w:bookmarkEnd w:id="27"/>
                  <w:bookmarkEnd w:id="28"/>
                  <w:bookmarkEnd w:id="29"/>
                </w:p>
              </w:tc>
              <w:tc>
                <w:tcPr>
                  <w:tcW w:w="1508" w:type="dxa"/>
                  <w:gridSpan w:val="2"/>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30" w:name="_Toc6891"/>
                  <w:bookmarkStart w:id="31" w:name="_Toc29578"/>
                  <w:bookmarkStart w:id="32" w:name="_Toc9498"/>
                  <w:bookmarkStart w:id="33" w:name="_Toc31045"/>
                  <w:bookmarkStart w:id="34" w:name="_Toc30688"/>
                  <w:r>
                    <w:rPr>
                      <w:rFonts w:hint="default" w:ascii="Times New Roman" w:hAnsi="Times New Roman" w:cs="Times New Roman" w:eastAsiaTheme="minorEastAsia"/>
                      <w:b/>
                      <w:color w:val="auto"/>
                      <w:kern w:val="0"/>
                      <w:sz w:val="21"/>
                      <w:szCs w:val="21"/>
                      <w:highlight w:val="none"/>
                    </w:rPr>
                    <w:t>排放口地理坐标</w:t>
                  </w:r>
                  <w:bookmarkEnd w:id="30"/>
                  <w:bookmarkEnd w:id="31"/>
                  <w:bookmarkEnd w:id="32"/>
                  <w:bookmarkEnd w:id="33"/>
                  <w:bookmarkEnd w:id="34"/>
                </w:p>
              </w:tc>
              <w:tc>
                <w:tcPr>
                  <w:tcW w:w="723"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35" w:name="_Toc16686"/>
                  <w:bookmarkStart w:id="36" w:name="_Toc13058"/>
                  <w:bookmarkStart w:id="37" w:name="_Toc23748"/>
                  <w:bookmarkStart w:id="38" w:name="_Toc17152"/>
                  <w:bookmarkStart w:id="39" w:name="_Toc30225"/>
                  <w:r>
                    <w:rPr>
                      <w:rFonts w:hint="default" w:ascii="Times New Roman" w:hAnsi="Times New Roman" w:cs="Times New Roman" w:eastAsiaTheme="minorEastAsia"/>
                      <w:b/>
                      <w:color w:val="auto"/>
                      <w:kern w:val="0"/>
                      <w:sz w:val="21"/>
                      <w:szCs w:val="21"/>
                      <w:highlight w:val="none"/>
                    </w:rPr>
                    <w:t>废水排放量</w:t>
                  </w:r>
                  <w:bookmarkEnd w:id="35"/>
                </w:p>
                <w:p>
                  <w:pPr>
                    <w:widowControl/>
                    <w:snapToGrid w:val="0"/>
                    <w:jc w:val="center"/>
                    <w:rPr>
                      <w:rFonts w:hint="default" w:ascii="Times New Roman" w:hAnsi="Times New Roman" w:cs="Times New Roman" w:eastAsiaTheme="minorEastAsia"/>
                      <w:b/>
                      <w:color w:val="auto"/>
                      <w:kern w:val="0"/>
                      <w:sz w:val="21"/>
                      <w:szCs w:val="21"/>
                      <w:highlight w:val="none"/>
                    </w:rPr>
                  </w:pPr>
                  <w:bookmarkStart w:id="40" w:name="_Toc7679"/>
                  <w:r>
                    <w:rPr>
                      <w:rFonts w:hint="default" w:ascii="Times New Roman" w:hAnsi="Times New Roman" w:cs="Times New Roman" w:eastAsiaTheme="minorEastAsia"/>
                      <w:b/>
                      <w:color w:val="auto"/>
                      <w:kern w:val="0"/>
                      <w:sz w:val="21"/>
                      <w:szCs w:val="21"/>
                      <w:highlight w:val="none"/>
                    </w:rPr>
                    <w:t>（万t/a）</w:t>
                  </w:r>
                  <w:bookmarkEnd w:id="36"/>
                  <w:bookmarkEnd w:id="37"/>
                  <w:bookmarkEnd w:id="38"/>
                  <w:bookmarkEnd w:id="39"/>
                  <w:bookmarkEnd w:id="40"/>
                </w:p>
              </w:tc>
              <w:tc>
                <w:tcPr>
                  <w:tcW w:w="668"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41" w:name="_Toc19619"/>
                  <w:bookmarkStart w:id="42" w:name="_Toc28387"/>
                  <w:bookmarkStart w:id="43" w:name="_Toc8865"/>
                  <w:bookmarkStart w:id="44" w:name="_Toc15841"/>
                  <w:bookmarkStart w:id="45" w:name="_Toc5067"/>
                  <w:r>
                    <w:rPr>
                      <w:rFonts w:hint="default" w:ascii="Times New Roman" w:hAnsi="Times New Roman" w:cs="Times New Roman" w:eastAsiaTheme="minorEastAsia"/>
                      <w:b/>
                      <w:color w:val="auto"/>
                      <w:kern w:val="0"/>
                      <w:sz w:val="21"/>
                      <w:szCs w:val="21"/>
                      <w:highlight w:val="none"/>
                    </w:rPr>
                    <w:t>排放去向</w:t>
                  </w:r>
                  <w:bookmarkEnd w:id="41"/>
                  <w:bookmarkEnd w:id="42"/>
                  <w:bookmarkEnd w:id="43"/>
                  <w:bookmarkEnd w:id="44"/>
                  <w:bookmarkEnd w:id="45"/>
                </w:p>
              </w:tc>
              <w:tc>
                <w:tcPr>
                  <w:tcW w:w="927"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46" w:name="_Toc27152"/>
                  <w:bookmarkStart w:id="47" w:name="_Toc14563"/>
                  <w:bookmarkStart w:id="48" w:name="_Toc28005"/>
                  <w:bookmarkStart w:id="49" w:name="_Toc9136"/>
                  <w:bookmarkStart w:id="50" w:name="_Toc10842"/>
                  <w:r>
                    <w:rPr>
                      <w:rFonts w:hint="default" w:ascii="Times New Roman" w:hAnsi="Times New Roman" w:cs="Times New Roman" w:eastAsiaTheme="minorEastAsia"/>
                      <w:b/>
                      <w:color w:val="auto"/>
                      <w:kern w:val="0"/>
                      <w:sz w:val="21"/>
                      <w:szCs w:val="21"/>
                      <w:highlight w:val="none"/>
                    </w:rPr>
                    <w:t>排放规律</w:t>
                  </w:r>
                  <w:bookmarkEnd w:id="46"/>
                  <w:bookmarkEnd w:id="47"/>
                  <w:bookmarkEnd w:id="48"/>
                  <w:bookmarkEnd w:id="49"/>
                  <w:bookmarkEnd w:id="50"/>
                </w:p>
              </w:tc>
              <w:tc>
                <w:tcPr>
                  <w:tcW w:w="436"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51" w:name="_Toc21295"/>
                  <w:bookmarkStart w:id="52" w:name="_Toc26823"/>
                  <w:bookmarkStart w:id="53" w:name="_Toc7405"/>
                  <w:bookmarkStart w:id="54" w:name="_Toc25298"/>
                  <w:r>
                    <w:rPr>
                      <w:rFonts w:hint="default" w:ascii="Times New Roman" w:hAnsi="Times New Roman" w:cs="Times New Roman" w:eastAsiaTheme="minorEastAsia"/>
                      <w:b/>
                      <w:color w:val="auto"/>
                      <w:kern w:val="0"/>
                      <w:sz w:val="21"/>
                      <w:szCs w:val="21"/>
                      <w:highlight w:val="none"/>
                    </w:rPr>
                    <w:t>间歇排放时段</w:t>
                  </w:r>
                  <w:bookmarkEnd w:id="51"/>
                  <w:bookmarkEnd w:id="52"/>
                  <w:bookmarkEnd w:id="53"/>
                  <w:bookmarkEnd w:id="54"/>
                </w:p>
              </w:tc>
              <w:tc>
                <w:tcPr>
                  <w:tcW w:w="2507" w:type="dxa"/>
                  <w:gridSpan w:val="3"/>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55" w:name="_Toc15882"/>
                  <w:bookmarkStart w:id="56" w:name="_Toc14190"/>
                  <w:bookmarkStart w:id="57" w:name="_Toc10273"/>
                  <w:bookmarkStart w:id="58" w:name="_Toc23604"/>
                  <w:bookmarkStart w:id="59" w:name="_Toc10592"/>
                  <w:r>
                    <w:rPr>
                      <w:rFonts w:hint="default" w:ascii="Times New Roman" w:hAnsi="Times New Roman" w:cs="Times New Roman" w:eastAsiaTheme="minorEastAsia"/>
                      <w:b/>
                      <w:color w:val="auto"/>
                      <w:kern w:val="0"/>
                      <w:sz w:val="21"/>
                      <w:szCs w:val="21"/>
                      <w:highlight w:val="none"/>
                    </w:rPr>
                    <w:t>受纳污水处理厂信息</w:t>
                  </w:r>
                  <w:bookmarkEnd w:id="55"/>
                  <w:bookmarkEnd w:id="56"/>
                  <w:bookmarkEnd w:id="57"/>
                  <w:bookmarkEnd w:id="58"/>
                  <w:bookmarkEnd w:id="59"/>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758" w:type="dxa"/>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60" w:name="_Toc11622"/>
                  <w:bookmarkStart w:id="61" w:name="_Toc24158"/>
                  <w:bookmarkStart w:id="62" w:name="_Toc8948"/>
                  <w:bookmarkStart w:id="63" w:name="_Toc10303"/>
                  <w:bookmarkStart w:id="64" w:name="_Toc8548"/>
                  <w:r>
                    <w:rPr>
                      <w:rFonts w:hint="default" w:ascii="Times New Roman" w:hAnsi="Times New Roman" w:cs="Times New Roman" w:eastAsiaTheme="minorEastAsia"/>
                      <w:b/>
                      <w:color w:val="auto"/>
                      <w:kern w:val="0"/>
                      <w:sz w:val="21"/>
                      <w:szCs w:val="21"/>
                      <w:highlight w:val="none"/>
                    </w:rPr>
                    <w:t>经度</w:t>
                  </w:r>
                  <w:bookmarkEnd w:id="60"/>
                  <w:bookmarkEnd w:id="61"/>
                  <w:bookmarkEnd w:id="62"/>
                  <w:bookmarkEnd w:id="63"/>
                  <w:bookmarkEnd w:id="64"/>
                  <w:r>
                    <w:rPr>
                      <w:rFonts w:hint="default" w:ascii="Times New Roman" w:hAnsi="Times New Roman" w:cs="Times New Roman" w:eastAsiaTheme="minorEastAsia"/>
                      <w:b/>
                      <w:color w:val="auto"/>
                      <w:kern w:val="0"/>
                      <w:sz w:val="21"/>
                      <w:szCs w:val="21"/>
                      <w:highlight w:val="none"/>
                    </w:rPr>
                    <w:t>（°）</w:t>
                  </w:r>
                </w:p>
              </w:tc>
              <w:tc>
                <w:tcPr>
                  <w:tcW w:w="750" w:type="dxa"/>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65" w:name="_Toc20830"/>
                  <w:bookmarkStart w:id="66" w:name="_Toc11011"/>
                  <w:bookmarkStart w:id="67" w:name="_Toc1590"/>
                  <w:bookmarkStart w:id="68" w:name="_Toc4666"/>
                  <w:bookmarkStart w:id="69" w:name="_Toc25489"/>
                  <w:r>
                    <w:rPr>
                      <w:rFonts w:hint="default" w:ascii="Times New Roman" w:hAnsi="Times New Roman" w:cs="Times New Roman" w:eastAsiaTheme="minorEastAsia"/>
                      <w:b/>
                      <w:color w:val="auto"/>
                      <w:kern w:val="0"/>
                      <w:sz w:val="21"/>
                      <w:szCs w:val="21"/>
                      <w:highlight w:val="none"/>
                    </w:rPr>
                    <w:t>纬度</w:t>
                  </w:r>
                  <w:bookmarkEnd w:id="65"/>
                  <w:bookmarkEnd w:id="66"/>
                  <w:bookmarkEnd w:id="67"/>
                  <w:bookmarkEnd w:id="68"/>
                  <w:bookmarkEnd w:id="69"/>
                  <w:r>
                    <w:rPr>
                      <w:rFonts w:hint="default" w:ascii="Times New Roman" w:hAnsi="Times New Roman" w:cs="Times New Roman" w:eastAsiaTheme="minorEastAsia"/>
                      <w:b/>
                      <w:color w:val="auto"/>
                      <w:kern w:val="0"/>
                      <w:sz w:val="21"/>
                      <w:szCs w:val="21"/>
                      <w:highlight w:val="none"/>
                    </w:rPr>
                    <w:t>（°）</w:t>
                  </w: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p>
              </w:tc>
              <w:tc>
                <w:tcPr>
                  <w:tcW w:w="676" w:type="dxa"/>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70" w:name="_Toc32588"/>
                  <w:bookmarkStart w:id="71" w:name="_Toc23705"/>
                  <w:bookmarkStart w:id="72" w:name="_Toc22912"/>
                  <w:bookmarkStart w:id="73" w:name="_Toc16714"/>
                  <w:bookmarkStart w:id="74" w:name="_Toc9762"/>
                  <w:r>
                    <w:rPr>
                      <w:rFonts w:hint="default" w:ascii="Times New Roman" w:hAnsi="Times New Roman" w:cs="Times New Roman" w:eastAsiaTheme="minorEastAsia"/>
                      <w:b/>
                      <w:color w:val="auto"/>
                      <w:kern w:val="0"/>
                      <w:sz w:val="21"/>
                      <w:szCs w:val="21"/>
                      <w:highlight w:val="none"/>
                    </w:rPr>
                    <w:t>名称</w:t>
                  </w:r>
                  <w:bookmarkEnd w:id="70"/>
                  <w:bookmarkEnd w:id="71"/>
                  <w:bookmarkEnd w:id="72"/>
                  <w:bookmarkEnd w:id="73"/>
                  <w:bookmarkEnd w:id="74"/>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b/>
                      <w:color w:val="auto"/>
                      <w:kern w:val="0"/>
                      <w:sz w:val="21"/>
                      <w:szCs w:val="21"/>
                      <w:highlight w:val="none"/>
                    </w:rPr>
                  </w:pPr>
                  <w:bookmarkStart w:id="75" w:name="_Toc10513"/>
                  <w:bookmarkStart w:id="76" w:name="_Toc30651"/>
                  <w:bookmarkStart w:id="77" w:name="_Toc30938"/>
                  <w:bookmarkStart w:id="78" w:name="_Toc23592"/>
                  <w:bookmarkStart w:id="79" w:name="_Toc8858"/>
                  <w:r>
                    <w:rPr>
                      <w:rFonts w:hint="default" w:ascii="Times New Roman" w:hAnsi="Times New Roman" w:cs="Times New Roman" w:eastAsiaTheme="minorEastAsia"/>
                      <w:b/>
                      <w:color w:val="auto"/>
                      <w:kern w:val="0"/>
                      <w:sz w:val="21"/>
                      <w:szCs w:val="21"/>
                      <w:highlight w:val="none"/>
                    </w:rPr>
                    <w:t>污染物种类</w:t>
                  </w:r>
                  <w:bookmarkEnd w:id="75"/>
                  <w:bookmarkEnd w:id="76"/>
                  <w:bookmarkEnd w:id="77"/>
                  <w:bookmarkEnd w:id="78"/>
                  <w:bookmarkEnd w:id="79"/>
                </w:p>
              </w:tc>
              <w:tc>
                <w:tcPr>
                  <w:tcW w:w="1060" w:type="dxa"/>
                  <w:tcBorders>
                    <w:tl2br w:val="nil"/>
                    <w:tr2bl w:val="nil"/>
                  </w:tcBorders>
                  <w:vAlign w:val="center"/>
                </w:tcPr>
                <w:p>
                  <w:pPr>
                    <w:widowControl/>
                    <w:snapToGrid w:val="0"/>
                    <w:jc w:val="center"/>
                    <w:rPr>
                      <w:rFonts w:hint="eastAsia" w:ascii="Times New Roman" w:hAnsi="Times New Roman" w:cs="Times New Roman" w:eastAsiaTheme="minorEastAsia"/>
                      <w:b/>
                      <w:color w:val="auto"/>
                      <w:kern w:val="0"/>
                      <w:sz w:val="21"/>
                      <w:szCs w:val="21"/>
                      <w:highlight w:val="none"/>
                      <w:lang w:eastAsia="zh-CN"/>
                    </w:rPr>
                  </w:pPr>
                  <w:bookmarkStart w:id="80" w:name="_Toc416"/>
                  <w:bookmarkStart w:id="81" w:name="_Toc20459"/>
                  <w:bookmarkStart w:id="82" w:name="_Toc26054"/>
                  <w:bookmarkStart w:id="83" w:name="_Toc27848"/>
                  <w:bookmarkStart w:id="84" w:name="_Toc903"/>
                  <w:r>
                    <w:rPr>
                      <w:rFonts w:hint="default" w:ascii="Times New Roman" w:hAnsi="Times New Roman" w:cs="Times New Roman" w:eastAsiaTheme="minorEastAsia"/>
                      <w:b/>
                      <w:color w:val="auto"/>
                      <w:kern w:val="0"/>
                      <w:sz w:val="21"/>
                      <w:szCs w:val="21"/>
                      <w:highlight w:val="none"/>
                    </w:rPr>
                    <w:t>国家或地方污染物排放标准浓度限值/</w:t>
                  </w:r>
                  <w:r>
                    <w:rPr>
                      <w:rFonts w:hint="eastAsia" w:cs="Times New Roman" w:eastAsiaTheme="minorEastAsia"/>
                      <w:b/>
                      <w:color w:val="auto"/>
                      <w:kern w:val="0"/>
                      <w:sz w:val="21"/>
                      <w:szCs w:val="21"/>
                      <w:highlight w:val="none"/>
                      <w:lang w:eastAsia="zh-CN"/>
                    </w:rPr>
                    <w:t>（</w:t>
                  </w:r>
                  <w:r>
                    <w:rPr>
                      <w:rFonts w:hint="default" w:ascii="Times New Roman" w:hAnsi="Times New Roman" w:cs="Times New Roman" w:eastAsiaTheme="minorEastAsia"/>
                      <w:b/>
                      <w:color w:val="auto"/>
                      <w:kern w:val="0"/>
                      <w:sz w:val="21"/>
                      <w:szCs w:val="21"/>
                      <w:highlight w:val="none"/>
                    </w:rPr>
                    <w:t>mg/L</w:t>
                  </w:r>
                  <w:bookmarkEnd w:id="80"/>
                  <w:bookmarkEnd w:id="81"/>
                  <w:bookmarkEnd w:id="82"/>
                  <w:bookmarkEnd w:id="83"/>
                  <w:bookmarkEnd w:id="84"/>
                  <w:r>
                    <w:rPr>
                      <w:rFonts w:hint="eastAsia" w:cs="Times New Roman" w:eastAsiaTheme="minorEastAsia"/>
                      <w:b/>
                      <w:color w:val="auto"/>
                      <w:kern w:val="0"/>
                      <w:sz w:val="21"/>
                      <w:szCs w:val="21"/>
                      <w:highlight w:val="none"/>
                      <w:lang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bookmarkStart w:id="85" w:name="_Toc17521"/>
                  <w:bookmarkStart w:id="86" w:name="_Toc6847"/>
                  <w:bookmarkStart w:id="87" w:name="_Toc23233"/>
                  <w:bookmarkStart w:id="88" w:name="_Toc24653"/>
                  <w:bookmarkStart w:id="89" w:name="_Toc25535"/>
                  <w:r>
                    <w:rPr>
                      <w:rFonts w:hint="default" w:ascii="Times New Roman" w:hAnsi="Times New Roman" w:cs="Times New Roman" w:eastAsiaTheme="minorEastAsia"/>
                      <w:color w:val="auto"/>
                      <w:kern w:val="0"/>
                      <w:sz w:val="21"/>
                      <w:szCs w:val="21"/>
                      <w:highlight w:val="none"/>
                    </w:rPr>
                    <w:t>1</w:t>
                  </w:r>
                  <w:bookmarkEnd w:id="85"/>
                  <w:bookmarkEnd w:id="86"/>
                  <w:bookmarkEnd w:id="87"/>
                  <w:bookmarkEnd w:id="88"/>
                  <w:bookmarkEnd w:id="89"/>
                </w:p>
              </w:tc>
              <w:tc>
                <w:tcPr>
                  <w:tcW w:w="758"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bookmarkStart w:id="90" w:name="_Toc9467"/>
                  <w:bookmarkStart w:id="91" w:name="_Toc3988"/>
                  <w:bookmarkStart w:id="92" w:name="_Toc27783"/>
                  <w:bookmarkStart w:id="93" w:name="_Toc27714"/>
                  <w:bookmarkStart w:id="94" w:name="_Toc943"/>
                  <w:r>
                    <w:rPr>
                      <w:rFonts w:hint="default" w:ascii="Times New Roman" w:hAnsi="Times New Roman" w:cs="Times New Roman" w:eastAsiaTheme="minorEastAsia"/>
                      <w:color w:val="auto"/>
                      <w:kern w:val="0"/>
                      <w:sz w:val="21"/>
                      <w:szCs w:val="21"/>
                      <w:highlight w:val="none"/>
                    </w:rPr>
                    <w:t>DW</w:t>
                  </w:r>
                  <w:bookmarkEnd w:id="90"/>
                  <w:bookmarkEnd w:id="91"/>
                  <w:bookmarkEnd w:id="92"/>
                  <w:r>
                    <w:rPr>
                      <w:rFonts w:hint="default" w:ascii="Times New Roman" w:hAnsi="Times New Roman" w:cs="Times New Roman" w:eastAsiaTheme="minorEastAsia"/>
                      <w:color w:val="auto"/>
                      <w:kern w:val="0"/>
                      <w:sz w:val="21"/>
                      <w:szCs w:val="21"/>
                      <w:highlight w:val="none"/>
                    </w:rPr>
                    <w:t>00</w:t>
                  </w:r>
                  <w:bookmarkEnd w:id="93"/>
                  <w:bookmarkEnd w:id="94"/>
                  <w:r>
                    <w:rPr>
                      <w:rFonts w:hint="default" w:ascii="Times New Roman" w:hAnsi="Times New Roman" w:cs="Times New Roman" w:eastAsiaTheme="minorEastAsia"/>
                      <w:color w:val="auto"/>
                      <w:kern w:val="0"/>
                      <w:sz w:val="21"/>
                      <w:szCs w:val="21"/>
                      <w:highlight w:val="none"/>
                    </w:rPr>
                    <w:t>1</w:t>
                  </w:r>
                </w:p>
              </w:tc>
              <w:tc>
                <w:tcPr>
                  <w:tcW w:w="758"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eastAsia" w:ascii="Times New Roman" w:hAnsi="Times New Roman" w:cs="Times New Roman" w:eastAsiaTheme="minorEastAsia"/>
                      <w:snapToGrid w:val="0"/>
                      <w:color w:val="auto"/>
                      <w:sz w:val="21"/>
                      <w:szCs w:val="21"/>
                      <w:highlight w:val="none"/>
                      <w:lang w:val="en-US" w:eastAsia="zh-CN"/>
                    </w:rPr>
                    <w:t>120.521659</w:t>
                  </w:r>
                  <w:r>
                    <w:rPr>
                      <w:rFonts w:hint="default" w:ascii="Times New Roman" w:hAnsi="Times New Roman" w:cs="Times New Roman" w:eastAsiaTheme="minorEastAsia"/>
                      <w:snapToGrid w:val="0"/>
                      <w:color w:val="auto"/>
                      <w:sz w:val="21"/>
                      <w:szCs w:val="21"/>
                      <w:highlight w:val="none"/>
                    </w:rPr>
                    <w:t>°</w:t>
                  </w:r>
                </w:p>
              </w:tc>
              <w:tc>
                <w:tcPr>
                  <w:tcW w:w="750"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eastAsia" w:ascii="Times New Roman" w:hAnsi="Times New Roman" w:cs="Times New Roman" w:eastAsiaTheme="minorEastAsia"/>
                      <w:snapToGrid w:val="0"/>
                      <w:color w:val="auto"/>
                      <w:sz w:val="21"/>
                      <w:szCs w:val="21"/>
                      <w:highlight w:val="none"/>
                      <w:lang w:val="en-US" w:eastAsia="zh-CN"/>
                    </w:rPr>
                    <w:t>32.415903</w:t>
                  </w:r>
                  <w:r>
                    <w:rPr>
                      <w:rFonts w:hint="default" w:ascii="Times New Roman" w:hAnsi="Times New Roman" w:cs="Times New Roman" w:eastAsiaTheme="minorEastAsia"/>
                      <w:snapToGrid w:val="0"/>
                      <w:color w:val="auto"/>
                      <w:sz w:val="21"/>
                      <w:szCs w:val="21"/>
                      <w:highlight w:val="none"/>
                    </w:rPr>
                    <w:t>°</w:t>
                  </w:r>
                </w:p>
              </w:tc>
              <w:tc>
                <w:tcPr>
                  <w:tcW w:w="723"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lang w:val="en-US" w:eastAsia="zh-CN"/>
                    </w:rPr>
                  </w:pPr>
                  <w:r>
                    <w:rPr>
                      <w:rFonts w:hint="eastAsia" w:cs="Times New Roman" w:eastAsiaTheme="minorEastAsia"/>
                      <w:color w:val="auto"/>
                      <w:kern w:val="0"/>
                      <w:sz w:val="21"/>
                      <w:szCs w:val="21"/>
                      <w:highlight w:val="none"/>
                      <w:lang w:val="en-US" w:eastAsia="zh-CN"/>
                    </w:rPr>
                    <w:t>0.171</w:t>
                  </w:r>
                </w:p>
              </w:tc>
              <w:tc>
                <w:tcPr>
                  <w:tcW w:w="668"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lang w:eastAsia="zh-CN"/>
                    </w:rPr>
                  </w:pPr>
                  <w:r>
                    <w:rPr>
                      <w:rFonts w:hint="eastAsia" w:cs="Times New Roman" w:eastAsiaTheme="minorEastAsia"/>
                      <w:color w:val="auto"/>
                      <w:sz w:val="21"/>
                      <w:szCs w:val="21"/>
                      <w:highlight w:val="none"/>
                      <w:lang w:eastAsia="zh-CN"/>
                    </w:rPr>
                    <w:t>如皋恒发水处理有限公司</w:t>
                  </w:r>
                </w:p>
              </w:tc>
              <w:tc>
                <w:tcPr>
                  <w:tcW w:w="927"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bookmarkStart w:id="95" w:name="_Toc4419"/>
                  <w:bookmarkStart w:id="96" w:name="_Toc24230"/>
                  <w:bookmarkStart w:id="97" w:name="_Toc21841"/>
                  <w:bookmarkStart w:id="98" w:name="_Toc7655"/>
                  <w:bookmarkStart w:id="99" w:name="_Toc14822"/>
                  <w:r>
                    <w:rPr>
                      <w:rFonts w:hint="default" w:ascii="Times New Roman" w:hAnsi="Times New Roman" w:cs="Times New Roman" w:eastAsiaTheme="minorEastAsia"/>
                      <w:color w:val="auto"/>
                      <w:kern w:val="0"/>
                      <w:sz w:val="21"/>
                      <w:szCs w:val="21"/>
                      <w:highlight w:val="none"/>
                    </w:rPr>
                    <w:t>间断排放，排放期间流量不稳定</w:t>
                  </w:r>
                  <w:bookmarkEnd w:id="95"/>
                  <w:bookmarkEnd w:id="96"/>
                  <w:bookmarkEnd w:id="97"/>
                  <w:bookmarkEnd w:id="98"/>
                  <w:bookmarkEnd w:id="99"/>
                  <w:r>
                    <w:rPr>
                      <w:rFonts w:hint="default" w:ascii="Times New Roman" w:hAnsi="Times New Roman" w:cs="Times New Roman" w:eastAsiaTheme="minorEastAsia"/>
                      <w:color w:val="auto"/>
                      <w:kern w:val="0"/>
                      <w:sz w:val="21"/>
                      <w:szCs w:val="21"/>
                      <w:highlight w:val="none"/>
                    </w:rPr>
                    <w:t>，但不属于冲击性排放</w:t>
                  </w:r>
                </w:p>
              </w:tc>
              <w:tc>
                <w:tcPr>
                  <w:tcW w:w="436"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bookmarkStart w:id="100" w:name="_Toc1252"/>
                  <w:bookmarkStart w:id="101" w:name="_Toc32255"/>
                  <w:bookmarkStart w:id="102" w:name="_Toc11209"/>
                  <w:bookmarkStart w:id="103" w:name="_Toc23213"/>
                  <w:r>
                    <w:rPr>
                      <w:rFonts w:hint="default" w:ascii="Times New Roman" w:hAnsi="Times New Roman" w:cs="Times New Roman" w:eastAsiaTheme="minorEastAsia"/>
                      <w:color w:val="auto"/>
                      <w:kern w:val="0"/>
                      <w:sz w:val="21"/>
                      <w:szCs w:val="21"/>
                      <w:highlight w:val="none"/>
                    </w:rPr>
                    <w:t>/</w:t>
                  </w:r>
                  <w:bookmarkEnd w:id="100"/>
                  <w:bookmarkEnd w:id="101"/>
                  <w:bookmarkEnd w:id="102"/>
                  <w:bookmarkEnd w:id="103"/>
                </w:p>
              </w:tc>
              <w:tc>
                <w:tcPr>
                  <w:tcW w:w="676" w:type="dxa"/>
                  <w:vMerge w:val="restart"/>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lang w:eastAsia="zh-CN"/>
                    </w:rPr>
                  </w:pPr>
                  <w:r>
                    <w:rPr>
                      <w:rFonts w:hint="eastAsia" w:cs="Times New Roman" w:eastAsiaTheme="minorEastAsia"/>
                      <w:color w:val="auto"/>
                      <w:sz w:val="21"/>
                      <w:szCs w:val="21"/>
                      <w:highlight w:val="none"/>
                      <w:lang w:eastAsia="zh-CN"/>
                    </w:rPr>
                    <w:t>如皋恒发水处理有限公司</w:t>
                  </w: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pH</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6~9（无量纲）</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0"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7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COD</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50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0"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7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SS</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10</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0"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7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NH</w:t>
                  </w:r>
                  <w:r>
                    <w:rPr>
                      <w:rFonts w:hint="default" w:ascii="Times New Roman" w:hAnsi="Times New Roman" w:cs="Times New Roman" w:eastAsiaTheme="minorEastAsia"/>
                      <w:color w:val="auto"/>
                      <w:kern w:val="0"/>
                      <w:sz w:val="21"/>
                      <w:szCs w:val="21"/>
                      <w:highlight w:val="none"/>
                      <w:vertAlign w:val="subscript"/>
                    </w:rPr>
                    <w:t>3</w:t>
                  </w:r>
                  <w:r>
                    <w:rPr>
                      <w:rFonts w:hint="default" w:ascii="Times New Roman" w:hAnsi="Times New Roman" w:cs="Times New Roman" w:eastAsiaTheme="minorEastAsia"/>
                      <w:color w:val="auto"/>
                      <w:kern w:val="0"/>
                      <w:sz w:val="21"/>
                      <w:szCs w:val="21"/>
                      <w:highlight w:val="none"/>
                    </w:rPr>
                    <w:t>-N</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5（8）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0"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7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TN</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15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jc w:val="center"/>
              </w:trPr>
              <w:tc>
                <w:tcPr>
                  <w:tcW w:w="411"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50"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23"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68"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927"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43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676" w:type="dxa"/>
                  <w:vMerge w:val="continue"/>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p>
              </w:tc>
              <w:tc>
                <w:tcPr>
                  <w:tcW w:w="771"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TP</w:t>
                  </w:r>
                </w:p>
              </w:tc>
              <w:tc>
                <w:tcPr>
                  <w:tcW w:w="1060" w:type="dxa"/>
                  <w:tcBorders>
                    <w:tl2br w:val="nil"/>
                    <w:tr2bl w:val="nil"/>
                  </w:tcBorders>
                  <w:vAlign w:val="center"/>
                </w:tcPr>
                <w:p>
                  <w:pPr>
                    <w:widowControl/>
                    <w:snapToGrid w:val="0"/>
                    <w:jc w:val="center"/>
                    <w:rPr>
                      <w:rFonts w:hint="default" w:ascii="Times New Roman" w:hAnsi="Times New Roman" w:cs="Times New Roman" w:eastAsiaTheme="minorEastAsia"/>
                      <w:color w:val="auto"/>
                      <w:kern w:val="0"/>
                      <w:sz w:val="21"/>
                      <w:szCs w:val="21"/>
                      <w:highlight w:val="none"/>
                    </w:rPr>
                  </w:pPr>
                  <w:r>
                    <w:rPr>
                      <w:rFonts w:hint="default" w:ascii="Times New Roman" w:hAnsi="Times New Roman" w:cs="Times New Roman" w:eastAsiaTheme="minorEastAsia"/>
                      <w:color w:val="auto"/>
                      <w:kern w:val="0"/>
                      <w:sz w:val="21"/>
                      <w:szCs w:val="21"/>
                      <w:highlight w:val="none"/>
                    </w:rPr>
                    <w:t>0.5</w:t>
                  </w:r>
                </w:p>
              </w:tc>
            </w:tr>
          </w:tbl>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、废水处理工艺</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化粪池处理工艺流程说明：化粪池采用钢砼结构，地下封闭式。污水进入化粪池经过12～24h的沉淀，少量的COD、SS。沉淀下来的污泥经过3个月以上的厌氧消化，使污泥中的有机物分解成稳定的无机物，易腐败的生污泥转化为稳定的熟污泥，改变了污泥的结构，降低了污泥的含水率。项目废水经化粪池处理后接管</w:t>
            </w:r>
            <w:r>
              <w:rPr>
                <w:rFonts w:hint="eastAsia" w:cs="Times New Roman"/>
                <w:color w:val="auto"/>
                <w:kern w:val="0"/>
                <w:sz w:val="24"/>
                <w:szCs w:val="24"/>
                <w:highlight w:val="none"/>
                <w:lang w:val="en-US" w:eastAsia="zh-CN"/>
              </w:rPr>
              <w:t>如皋恒发水处理有限公司</w:t>
            </w:r>
            <w:r>
              <w:rPr>
                <w:rFonts w:hint="default" w:ascii="Times New Roman" w:hAnsi="Times New Roman" w:cs="Times New Roman"/>
                <w:color w:val="auto"/>
                <w:kern w:val="0"/>
                <w:sz w:val="24"/>
                <w:szCs w:val="24"/>
                <w:highlight w:val="none"/>
              </w:rPr>
              <w:t>。</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eastAsia" w:cs="Times New Roman"/>
                <w:color w:val="auto"/>
                <w:kern w:val="0"/>
                <w:sz w:val="24"/>
                <w:szCs w:val="24"/>
                <w:highlight w:val="none"/>
                <w:lang w:val="en-US" w:eastAsia="zh-CN"/>
              </w:rPr>
              <w:t>4</w:t>
            </w:r>
            <w:r>
              <w:rPr>
                <w:rFonts w:hint="default" w:ascii="Times New Roman" w:hAnsi="Times New Roman" w:cs="Times New Roman"/>
                <w:color w:val="auto"/>
                <w:kern w:val="0"/>
                <w:sz w:val="24"/>
                <w:szCs w:val="24"/>
                <w:highlight w:val="none"/>
              </w:rPr>
              <w:t>、依托污水处理设施的环境可行性</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①规模上的可行性</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如皋恒发污水处理有限公司已建成处理能力40000m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rPr>
              <w:t>/d，采用水解+氧化沟处理工艺对废水进行处理，处理后出水排入通扬运河。污水厂一期工程于2007年2月通过环保验收，二期工程于2009年12月建成并试运行，2010年4月通过了环保验收，2014年完成提标改造工程。开发区内现有工业废水、生活污水部分已接管至污水处理厂集中处理，尾水排入通扬运河。排放的尾水执行《城镇污水处理厂污染物排放标准》（GB18918-2002）表1中一级A标准。本项目</w:t>
            </w:r>
            <w:r>
              <w:rPr>
                <w:rFonts w:hint="eastAsia" w:cs="Times New Roman"/>
                <w:color w:val="auto"/>
                <w:kern w:val="0"/>
                <w:sz w:val="24"/>
                <w:szCs w:val="24"/>
                <w:highlight w:val="none"/>
                <w:lang w:val="en-US" w:eastAsia="zh-CN"/>
              </w:rPr>
              <w:t>现在</w:t>
            </w:r>
            <w:r>
              <w:rPr>
                <w:rFonts w:hint="default" w:ascii="Times New Roman" w:hAnsi="Times New Roman" w:cs="Times New Roman"/>
                <w:color w:val="auto"/>
                <w:kern w:val="0"/>
                <w:sz w:val="24"/>
                <w:szCs w:val="24"/>
                <w:highlight w:val="none"/>
              </w:rPr>
              <w:t>废水排放量为</w:t>
            </w:r>
            <w:r>
              <w:rPr>
                <w:rFonts w:hint="eastAsia" w:cs="Times New Roman"/>
                <w:color w:val="auto"/>
                <w:kern w:val="0"/>
                <w:sz w:val="24"/>
                <w:szCs w:val="24"/>
                <w:highlight w:val="none"/>
                <w:lang w:val="en-US" w:eastAsia="zh-CN"/>
              </w:rPr>
              <w:t>1080</w:t>
            </w:r>
            <w:r>
              <w:rPr>
                <w:rFonts w:hint="default" w:ascii="Times New Roman" w:hAnsi="Times New Roman" w:cs="Times New Roman"/>
                <w:color w:val="auto"/>
                <w:kern w:val="0"/>
                <w:sz w:val="24"/>
                <w:szCs w:val="24"/>
                <w:highlight w:val="none"/>
              </w:rPr>
              <w:t>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rPr>
              <w:t>/a（</w:t>
            </w:r>
            <w:r>
              <w:rPr>
                <w:rFonts w:hint="eastAsia" w:cs="Times New Roman"/>
                <w:color w:val="auto"/>
                <w:kern w:val="0"/>
                <w:sz w:val="24"/>
                <w:szCs w:val="24"/>
                <w:highlight w:val="none"/>
                <w:lang w:val="en-US" w:eastAsia="zh-CN"/>
              </w:rPr>
              <w:t>3.6</w:t>
            </w:r>
            <w:r>
              <w:rPr>
                <w:rFonts w:hint="default" w:ascii="Times New Roman" w:hAnsi="Times New Roman" w:cs="Times New Roman"/>
                <w:color w:val="auto"/>
                <w:kern w:val="0"/>
                <w:sz w:val="24"/>
                <w:szCs w:val="24"/>
                <w:highlight w:val="none"/>
              </w:rPr>
              <w:t>m</w:t>
            </w:r>
            <w:r>
              <w:rPr>
                <w:rFonts w:hint="default" w:ascii="Times New Roman" w:hAnsi="Times New Roman" w:cs="Times New Roman"/>
                <w:color w:val="auto"/>
                <w:kern w:val="0"/>
                <w:sz w:val="24"/>
                <w:szCs w:val="24"/>
                <w:highlight w:val="none"/>
                <w:vertAlign w:val="superscript"/>
              </w:rPr>
              <w:t>3</w:t>
            </w:r>
            <w:r>
              <w:rPr>
                <w:rFonts w:hint="default" w:ascii="Times New Roman" w:hAnsi="Times New Roman" w:cs="Times New Roman"/>
                <w:color w:val="auto"/>
                <w:kern w:val="0"/>
                <w:sz w:val="24"/>
                <w:szCs w:val="24"/>
                <w:highlight w:val="none"/>
              </w:rPr>
              <w:t>/d），能够纳入该污水处理厂处理。</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②处理工艺上的可行性</w:t>
            </w:r>
          </w:p>
          <w:p>
            <w:pPr>
              <w:adjustRightInd w:val="0"/>
              <w:snapToGrid w:val="0"/>
              <w:spacing w:line="360" w:lineRule="auto"/>
              <w:ind w:firstLine="480" w:firstLineChars="20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如皋恒发污水处理有限公司采用改良型卡鲁赛尔氧化沟工艺，出水经消毒池液氯消毒，最后利用提升泵排入通扬运河，处理过程中产生的污泥排入污泥浓缩池浓缩后再脱水处理成泥饼，外运待安全处置。根据污水厂现有工程的处理效率对比，按照设计处理工艺在正常运行情况下，废水能够保证达到设计的处理效率，达标排放。具体流程见图4-</w:t>
            </w:r>
            <w:r>
              <w:rPr>
                <w:rFonts w:hint="eastAsia" w:cs="Times New Roman"/>
                <w:color w:val="auto"/>
                <w:kern w:val="0"/>
                <w:sz w:val="24"/>
                <w:szCs w:val="24"/>
                <w:highlight w:val="none"/>
                <w:lang w:val="en-US" w:eastAsia="zh-CN"/>
              </w:rPr>
              <w:t>3</w:t>
            </w:r>
            <w:r>
              <w:rPr>
                <w:rFonts w:hint="default" w:ascii="Times New Roman" w:hAnsi="Times New Roman" w:cs="Times New Roman"/>
                <w:color w:val="auto"/>
                <w:kern w:val="0"/>
                <w:sz w:val="24"/>
                <w:szCs w:val="24"/>
                <w:highlight w:val="none"/>
              </w:rPr>
              <w:t>。</w:t>
            </w:r>
          </w:p>
          <w:tbl>
            <w:tblPr>
              <w:tblStyle w:val="26"/>
              <w:tblW w:w="8916"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1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8916" w:type="dxa"/>
                  <w:tcBorders>
                    <w:tl2br w:val="nil"/>
                    <w:tr2bl w:val="nil"/>
                  </w:tcBorders>
                  <w:noWrap w:val="0"/>
                  <w:vAlign w:val="top"/>
                </w:tcPr>
                <w:p>
                  <w:pPr>
                    <w:pStyle w:val="4"/>
                    <w:jc w:val="center"/>
                    <w:rPr>
                      <w:rFonts w:hint="default"/>
                      <w:color w:val="auto"/>
                      <w:highlight w:val="none"/>
                      <w:vertAlign w:val="baseline"/>
                      <w:lang w:val="en-US" w:eastAsia="zh-CN"/>
                    </w:rPr>
                  </w:pPr>
                  <w:r>
                    <w:rPr>
                      <w:color w:val="auto"/>
                      <w:highlight w:val="none"/>
                    </w:rPr>
                    <w:drawing>
                      <wp:inline distT="0" distB="0" distL="114300" distR="114300">
                        <wp:extent cx="4696460" cy="1449705"/>
                        <wp:effectExtent l="0" t="0" r="8890" b="17145"/>
                        <wp:docPr id="4"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7"/>
                                <pic:cNvPicPr>
                                  <a:picLocks noChangeAspect="1"/>
                                </pic:cNvPicPr>
                              </pic:nvPicPr>
                              <pic:blipFill>
                                <a:blip r:embed="rId28"/>
                                <a:srcRect b="-4070"/>
                                <a:stretch>
                                  <a:fillRect/>
                                </a:stretch>
                              </pic:blipFill>
                              <pic:spPr>
                                <a:xfrm>
                                  <a:off x="0" y="0"/>
                                  <a:ext cx="4696460" cy="1449705"/>
                                </a:xfrm>
                                <a:prstGeom prst="rect">
                                  <a:avLst/>
                                </a:prstGeom>
                                <a:noFill/>
                                <a:ln>
                                  <a:noFill/>
                                </a:ln>
                              </pic:spPr>
                            </pic:pic>
                          </a:graphicData>
                        </a:graphic>
                      </wp:inline>
                    </w:drawing>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jc w:val="center"/>
              </w:trPr>
              <w:tc>
                <w:tcPr>
                  <w:tcW w:w="8916" w:type="dxa"/>
                  <w:tcBorders>
                    <w:tl2br w:val="nil"/>
                    <w:tr2bl w:val="nil"/>
                  </w:tcBorders>
                  <w:noWrap w:val="0"/>
                  <w:vAlign w:val="top"/>
                </w:tcPr>
                <w:p>
                  <w:pPr>
                    <w:pStyle w:val="4"/>
                    <w:jc w:val="center"/>
                    <w:rPr>
                      <w:rFonts w:hint="default"/>
                      <w:color w:val="auto"/>
                      <w:highlight w:val="none"/>
                      <w:vertAlign w:val="baseline"/>
                      <w:lang w:val="en-US" w:eastAsia="zh-CN"/>
                    </w:rPr>
                  </w:pPr>
                  <w:r>
                    <w:rPr>
                      <w:rFonts w:hint="eastAsia" w:ascii="Times New Roman" w:hAnsi="Times New Roman" w:eastAsia="宋体" w:cs="Times New Roman"/>
                      <w:b/>
                      <w:bCs/>
                      <w:color w:val="auto"/>
                      <w:kern w:val="2"/>
                      <w:sz w:val="24"/>
                      <w:szCs w:val="32"/>
                      <w:highlight w:val="none"/>
                      <w:lang w:val="en-US" w:eastAsia="zh-CN" w:bidi="ar-SA"/>
                    </w:rPr>
                    <w:t>图4-3如皋恒发污水处理工艺流程</w:t>
                  </w:r>
                </w:p>
              </w:tc>
            </w:tr>
          </w:tbl>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③水质的可行性</w:t>
            </w:r>
          </w:p>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default" w:ascii="Times New Roman" w:hAnsi="Times New Roman" w:eastAsia="宋体" w:cs="Times New Roman"/>
                <w:color w:val="auto"/>
                <w:kern w:val="0"/>
                <w:sz w:val="24"/>
                <w:szCs w:val="24"/>
                <w:highlight w:val="none"/>
              </w:rPr>
              <w:t>建设项目实行“雨污分流”制，</w:t>
            </w:r>
            <w:r>
              <w:rPr>
                <w:rFonts w:hint="eastAsia" w:ascii="Times New Roman" w:hAnsi="Times New Roman" w:eastAsia="宋体" w:cs="Times New Roman"/>
                <w:color w:val="auto"/>
                <w:kern w:val="0"/>
                <w:sz w:val="24"/>
                <w:szCs w:val="24"/>
                <w:highlight w:val="none"/>
                <w:lang w:eastAsia="zh-CN"/>
              </w:rPr>
              <w:t>后期</w:t>
            </w:r>
            <w:r>
              <w:rPr>
                <w:rFonts w:hint="default" w:ascii="Times New Roman" w:hAnsi="Times New Roman" w:eastAsia="宋体" w:cs="Times New Roman"/>
                <w:color w:val="auto"/>
                <w:kern w:val="0"/>
                <w:sz w:val="24"/>
                <w:szCs w:val="24"/>
                <w:highlight w:val="none"/>
              </w:rPr>
              <w:t>雨水经收集排入雨水管网，最终汇入</w:t>
            </w:r>
            <w:r>
              <w:rPr>
                <w:rFonts w:hint="eastAsia" w:cs="Times New Roman"/>
                <w:color w:val="auto"/>
                <w:kern w:val="0"/>
                <w:sz w:val="24"/>
                <w:szCs w:val="24"/>
                <w:highlight w:val="none"/>
                <w:lang w:val="en-US" w:eastAsia="zh-CN"/>
              </w:rPr>
              <w:t>四清河</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eastAsia="zh-CN"/>
              </w:rPr>
              <w:t>本项目</w:t>
            </w:r>
            <w:r>
              <w:rPr>
                <w:rFonts w:hint="eastAsia" w:ascii="Times New Roman" w:hAnsi="Times New Roman" w:eastAsia="宋体" w:cs="Times New Roman"/>
                <w:color w:val="auto"/>
                <w:kern w:val="0"/>
                <w:sz w:val="24"/>
                <w:szCs w:val="24"/>
                <w:highlight w:val="none"/>
                <w:lang w:val="en-US" w:eastAsia="zh-CN"/>
              </w:rPr>
              <w:t>生活污水经化粪池处理后</w:t>
            </w:r>
            <w:r>
              <w:rPr>
                <w:rFonts w:hint="default" w:ascii="Times New Roman" w:hAnsi="Times New Roman" w:eastAsia="宋体" w:cs="Times New Roman"/>
                <w:color w:val="auto"/>
                <w:kern w:val="0"/>
                <w:sz w:val="24"/>
                <w:szCs w:val="24"/>
                <w:highlight w:val="none"/>
              </w:rPr>
              <w:t>接管至如皋市恒发污水处理厂集中处理，尾水排入通扬运河</w:t>
            </w:r>
            <w:r>
              <w:rPr>
                <w:rFonts w:hint="eastAsia" w:ascii="Times New Roman" w:hAnsi="Times New Roman" w:eastAsia="宋体" w:cs="Times New Roman"/>
                <w:color w:val="auto"/>
                <w:kern w:val="0"/>
                <w:sz w:val="24"/>
                <w:szCs w:val="24"/>
                <w:highlight w:val="none"/>
                <w:lang w:val="en-US" w:eastAsia="zh-CN"/>
              </w:rPr>
              <w:t>，对周围水环境影响较小。</w:t>
            </w:r>
          </w:p>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④管网建设</w:t>
            </w:r>
          </w:p>
          <w:p>
            <w:pPr>
              <w:adjustRightInd w:val="0"/>
              <w:snapToGrid w:val="0"/>
              <w:spacing w:line="360" w:lineRule="auto"/>
              <w:ind w:firstLine="480" w:firstLineChars="200"/>
              <w:rPr>
                <w:rFonts w:hint="eastAsia" w:ascii="Times New Roman" w:hAnsi="Times New Roman" w:eastAsia="宋体" w:cs="Times New Roman"/>
                <w:color w:val="auto"/>
                <w:kern w:val="0"/>
                <w:sz w:val="24"/>
                <w:szCs w:val="24"/>
                <w:highlight w:val="none"/>
                <w:lang w:val="en-US" w:eastAsia="zh-CN"/>
              </w:rPr>
            </w:pPr>
            <w:r>
              <w:rPr>
                <w:rFonts w:hint="eastAsia" w:ascii="Times New Roman" w:hAnsi="Times New Roman" w:eastAsia="宋体" w:cs="Times New Roman"/>
                <w:color w:val="auto"/>
                <w:kern w:val="0"/>
                <w:sz w:val="24"/>
                <w:szCs w:val="24"/>
                <w:highlight w:val="none"/>
                <w:lang w:val="en-US" w:eastAsia="zh-CN"/>
              </w:rPr>
              <w:t>本项目位于</w:t>
            </w:r>
            <w:r>
              <w:rPr>
                <w:rFonts w:hint="default" w:ascii="Times New Roman" w:hAnsi="Times New Roman" w:eastAsia="宋体" w:cs="Times New Roman"/>
                <w:color w:val="auto"/>
                <w:kern w:val="0"/>
                <w:sz w:val="24"/>
                <w:szCs w:val="24"/>
                <w:highlight w:val="none"/>
                <w:lang w:val="en-US" w:eastAsia="zh-CN"/>
              </w:rPr>
              <w:t>江苏省如皋市城北街道起凤西路118号</w:t>
            </w:r>
            <w:r>
              <w:rPr>
                <w:rFonts w:hint="eastAsia" w:ascii="Times New Roman" w:hAnsi="Times New Roman" w:eastAsia="宋体" w:cs="Times New Roman"/>
                <w:color w:val="auto"/>
                <w:kern w:val="0"/>
                <w:sz w:val="24"/>
                <w:szCs w:val="24"/>
                <w:highlight w:val="none"/>
                <w:lang w:val="en-US" w:eastAsia="zh-CN"/>
              </w:rPr>
              <w:t>，在污水管网覆盖范围内。城北街道区域内的污水管网布置依照污水厂的位置和城北街道的水域分布及地形布置，尽量做到支管、干管、主干管的布置顺直。</w:t>
            </w:r>
          </w:p>
          <w:p>
            <w:pPr>
              <w:adjustRightInd w:val="0"/>
              <w:snapToGrid w:val="0"/>
              <w:spacing w:line="360" w:lineRule="auto"/>
              <w:ind w:firstLine="480" w:firstLineChars="200"/>
              <w:rPr>
                <w:rFonts w:hint="default" w:ascii="Times New Roman" w:hAnsi="Times New Roman" w:eastAsia="宋体" w:cs="Times New Roman"/>
                <w:b w:val="0"/>
                <w:bCs w:val="0"/>
                <w:color w:val="auto"/>
                <w:kern w:val="0"/>
                <w:sz w:val="24"/>
                <w:szCs w:val="24"/>
                <w:highlight w:val="none"/>
              </w:rPr>
            </w:pPr>
            <w:r>
              <w:rPr>
                <w:rFonts w:hint="eastAsia" w:ascii="Times New Roman" w:hAnsi="Times New Roman" w:eastAsia="宋体" w:cs="Times New Roman"/>
                <w:b w:val="0"/>
                <w:bCs w:val="0"/>
                <w:color w:val="auto"/>
                <w:kern w:val="0"/>
                <w:sz w:val="24"/>
                <w:szCs w:val="24"/>
                <w:highlight w:val="none"/>
                <w:lang w:val="en-US" w:eastAsia="zh-CN"/>
              </w:rPr>
              <w:t>综上所述，如皋市恒发污水处理有限公司能够并有能力接管处理本项目的废水，经处理后的废水达标排放通扬运河。</w:t>
            </w:r>
          </w:p>
          <w:p>
            <w:pPr>
              <w:pStyle w:val="22"/>
              <w:snapToGrid w:val="0"/>
              <w:spacing w:before="0" w:beforeAutospacing="0" w:after="0" w:afterAutospacing="0" w:line="360" w:lineRule="auto"/>
              <w:ind w:firstLine="480" w:firstLineChars="200"/>
              <w:jc w:val="both"/>
              <w:outlineLvl w:val="0"/>
              <w:rPr>
                <w:rFonts w:hint="default" w:ascii="Times New Roman" w:hAnsi="Times New Roman" w:cs="Times New Roman"/>
                <w:b w:val="0"/>
                <w:bCs w:val="0"/>
                <w:color w:val="auto"/>
                <w:sz w:val="24"/>
                <w:szCs w:val="24"/>
                <w:highlight w:val="none"/>
              </w:rPr>
            </w:pPr>
            <w:bookmarkStart w:id="104" w:name="_Toc77166267"/>
            <w:r>
              <w:rPr>
                <w:rFonts w:hint="eastAsia" w:ascii="Times New Roman" w:hAnsi="Times New Roman" w:cs="Times New Roman"/>
                <w:b w:val="0"/>
                <w:bCs w:val="0"/>
                <w:color w:val="auto"/>
                <w:sz w:val="24"/>
                <w:szCs w:val="24"/>
                <w:highlight w:val="none"/>
                <w:lang w:val="en-US" w:eastAsia="zh-CN"/>
              </w:rPr>
              <w:t>5</w:t>
            </w:r>
            <w:r>
              <w:rPr>
                <w:rFonts w:hint="default" w:ascii="Times New Roman" w:hAnsi="Times New Roman" w:cs="Times New Roman"/>
                <w:b w:val="0"/>
                <w:bCs w:val="0"/>
                <w:color w:val="auto"/>
                <w:sz w:val="24"/>
                <w:szCs w:val="24"/>
                <w:highlight w:val="none"/>
              </w:rPr>
              <w:t>、监测要求</w:t>
            </w:r>
            <w:bookmarkEnd w:id="104"/>
          </w:p>
          <w:p>
            <w:pPr>
              <w:pStyle w:val="22"/>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bookmarkStart w:id="105" w:name="_Toc77166268"/>
            <w:r>
              <w:rPr>
                <w:rFonts w:hint="default" w:ascii="Times New Roman" w:hAnsi="Times New Roman" w:cs="Times New Roman"/>
                <w:color w:val="auto"/>
                <w:sz w:val="24"/>
                <w:szCs w:val="24"/>
                <w:highlight w:val="none"/>
              </w:rPr>
              <w:t>1）例行监测：企业应按照《排污单位自行监测技术指南总则》（HJ819-2017）、《固定污染源排污许可分类管理目录》相关要求，开展废水污染源监测。</w:t>
            </w:r>
            <w:r>
              <w:rPr>
                <w:rFonts w:hint="default" w:ascii="Times New Roman" w:hAnsi="Times New Roman" w:cs="Times New Roman" w:eastAsiaTheme="minorEastAsia"/>
                <w:snapToGrid w:val="0"/>
                <w:color w:val="auto"/>
                <w:sz w:val="24"/>
                <w:szCs w:val="24"/>
                <w:highlight w:val="none"/>
              </w:rPr>
              <w:t>本项目废水监测点位、监测指标及最低监测频次见表4.2-</w:t>
            </w:r>
            <w:r>
              <w:rPr>
                <w:rFonts w:hint="eastAsia" w:ascii="Times New Roman" w:hAnsi="Times New Roman" w:cs="Times New Roman" w:eastAsiaTheme="minorEastAsia"/>
                <w:snapToGrid w:val="0"/>
                <w:color w:val="auto"/>
                <w:sz w:val="24"/>
                <w:szCs w:val="24"/>
                <w:highlight w:val="none"/>
                <w:lang w:val="en-US" w:eastAsia="zh-CN"/>
              </w:rPr>
              <w:t>6</w:t>
            </w:r>
            <w:r>
              <w:rPr>
                <w:rFonts w:hint="default" w:ascii="Times New Roman" w:hAnsi="Times New Roman" w:cs="Times New Roman" w:eastAsiaTheme="minorEastAsia"/>
                <w:snapToGrid w:val="0"/>
                <w:color w:val="auto"/>
                <w:sz w:val="24"/>
                <w:szCs w:val="24"/>
                <w:highlight w:val="none"/>
              </w:rPr>
              <w:t>。</w:t>
            </w:r>
            <w:bookmarkEnd w:id="105"/>
          </w:p>
          <w:p>
            <w:pPr>
              <w:jc w:val="center"/>
              <w:rPr>
                <w:rFonts w:hint="default" w:ascii="Times New Roman" w:hAnsi="Times New Roman" w:cs="Times New Roman"/>
                <w:b/>
                <w:bCs/>
                <w:color w:val="auto"/>
                <w:sz w:val="24"/>
                <w:szCs w:val="32"/>
                <w:highlight w:val="none"/>
                <w:lang w:val="en-US" w:eastAsia="zh-CN"/>
              </w:rPr>
            </w:pPr>
            <w:bookmarkStart w:id="106" w:name="_Toc77166269"/>
            <w:r>
              <w:rPr>
                <w:rFonts w:hint="default" w:ascii="Times New Roman" w:hAnsi="Times New Roman" w:cs="Times New Roman"/>
                <w:b/>
                <w:bCs/>
                <w:color w:val="auto"/>
                <w:sz w:val="24"/>
                <w:szCs w:val="32"/>
                <w:highlight w:val="none"/>
                <w:lang w:val="en-US" w:eastAsia="zh-CN"/>
              </w:rPr>
              <w:t>表4.2-</w:t>
            </w:r>
            <w:r>
              <w:rPr>
                <w:rFonts w:hint="eastAsia" w:cs="Times New Roman"/>
                <w:b/>
                <w:bCs/>
                <w:color w:val="auto"/>
                <w:sz w:val="24"/>
                <w:szCs w:val="32"/>
                <w:highlight w:val="none"/>
                <w:lang w:val="en-US" w:eastAsia="zh-CN"/>
              </w:rPr>
              <w:t>6</w:t>
            </w:r>
            <w:r>
              <w:rPr>
                <w:rFonts w:hint="default" w:ascii="Times New Roman" w:hAnsi="Times New Roman" w:cs="Times New Roman"/>
                <w:b/>
                <w:bCs/>
                <w:color w:val="auto"/>
                <w:sz w:val="24"/>
                <w:szCs w:val="32"/>
                <w:highlight w:val="none"/>
                <w:lang w:val="en-US" w:eastAsia="zh-CN"/>
              </w:rPr>
              <w:t>本项目废水监测点位、监测指标及最低监测频次一览表</w:t>
            </w:r>
            <w:bookmarkEnd w:id="106"/>
          </w:p>
          <w:tbl>
            <w:tblPr>
              <w:tblStyle w:val="26"/>
              <w:tblW w:w="7938"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63"/>
              <w:gridCol w:w="1580"/>
              <w:gridCol w:w="1872"/>
              <w:gridCol w:w="30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07" w:name="_Toc77166270"/>
                  <w:r>
                    <w:rPr>
                      <w:rFonts w:hint="default" w:ascii="Times New Roman" w:hAnsi="Times New Roman" w:cs="Times New Roman" w:eastAsiaTheme="minorEastAsia"/>
                      <w:snapToGrid w:val="0"/>
                      <w:color w:val="auto"/>
                      <w:sz w:val="21"/>
                      <w:szCs w:val="21"/>
                      <w:highlight w:val="none"/>
                    </w:rPr>
                    <w:t>监测点位</w:t>
                  </w:r>
                  <w:bookmarkEnd w:id="107"/>
                </w:p>
              </w:tc>
              <w:tc>
                <w:tcPr>
                  <w:tcW w:w="1580"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08" w:name="_Toc77166271"/>
                  <w:r>
                    <w:rPr>
                      <w:rFonts w:hint="default" w:ascii="Times New Roman" w:hAnsi="Times New Roman" w:cs="Times New Roman" w:eastAsiaTheme="minorEastAsia"/>
                      <w:snapToGrid w:val="0"/>
                      <w:color w:val="auto"/>
                      <w:sz w:val="21"/>
                      <w:szCs w:val="21"/>
                      <w:highlight w:val="none"/>
                    </w:rPr>
                    <w:t>监测指标</w:t>
                  </w:r>
                  <w:bookmarkEnd w:id="108"/>
                </w:p>
              </w:tc>
              <w:tc>
                <w:tcPr>
                  <w:tcW w:w="1872"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09" w:name="_Toc77166272"/>
                  <w:r>
                    <w:rPr>
                      <w:rFonts w:hint="default" w:ascii="Times New Roman" w:hAnsi="Times New Roman" w:cs="Times New Roman" w:eastAsiaTheme="minorEastAsia"/>
                      <w:snapToGrid w:val="0"/>
                      <w:color w:val="auto"/>
                      <w:sz w:val="21"/>
                      <w:szCs w:val="21"/>
                      <w:highlight w:val="none"/>
                    </w:rPr>
                    <w:t>最低监测频次</w:t>
                  </w:r>
                  <w:bookmarkEnd w:id="109"/>
                </w:p>
              </w:tc>
              <w:tc>
                <w:tcPr>
                  <w:tcW w:w="3023" w:type="dxa"/>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r>
                    <w:rPr>
                      <w:rFonts w:hint="default" w:ascii="Times New Roman" w:hAnsi="Times New Roman" w:cs="Times New Roman" w:eastAsiaTheme="minorEastAsia"/>
                      <w:snapToGrid w:val="0"/>
                      <w:color w:val="auto"/>
                      <w:sz w:val="21"/>
                      <w:szCs w:val="21"/>
                      <w:highlight w:val="none"/>
                      <w:lang w:val="en-US" w:eastAsia="zh-CN"/>
                    </w:rPr>
                    <w:t>执行排放标准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21"/>
                      <w:szCs w:val="21"/>
                      <w:highlight w:val="none"/>
                    </w:rPr>
                    <w:t>废水总排口</w:t>
                  </w:r>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olor w:val="auto"/>
                      <w:sz w:val="21"/>
                    </w:rPr>
                    <w:t>pH</w:t>
                  </w:r>
                </w:p>
              </w:tc>
              <w:tc>
                <w:tcPr>
                  <w:tcW w:w="1872"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r>
                    <w:rPr>
                      <w:rFonts w:hint="eastAsia" w:ascii="Times New Roman" w:hAnsi="Times New Roman" w:cs="Times New Roman" w:eastAsiaTheme="minorEastAsia"/>
                      <w:snapToGrid w:val="0"/>
                      <w:color w:val="auto"/>
                      <w:sz w:val="21"/>
                      <w:szCs w:val="21"/>
                      <w:highlight w:val="none"/>
                      <w:lang w:val="en-US" w:eastAsia="zh-CN"/>
                    </w:rPr>
                    <w:t>1次/年</w:t>
                  </w:r>
                </w:p>
              </w:tc>
              <w:tc>
                <w:tcPr>
                  <w:tcW w:w="3023" w:type="dxa"/>
                  <w:vMerge w:val="restart"/>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r>
                    <w:rPr>
                      <w:rFonts w:hint="default" w:ascii="Times New Roman" w:hAnsi="Times New Roman" w:cs="Times New Roman" w:eastAsiaTheme="minorEastAsia"/>
                      <w:snapToGrid w:val="0"/>
                      <w:color w:val="auto"/>
                      <w:sz w:val="21"/>
                      <w:szCs w:val="21"/>
                      <w:highlight w:val="none"/>
                      <w:lang w:val="en-US" w:eastAsia="zh-CN"/>
                    </w:rPr>
                    <w:t>《污水综合排放标准》（GB8978-1996）表4中三级标准；《污水排入城镇下水道水质标准》（GB/T31962-2015）B级标准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79" w:hRule="atLeast"/>
              </w:trPr>
              <w:tc>
                <w:tcPr>
                  <w:tcW w:w="146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bookmarkStart w:id="110" w:name="_Toc77166283"/>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olor w:val="auto"/>
                      <w:sz w:val="21"/>
                    </w:rPr>
                    <w:t>COD</w:t>
                  </w:r>
                </w:p>
              </w:tc>
              <w:tc>
                <w:tcPr>
                  <w:tcW w:w="1872"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302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olor w:val="auto"/>
                      <w:sz w:val="21"/>
                    </w:rPr>
                    <w:t>SS</w:t>
                  </w:r>
                </w:p>
              </w:tc>
              <w:tc>
                <w:tcPr>
                  <w:tcW w:w="1872"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302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color w:val="auto"/>
                      <w:kern w:val="0"/>
                      <w:sz w:val="21"/>
                    </w:rPr>
                    <w:t>NH</w:t>
                  </w:r>
                  <w:r>
                    <w:rPr>
                      <w:color w:val="auto"/>
                      <w:kern w:val="0"/>
                      <w:sz w:val="21"/>
                      <w:vertAlign w:val="subscript"/>
                    </w:rPr>
                    <w:t>3</w:t>
                  </w:r>
                  <w:r>
                    <w:rPr>
                      <w:color w:val="auto"/>
                      <w:kern w:val="0"/>
                      <w:sz w:val="21"/>
                    </w:rPr>
                    <w:t>-N</w:t>
                  </w:r>
                </w:p>
              </w:tc>
              <w:tc>
                <w:tcPr>
                  <w:tcW w:w="1872"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302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color w:val="auto"/>
                      <w:kern w:val="0"/>
                      <w:sz w:val="21"/>
                    </w:rPr>
                    <w:t>TN</w:t>
                  </w:r>
                </w:p>
              </w:tc>
              <w:tc>
                <w:tcPr>
                  <w:tcW w:w="1872"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3023" w:type="dxa"/>
                  <w:vMerge w:val="continue"/>
                  <w:tcBorders>
                    <w:tl2br w:val="nil"/>
                    <w:tr2bl w:val="nil"/>
                  </w:tcBorders>
                  <w:vAlign w:val="center"/>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463" w:type="dxa"/>
                  <w:vMerge w:val="continue"/>
                  <w:tcBorders>
                    <w:tl2br w:val="nil"/>
                    <w:tr2bl w:val="nil"/>
                  </w:tcBorders>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1580"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color w:val="auto"/>
                      <w:kern w:val="0"/>
                      <w:sz w:val="21"/>
                    </w:rPr>
                    <w:t>TP</w:t>
                  </w:r>
                </w:p>
              </w:tc>
              <w:tc>
                <w:tcPr>
                  <w:tcW w:w="1872" w:type="dxa"/>
                  <w:vMerge w:val="continue"/>
                  <w:tcBorders>
                    <w:tl2br w:val="nil"/>
                    <w:tr2bl w:val="nil"/>
                  </w:tcBorders>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rPr>
                  </w:pPr>
                </w:p>
              </w:tc>
              <w:tc>
                <w:tcPr>
                  <w:tcW w:w="3023" w:type="dxa"/>
                  <w:vMerge w:val="continue"/>
                  <w:tcBorders>
                    <w:tl2br w:val="nil"/>
                    <w:tr2bl w:val="nil"/>
                  </w:tcBorders>
                </w:tcPr>
                <w:p>
                  <w:pPr>
                    <w:pStyle w:val="22"/>
                    <w:snapToGrid w:val="0"/>
                    <w:spacing w:before="0" w:beforeAutospacing="0" w:after="0" w:afterAutospacing="0"/>
                    <w:jc w:val="center"/>
                    <w:outlineLvl w:val="0"/>
                    <w:rPr>
                      <w:rFonts w:hint="default" w:ascii="Times New Roman" w:hAnsi="Times New Roman" w:cs="Times New Roman" w:eastAsiaTheme="minorEastAsia"/>
                      <w:snapToGrid w:val="0"/>
                      <w:color w:val="auto"/>
                      <w:sz w:val="21"/>
                      <w:szCs w:val="21"/>
                      <w:highlight w:val="none"/>
                      <w:lang w:val="en-US" w:eastAsia="zh-CN"/>
                    </w:rPr>
                  </w:pPr>
                </w:p>
              </w:tc>
            </w:tr>
          </w:tbl>
          <w:p>
            <w:pPr>
              <w:pStyle w:val="22"/>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snapToGrid w:val="0"/>
                <w:color w:val="auto"/>
                <w:sz w:val="24"/>
                <w:szCs w:val="24"/>
                <w:highlight w:val="none"/>
              </w:rPr>
              <w:t>2）验收监测</w:t>
            </w:r>
            <w:bookmarkEnd w:id="110"/>
          </w:p>
          <w:p>
            <w:pPr>
              <w:pStyle w:val="22"/>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bookmarkStart w:id="111" w:name="_Toc77166284"/>
            <w:r>
              <w:rPr>
                <w:rFonts w:hint="default" w:ascii="Times New Roman" w:hAnsi="Times New Roman" w:cs="Times New Roman" w:eastAsiaTheme="minorEastAsia"/>
                <w:snapToGrid w:val="0"/>
                <w:color w:val="auto"/>
                <w:sz w:val="24"/>
                <w:szCs w:val="24"/>
                <w:highlight w:val="none"/>
              </w:rPr>
              <w:t>项目废水验收监测方案见表4.2-</w:t>
            </w:r>
            <w:r>
              <w:rPr>
                <w:rFonts w:hint="eastAsia" w:ascii="Times New Roman" w:hAnsi="Times New Roman" w:cs="Times New Roman" w:eastAsiaTheme="minorEastAsia"/>
                <w:snapToGrid w:val="0"/>
                <w:color w:val="auto"/>
                <w:sz w:val="24"/>
                <w:szCs w:val="24"/>
                <w:highlight w:val="none"/>
                <w:lang w:val="en-US" w:eastAsia="zh-CN"/>
              </w:rPr>
              <w:t>7</w:t>
            </w:r>
            <w:r>
              <w:rPr>
                <w:rFonts w:hint="default" w:ascii="Times New Roman" w:hAnsi="Times New Roman" w:cs="Times New Roman" w:eastAsiaTheme="minorEastAsia"/>
                <w:snapToGrid w:val="0"/>
                <w:color w:val="auto"/>
                <w:sz w:val="24"/>
                <w:szCs w:val="24"/>
                <w:highlight w:val="none"/>
              </w:rPr>
              <w:t>。</w:t>
            </w:r>
            <w:bookmarkEnd w:id="111"/>
          </w:p>
          <w:p>
            <w:pPr>
              <w:jc w:val="center"/>
              <w:rPr>
                <w:rFonts w:hint="default" w:ascii="Times New Roman" w:hAnsi="Times New Roman" w:cs="Times New Roman"/>
                <w:b/>
                <w:bCs/>
                <w:color w:val="auto"/>
                <w:sz w:val="24"/>
                <w:szCs w:val="32"/>
                <w:highlight w:val="none"/>
                <w:lang w:val="en-US" w:eastAsia="zh-CN"/>
              </w:rPr>
            </w:pPr>
            <w:bookmarkStart w:id="112" w:name="_Toc77166285"/>
            <w:r>
              <w:rPr>
                <w:rFonts w:hint="default" w:ascii="Times New Roman" w:hAnsi="Times New Roman" w:cs="Times New Roman"/>
                <w:b/>
                <w:bCs/>
                <w:color w:val="auto"/>
                <w:sz w:val="24"/>
                <w:szCs w:val="32"/>
                <w:highlight w:val="none"/>
                <w:lang w:val="en-US" w:eastAsia="zh-CN"/>
              </w:rPr>
              <w:t>表4.2</w:t>
            </w:r>
            <w:r>
              <w:rPr>
                <w:rFonts w:hint="eastAsia" w:ascii="Times New Roman" w:hAnsi="Times New Roman" w:cs="Times New Roman"/>
                <w:b/>
                <w:bCs/>
                <w:color w:val="auto"/>
                <w:sz w:val="24"/>
                <w:szCs w:val="32"/>
                <w:highlight w:val="none"/>
                <w:lang w:val="en-US" w:eastAsia="zh-CN"/>
              </w:rPr>
              <w:t>-</w:t>
            </w:r>
            <w:r>
              <w:rPr>
                <w:rFonts w:hint="eastAsia" w:cs="Times New Roman"/>
                <w:b/>
                <w:bCs/>
                <w:color w:val="auto"/>
                <w:sz w:val="24"/>
                <w:szCs w:val="32"/>
                <w:highlight w:val="none"/>
                <w:lang w:val="en-US" w:eastAsia="zh-CN"/>
              </w:rPr>
              <w:t>7</w:t>
            </w:r>
            <w:r>
              <w:rPr>
                <w:rFonts w:hint="default" w:ascii="Times New Roman" w:hAnsi="Times New Roman" w:cs="Times New Roman"/>
                <w:b/>
                <w:bCs/>
                <w:color w:val="auto"/>
                <w:sz w:val="24"/>
                <w:szCs w:val="32"/>
                <w:highlight w:val="none"/>
                <w:lang w:val="en-US" w:eastAsia="zh-CN"/>
              </w:rPr>
              <w:t>项目废水验收监测方案一览表</w:t>
            </w:r>
            <w:bookmarkEnd w:id="112"/>
          </w:p>
          <w:tbl>
            <w:tblPr>
              <w:tblStyle w:val="25"/>
              <w:tblW w:w="793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19"/>
              <w:gridCol w:w="1075"/>
              <w:gridCol w:w="1863"/>
              <w:gridCol w:w="1201"/>
              <w:gridCol w:w="912"/>
              <w:gridCol w:w="166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219"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Cs/>
                      <w:color w:val="auto"/>
                      <w:kern w:val="0"/>
                      <w:sz w:val="21"/>
                      <w:szCs w:val="21"/>
                      <w:highlight w:val="none"/>
                    </w:rPr>
                  </w:pPr>
                  <w:r>
                    <w:rPr>
                      <w:rFonts w:hint="default" w:ascii="Times New Roman" w:hAnsi="Times New Roman" w:cs="Times New Roman" w:eastAsiaTheme="minorEastAsia"/>
                      <w:bCs/>
                      <w:color w:val="auto"/>
                      <w:kern w:val="0"/>
                      <w:sz w:val="21"/>
                      <w:szCs w:val="21"/>
                      <w:highlight w:val="none"/>
                    </w:rPr>
                    <w:t>环境要素</w:t>
                  </w:r>
                </w:p>
              </w:tc>
              <w:tc>
                <w:tcPr>
                  <w:tcW w:w="1075"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Cs/>
                      <w:color w:val="auto"/>
                      <w:kern w:val="0"/>
                      <w:sz w:val="21"/>
                      <w:szCs w:val="21"/>
                      <w:highlight w:val="none"/>
                    </w:rPr>
                  </w:pPr>
                  <w:r>
                    <w:rPr>
                      <w:rFonts w:hint="default" w:ascii="Times New Roman" w:hAnsi="Times New Roman" w:cs="Times New Roman" w:eastAsiaTheme="minorEastAsia"/>
                      <w:bCs/>
                      <w:color w:val="auto"/>
                      <w:kern w:val="0"/>
                      <w:sz w:val="21"/>
                      <w:szCs w:val="21"/>
                      <w:highlight w:val="none"/>
                    </w:rPr>
                    <w:t>监测位置</w:t>
                  </w:r>
                </w:p>
              </w:tc>
              <w:tc>
                <w:tcPr>
                  <w:tcW w:w="1863"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监测因子</w:t>
                  </w:r>
                </w:p>
              </w:tc>
              <w:tc>
                <w:tcPr>
                  <w:tcW w:w="1201"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监测项目</w:t>
                  </w:r>
                </w:p>
              </w:tc>
              <w:tc>
                <w:tcPr>
                  <w:tcW w:w="912"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频次</w:t>
                  </w:r>
                </w:p>
              </w:tc>
              <w:tc>
                <w:tcPr>
                  <w:tcW w:w="1668"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jc w:val="center"/>
              </w:trPr>
              <w:tc>
                <w:tcPr>
                  <w:tcW w:w="1219"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Cs/>
                      <w:color w:val="auto"/>
                      <w:kern w:val="0"/>
                      <w:sz w:val="21"/>
                      <w:szCs w:val="21"/>
                      <w:highlight w:val="none"/>
                    </w:rPr>
                  </w:pPr>
                  <w:r>
                    <w:rPr>
                      <w:rFonts w:hint="default" w:ascii="Times New Roman" w:hAnsi="Times New Roman" w:cs="Times New Roman" w:eastAsiaTheme="minorEastAsia"/>
                      <w:bCs/>
                      <w:color w:val="auto"/>
                      <w:kern w:val="0"/>
                      <w:sz w:val="21"/>
                      <w:szCs w:val="21"/>
                      <w:highlight w:val="none"/>
                    </w:rPr>
                    <w:t>废水</w:t>
                  </w:r>
                </w:p>
              </w:tc>
              <w:tc>
                <w:tcPr>
                  <w:tcW w:w="1075"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Cs/>
                      <w:color w:val="auto"/>
                      <w:kern w:val="0"/>
                      <w:sz w:val="21"/>
                      <w:szCs w:val="21"/>
                      <w:highlight w:val="none"/>
                      <w:lang w:val="en-US" w:eastAsia="zh-CN" w:bidi="ar-SA"/>
                    </w:rPr>
                  </w:pPr>
                  <w:r>
                    <w:rPr>
                      <w:rFonts w:hint="default" w:ascii="Times New Roman" w:hAnsi="Times New Roman" w:cs="Times New Roman" w:eastAsiaTheme="minorEastAsia"/>
                      <w:bCs/>
                      <w:color w:val="auto"/>
                      <w:kern w:val="0"/>
                      <w:sz w:val="21"/>
                      <w:szCs w:val="21"/>
                      <w:highlight w:val="none"/>
                    </w:rPr>
                    <w:t>总排放口</w:t>
                  </w:r>
                </w:p>
              </w:tc>
              <w:tc>
                <w:tcPr>
                  <w:tcW w:w="1863" w:type="dxa"/>
                  <w:tcBorders>
                    <w:tl2br w:val="nil"/>
                    <w:tr2bl w:val="nil"/>
                  </w:tcBorders>
                  <w:shd w:val="clear" w:color="auto" w:fill="auto"/>
                  <w:vAlign w:val="center"/>
                </w:tcPr>
                <w:p>
                  <w:pPr>
                    <w:pStyle w:val="5"/>
                    <w:adjustRightInd w:val="0"/>
                    <w:snapToGrid w:val="0"/>
                    <w:spacing w:before="0" w:after="0" w:line="240" w:lineRule="auto"/>
                    <w:jc w:val="center"/>
                    <w:rPr>
                      <w:rFonts w:hint="default" w:ascii="Times New Roman" w:hAnsi="Times New Roman" w:cs="Times New Roman" w:eastAsiaTheme="minorEastAsia"/>
                      <w:b w:val="0"/>
                      <w:bCs/>
                      <w:color w:val="auto"/>
                      <w:kern w:val="0"/>
                      <w:sz w:val="21"/>
                      <w:szCs w:val="21"/>
                      <w:highlight w:val="none"/>
                      <w:lang w:val="en-US" w:eastAsia="zh-CN" w:bidi="ar-SA"/>
                    </w:rPr>
                  </w:pPr>
                  <w:r>
                    <w:rPr>
                      <w:rFonts w:hint="default" w:ascii="Times New Roman" w:hAnsi="Times New Roman" w:cs="Times New Roman" w:eastAsiaTheme="minorEastAsia"/>
                      <w:b w:val="0"/>
                      <w:bCs/>
                      <w:color w:val="auto"/>
                      <w:kern w:val="0"/>
                      <w:sz w:val="21"/>
                      <w:szCs w:val="21"/>
                      <w:highlight w:val="none"/>
                    </w:rPr>
                    <w:t>pH、COD、SS、氨氮、TN、TP</w:t>
                  </w:r>
                </w:p>
              </w:tc>
              <w:tc>
                <w:tcPr>
                  <w:tcW w:w="1201"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出口浓度</w:t>
                  </w:r>
                </w:p>
              </w:tc>
              <w:tc>
                <w:tcPr>
                  <w:tcW w:w="912"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2天，每天4次</w:t>
                  </w:r>
                </w:p>
              </w:tc>
              <w:tc>
                <w:tcPr>
                  <w:tcW w:w="1668" w:type="dxa"/>
                  <w:tcBorders>
                    <w:tl2br w:val="nil"/>
                    <w:tr2bl w:val="nil"/>
                  </w:tcBorders>
                  <w:shd w:val="clear" w:color="auto" w:fill="auto"/>
                  <w:vAlign w:val="center"/>
                </w:tcPr>
                <w:p>
                  <w:pPr>
                    <w:widowControl/>
                    <w:adjustRightInd w:val="0"/>
                    <w:snapToGrid w:val="0"/>
                    <w:jc w:val="center"/>
                    <w:rPr>
                      <w:rFonts w:hint="default" w:ascii="Times New Roman" w:hAnsi="Times New Roman" w:cs="Times New Roman" w:eastAsiaTheme="minorEastAsia"/>
                      <w:b w:val="0"/>
                      <w:bCs/>
                      <w:color w:val="auto"/>
                      <w:kern w:val="0"/>
                      <w:sz w:val="21"/>
                      <w:szCs w:val="21"/>
                      <w:highlight w:val="none"/>
                    </w:rPr>
                  </w:pPr>
                  <w:r>
                    <w:rPr>
                      <w:rFonts w:hint="default" w:ascii="Times New Roman" w:hAnsi="Times New Roman" w:cs="Times New Roman" w:eastAsiaTheme="minorEastAsia"/>
                      <w:b w:val="0"/>
                      <w:bCs/>
                      <w:color w:val="auto"/>
                      <w:kern w:val="0"/>
                      <w:sz w:val="21"/>
                      <w:szCs w:val="21"/>
                      <w:highlight w:val="none"/>
                    </w:rPr>
                    <w:t>委托有监测能力的单位实施监测</w:t>
                  </w:r>
                  <w:r>
                    <w:rPr>
                      <w:rFonts w:hint="default" w:ascii="Times New Roman" w:hAnsi="Times New Roman" w:cs="Times New Roman" w:eastAsiaTheme="minorEastAsia"/>
                      <w:b w:val="0"/>
                      <w:bCs/>
                      <w:color w:val="auto"/>
                      <w:kern w:val="0"/>
                      <w:sz w:val="21"/>
                      <w:szCs w:val="21"/>
                      <w:highlight w:val="none"/>
                      <w:lang w:eastAsia="zh-CN"/>
                    </w:rPr>
                    <w:t>，</w:t>
                  </w:r>
                  <w:r>
                    <w:rPr>
                      <w:rFonts w:hint="default" w:ascii="Times New Roman" w:hAnsi="Times New Roman" w:cs="Times New Roman" w:eastAsiaTheme="minorEastAsia"/>
                      <w:b w:val="0"/>
                      <w:bCs/>
                      <w:color w:val="auto"/>
                      <w:kern w:val="0"/>
                      <w:sz w:val="21"/>
                      <w:szCs w:val="21"/>
                      <w:highlight w:val="none"/>
                    </w:rPr>
                    <w:t>具体以后期验收监测方案为准</w:t>
                  </w:r>
                </w:p>
              </w:tc>
            </w:tr>
          </w:tbl>
          <w:p>
            <w:pPr>
              <w:adjustRightInd w:val="0"/>
              <w:snapToGrid w:val="0"/>
              <w:spacing w:line="360" w:lineRule="auto"/>
              <w:ind w:firstLine="480" w:firstLineChars="200"/>
              <w:rPr>
                <w:rFonts w:hint="default" w:ascii="Times New Roman" w:hAnsi="Times New Roman" w:cs="Times New Roman"/>
                <w:b w:val="0"/>
                <w:bCs/>
                <w:color w:val="auto"/>
                <w:kern w:val="0"/>
                <w:sz w:val="24"/>
                <w:szCs w:val="24"/>
                <w:highlight w:val="none"/>
              </w:rPr>
            </w:pPr>
            <w:r>
              <w:rPr>
                <w:rFonts w:hint="eastAsia" w:cs="Times New Roman"/>
                <w:b w:val="0"/>
                <w:bCs/>
                <w:color w:val="auto"/>
                <w:kern w:val="0"/>
                <w:sz w:val="24"/>
                <w:szCs w:val="24"/>
                <w:highlight w:val="none"/>
                <w:lang w:val="en-US" w:eastAsia="zh-CN"/>
              </w:rPr>
              <w:t>6</w:t>
            </w:r>
            <w:r>
              <w:rPr>
                <w:rFonts w:hint="default" w:ascii="Times New Roman" w:hAnsi="Times New Roman" w:cs="Times New Roman"/>
                <w:b w:val="0"/>
                <w:bCs/>
                <w:color w:val="auto"/>
                <w:kern w:val="0"/>
                <w:sz w:val="24"/>
                <w:szCs w:val="24"/>
                <w:highlight w:val="none"/>
              </w:rPr>
              <w:t>、废水非正常排放监控处理措施</w:t>
            </w:r>
          </w:p>
          <w:p>
            <w:pPr>
              <w:pStyle w:val="22"/>
              <w:adjustRightInd w:val="0"/>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b w:val="0"/>
                <w:bCs/>
                <w:snapToGrid w:val="0"/>
                <w:color w:val="auto"/>
                <w:sz w:val="24"/>
                <w:szCs w:val="24"/>
                <w:highlight w:val="none"/>
              </w:rPr>
              <w:t>当污水处理措施发生故障时，废水未经处</w:t>
            </w:r>
            <w:r>
              <w:rPr>
                <w:rFonts w:hint="default" w:ascii="Times New Roman" w:hAnsi="Times New Roman" w:cs="Times New Roman" w:eastAsiaTheme="minorEastAsia"/>
                <w:snapToGrid w:val="0"/>
                <w:color w:val="auto"/>
                <w:sz w:val="24"/>
                <w:szCs w:val="24"/>
                <w:highlight w:val="none"/>
              </w:rPr>
              <w:t>理直接进入</w:t>
            </w:r>
            <w:r>
              <w:rPr>
                <w:rFonts w:hint="eastAsia" w:ascii="Times New Roman" w:hAnsi="Times New Roman" w:cs="Times New Roman" w:eastAsiaTheme="minorEastAsia"/>
                <w:snapToGrid w:val="0"/>
                <w:color w:val="auto"/>
                <w:sz w:val="24"/>
                <w:szCs w:val="24"/>
                <w:highlight w:val="none"/>
                <w:lang w:eastAsia="zh-CN"/>
              </w:rPr>
              <w:t>如皋恒发水处理有限公司</w:t>
            </w:r>
            <w:r>
              <w:rPr>
                <w:rFonts w:hint="default" w:ascii="Times New Roman" w:hAnsi="Times New Roman" w:cs="Times New Roman" w:eastAsiaTheme="minorEastAsia"/>
                <w:snapToGrid w:val="0"/>
                <w:color w:val="auto"/>
                <w:sz w:val="24"/>
                <w:szCs w:val="24"/>
                <w:highlight w:val="none"/>
              </w:rPr>
              <w:t>时，会对其处理设施造成一定冲击，为避免生产废水的非正常排放，应采取以下措施：</w:t>
            </w:r>
          </w:p>
          <w:p>
            <w:pPr>
              <w:pStyle w:val="22"/>
              <w:adjustRightInd w:val="0"/>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snapToGrid w:val="0"/>
                <w:color w:val="auto"/>
                <w:sz w:val="24"/>
                <w:szCs w:val="24"/>
                <w:highlight w:val="none"/>
              </w:rPr>
              <w:t>①严禁污水处理装置超负荷运行，确保废水达标排放。当污水处理装置发生故障时，应停止生产，待污水处理装置恢复正常工作后方可重新生产。</w:t>
            </w:r>
          </w:p>
          <w:p>
            <w:pPr>
              <w:pStyle w:val="22"/>
              <w:adjustRightInd w:val="0"/>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snapToGrid w:val="0"/>
                <w:color w:val="auto"/>
                <w:sz w:val="24"/>
                <w:szCs w:val="24"/>
                <w:highlight w:val="none"/>
              </w:rPr>
              <w:t>②定期巡查、调节、保养和维修，及时发现有可能引起故障的异常运行苗头，消除事故隐患。</w:t>
            </w:r>
          </w:p>
          <w:p>
            <w:pPr>
              <w:pStyle w:val="22"/>
              <w:adjustRightInd w:val="0"/>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rPr>
            </w:pPr>
            <w:r>
              <w:rPr>
                <w:rFonts w:hint="default" w:ascii="Times New Roman" w:hAnsi="Times New Roman" w:cs="Times New Roman" w:eastAsiaTheme="minorEastAsia"/>
                <w:snapToGrid w:val="0"/>
                <w:color w:val="auto"/>
                <w:sz w:val="24"/>
                <w:szCs w:val="24"/>
                <w:highlight w:val="none"/>
              </w:rPr>
              <w:t>③加强污水处理装置管理人员的理论和操作技能培训</w:t>
            </w:r>
            <w:r>
              <w:rPr>
                <w:rFonts w:hint="default" w:ascii="Times New Roman" w:hAnsi="Times New Roman" w:cs="Times New Roman" w:eastAsiaTheme="minorEastAsia"/>
                <w:snapToGrid w:val="0"/>
                <w:color w:val="auto"/>
                <w:sz w:val="24"/>
                <w:szCs w:val="24"/>
                <w:highlight w:val="none"/>
                <w:lang w:eastAsia="zh-CN"/>
              </w:rPr>
              <w:t>；</w:t>
            </w:r>
            <w:r>
              <w:rPr>
                <w:rFonts w:hint="default" w:ascii="Times New Roman" w:hAnsi="Times New Roman" w:cs="Times New Roman" w:eastAsiaTheme="minorEastAsia"/>
                <w:snapToGrid w:val="0"/>
                <w:color w:val="auto"/>
                <w:sz w:val="24"/>
                <w:szCs w:val="24"/>
                <w:highlight w:val="none"/>
              </w:rPr>
              <w:t>加强管理和进出水的监测工作，未经处理的废水严禁外排。</w:t>
            </w:r>
          </w:p>
          <w:p>
            <w:pPr>
              <w:pStyle w:val="22"/>
              <w:adjustRightInd w:val="0"/>
              <w:snapToGrid w:val="0"/>
              <w:spacing w:before="0" w:beforeAutospacing="0" w:after="0" w:afterAutospacing="0" w:line="360" w:lineRule="auto"/>
              <w:ind w:firstLine="480" w:firstLineChars="200"/>
              <w:jc w:val="both"/>
              <w:outlineLvl w:val="0"/>
              <w:rPr>
                <w:rFonts w:hint="default" w:ascii="Times New Roman" w:hAnsi="Times New Roman" w:cs="Times New Roman" w:eastAsiaTheme="minorEastAsia"/>
                <w:snapToGrid w:val="0"/>
                <w:color w:val="auto"/>
                <w:sz w:val="24"/>
                <w:szCs w:val="24"/>
                <w:highlight w:val="none"/>
                <w:lang w:val="en-US" w:eastAsia="zh-CN"/>
              </w:rPr>
            </w:pPr>
            <w:r>
              <w:rPr>
                <w:rFonts w:hint="eastAsia" w:ascii="Times New Roman" w:hAnsi="Times New Roman" w:cs="Times New Roman" w:eastAsiaTheme="minorEastAsia"/>
                <w:snapToGrid w:val="0"/>
                <w:color w:val="auto"/>
                <w:sz w:val="24"/>
                <w:szCs w:val="24"/>
                <w:highlight w:val="none"/>
                <w:lang w:val="en-US" w:eastAsia="zh-CN"/>
              </w:rPr>
              <w:t>8</w:t>
            </w:r>
            <w:r>
              <w:rPr>
                <w:rFonts w:hint="default" w:ascii="Times New Roman" w:hAnsi="Times New Roman" w:cs="Times New Roman" w:eastAsiaTheme="minorEastAsia"/>
                <w:snapToGrid w:val="0"/>
                <w:color w:val="auto"/>
                <w:sz w:val="24"/>
                <w:szCs w:val="24"/>
                <w:highlight w:val="none"/>
                <w:lang w:val="en-US" w:eastAsia="zh-CN"/>
              </w:rPr>
              <w:t>、废水环境影响分析结论</w:t>
            </w:r>
          </w:p>
          <w:p>
            <w:pPr>
              <w:adjustRightInd w:val="0"/>
              <w:snapToGrid w:val="0"/>
              <w:spacing w:line="360" w:lineRule="auto"/>
              <w:ind w:firstLine="480" w:firstLineChars="200"/>
              <w:rPr>
                <w:rFonts w:hint="eastAsia" w:ascii="Times New Roman" w:hAnsi="Times New Roman" w:cs="Times New Roman" w:eastAsiaTheme="minorEastAsia"/>
                <w:snapToGrid w:val="0"/>
                <w:color w:val="auto"/>
                <w:sz w:val="24"/>
                <w:szCs w:val="24"/>
                <w:highlight w:val="none"/>
                <w:lang w:val="en-US" w:eastAsia="zh-CN"/>
              </w:rPr>
            </w:pPr>
            <w:r>
              <w:rPr>
                <w:rFonts w:hint="default" w:ascii="Times New Roman" w:hAnsi="Times New Roman" w:cs="Times New Roman" w:eastAsiaTheme="minorEastAsia"/>
                <w:snapToGrid w:val="0"/>
                <w:color w:val="auto"/>
                <w:sz w:val="24"/>
                <w:szCs w:val="24"/>
                <w:highlight w:val="none"/>
                <w:lang w:val="en-US" w:eastAsia="zh-CN"/>
              </w:rPr>
              <w:t>本项目实施雨污分流，</w:t>
            </w:r>
            <w:r>
              <w:rPr>
                <w:rFonts w:hint="eastAsia" w:ascii="Times New Roman" w:hAnsi="Times New Roman" w:cs="Times New Roman" w:eastAsiaTheme="minorEastAsia"/>
                <w:snapToGrid w:val="0"/>
                <w:color w:val="auto"/>
                <w:sz w:val="24"/>
                <w:szCs w:val="24"/>
                <w:highlight w:val="none"/>
                <w:lang w:val="en-US" w:eastAsia="zh-CN"/>
              </w:rPr>
              <w:t>雨水</w:t>
            </w:r>
            <w:r>
              <w:rPr>
                <w:rFonts w:hint="default" w:ascii="Times New Roman" w:hAnsi="Times New Roman" w:eastAsia="宋体" w:cs="Times New Roman"/>
                <w:color w:val="auto"/>
                <w:kern w:val="0"/>
                <w:sz w:val="24"/>
                <w:szCs w:val="24"/>
                <w:highlight w:val="none"/>
              </w:rPr>
              <w:t>经收集排入雨水管网，最终汇入</w:t>
            </w:r>
            <w:r>
              <w:rPr>
                <w:rFonts w:hint="eastAsia" w:cs="Times New Roman"/>
                <w:color w:val="auto"/>
                <w:kern w:val="0"/>
                <w:sz w:val="24"/>
                <w:szCs w:val="24"/>
                <w:highlight w:val="none"/>
                <w:lang w:val="en-US" w:eastAsia="zh-CN"/>
              </w:rPr>
              <w:t>四清</w:t>
            </w:r>
            <w:r>
              <w:rPr>
                <w:rFonts w:hint="eastAsia" w:ascii="Times New Roman" w:hAnsi="Times New Roman" w:eastAsia="宋体" w:cs="Times New Roman"/>
                <w:color w:val="auto"/>
                <w:kern w:val="0"/>
                <w:sz w:val="24"/>
                <w:szCs w:val="24"/>
                <w:highlight w:val="none"/>
                <w:lang w:eastAsia="zh-CN"/>
              </w:rPr>
              <w:t>河</w:t>
            </w:r>
            <w:r>
              <w:rPr>
                <w:rFonts w:hint="default" w:ascii="Times New Roman" w:hAnsi="Times New Roman" w:eastAsia="宋体" w:cs="Times New Roman"/>
                <w:color w:val="auto"/>
                <w:kern w:val="0"/>
                <w:sz w:val="24"/>
                <w:szCs w:val="24"/>
                <w:highlight w:val="none"/>
              </w:rPr>
              <w:t>，</w:t>
            </w:r>
            <w:r>
              <w:rPr>
                <w:rFonts w:hint="eastAsia" w:ascii="Times New Roman" w:hAnsi="Times New Roman" w:eastAsia="宋体" w:cs="Times New Roman"/>
                <w:color w:val="auto"/>
                <w:kern w:val="0"/>
                <w:sz w:val="24"/>
                <w:szCs w:val="24"/>
                <w:highlight w:val="none"/>
                <w:lang w:eastAsia="zh-CN"/>
              </w:rPr>
              <w:t>本项目</w:t>
            </w:r>
            <w:r>
              <w:rPr>
                <w:rFonts w:hint="eastAsia" w:ascii="Times New Roman" w:hAnsi="Times New Roman" w:eastAsia="宋体" w:cs="Times New Roman"/>
                <w:color w:val="auto"/>
                <w:kern w:val="0"/>
                <w:sz w:val="24"/>
                <w:szCs w:val="24"/>
                <w:highlight w:val="none"/>
                <w:lang w:val="en-US" w:eastAsia="zh-CN"/>
              </w:rPr>
              <w:t>生活污水经化粪池处理后，</w:t>
            </w:r>
            <w:r>
              <w:rPr>
                <w:rFonts w:hint="default" w:ascii="Times New Roman" w:hAnsi="Times New Roman" w:cs="Times New Roman" w:eastAsiaTheme="minorEastAsia"/>
                <w:snapToGrid w:val="0"/>
                <w:color w:val="auto"/>
                <w:sz w:val="24"/>
                <w:szCs w:val="24"/>
                <w:highlight w:val="none"/>
                <w:lang w:val="en-US" w:eastAsia="zh-CN"/>
              </w:rPr>
              <w:t>达到《污水综合排放标准》（GB8978-1996）表4中三级标准后，</w:t>
            </w:r>
            <w:r>
              <w:rPr>
                <w:rFonts w:hint="default" w:ascii="Times New Roman" w:hAnsi="Times New Roman" w:eastAsia="宋体" w:cs="Times New Roman"/>
                <w:color w:val="auto"/>
                <w:kern w:val="0"/>
                <w:sz w:val="24"/>
                <w:szCs w:val="24"/>
                <w:highlight w:val="none"/>
              </w:rPr>
              <w:t>接管至如皋市恒发污水处理厂集中处理，</w:t>
            </w:r>
            <w:r>
              <w:rPr>
                <w:rFonts w:hint="default" w:ascii="Times New Roman" w:hAnsi="Times New Roman" w:cs="Times New Roman" w:eastAsiaTheme="minorEastAsia"/>
                <w:snapToGrid w:val="0"/>
                <w:color w:val="auto"/>
                <w:sz w:val="24"/>
                <w:szCs w:val="24"/>
                <w:highlight w:val="none"/>
                <w:lang w:val="en-US" w:eastAsia="zh-CN"/>
              </w:rPr>
              <w:t>达到《城镇污水处理厂污染物排放标准》</w:t>
            </w:r>
            <w:r>
              <w:rPr>
                <w:rFonts w:hint="eastAsia" w:cs="Times New Roman" w:eastAsiaTheme="minorEastAsia"/>
                <w:snapToGrid w:val="0"/>
                <w:color w:val="auto"/>
                <w:sz w:val="24"/>
                <w:szCs w:val="24"/>
                <w:highlight w:val="none"/>
                <w:lang w:val="en-US" w:eastAsia="zh-CN"/>
              </w:rPr>
              <w:t>（</w:t>
            </w:r>
            <w:r>
              <w:rPr>
                <w:rFonts w:hint="default" w:ascii="Times New Roman" w:hAnsi="Times New Roman" w:cs="Times New Roman" w:eastAsiaTheme="minorEastAsia"/>
                <w:snapToGrid w:val="0"/>
                <w:color w:val="auto"/>
                <w:sz w:val="24"/>
                <w:szCs w:val="24"/>
                <w:highlight w:val="none"/>
                <w:lang w:val="en-US" w:eastAsia="zh-CN"/>
              </w:rPr>
              <w:t>GB18918-2002</w:t>
            </w:r>
            <w:r>
              <w:rPr>
                <w:rFonts w:hint="eastAsia" w:cs="Times New Roman" w:eastAsiaTheme="minorEastAsia"/>
                <w:snapToGrid w:val="0"/>
                <w:color w:val="auto"/>
                <w:sz w:val="24"/>
                <w:szCs w:val="24"/>
                <w:highlight w:val="none"/>
                <w:lang w:val="en-US" w:eastAsia="zh-CN"/>
              </w:rPr>
              <w:t>）</w:t>
            </w:r>
            <w:r>
              <w:rPr>
                <w:rFonts w:hint="default" w:ascii="Times New Roman" w:hAnsi="Times New Roman" w:cs="Times New Roman" w:eastAsiaTheme="minorEastAsia"/>
                <w:snapToGrid w:val="0"/>
                <w:color w:val="auto"/>
                <w:sz w:val="24"/>
                <w:szCs w:val="24"/>
                <w:highlight w:val="none"/>
                <w:lang w:val="en-US" w:eastAsia="zh-CN"/>
              </w:rPr>
              <w:t>一级A标准后</w:t>
            </w:r>
            <w:r>
              <w:rPr>
                <w:rFonts w:hint="eastAsia" w:ascii="Times New Roman" w:hAnsi="Times New Roman" w:cs="Times New Roman" w:eastAsiaTheme="minorEastAsia"/>
                <w:snapToGrid w:val="0"/>
                <w:color w:val="auto"/>
                <w:sz w:val="24"/>
                <w:szCs w:val="24"/>
                <w:highlight w:val="none"/>
                <w:lang w:val="en-US" w:eastAsia="zh-CN"/>
              </w:rPr>
              <w:t>，</w:t>
            </w:r>
            <w:r>
              <w:rPr>
                <w:rFonts w:hint="default" w:ascii="Times New Roman" w:hAnsi="Times New Roman" w:cs="Times New Roman" w:eastAsiaTheme="minorEastAsia"/>
                <w:snapToGrid w:val="0"/>
                <w:color w:val="auto"/>
                <w:sz w:val="24"/>
                <w:szCs w:val="24"/>
                <w:highlight w:val="none"/>
                <w:lang w:val="en-US" w:eastAsia="zh-CN"/>
              </w:rPr>
              <w:t>尾水排入通扬运河</w:t>
            </w:r>
            <w:r>
              <w:rPr>
                <w:rFonts w:hint="eastAsia" w:ascii="Times New Roman" w:hAnsi="Times New Roman" w:cs="Times New Roman" w:eastAsiaTheme="minorEastAsia"/>
                <w:snapToGrid w:val="0"/>
                <w:color w:val="auto"/>
                <w:sz w:val="24"/>
                <w:szCs w:val="24"/>
                <w:highlight w:val="none"/>
                <w:lang w:val="en-US" w:eastAsia="zh-CN"/>
              </w:rPr>
              <w:t>，对周围水环境影响较小。</w:t>
            </w:r>
          </w:p>
          <w:p>
            <w:pPr>
              <w:adjustRightInd w:val="0"/>
              <w:snapToGrid w:val="0"/>
              <w:spacing w:line="360" w:lineRule="auto"/>
              <w:ind w:firstLine="482" w:firstLineChars="200"/>
              <w:rPr>
                <w:rFonts w:hint="default" w:ascii="Times New Roman" w:hAnsi="Times New Roman" w:cs="Times New Roman" w:eastAsiaTheme="minorEastAsia"/>
                <w:b/>
                <w:bCs/>
                <w:snapToGrid w:val="0"/>
                <w:color w:val="auto"/>
                <w:sz w:val="24"/>
                <w:szCs w:val="24"/>
                <w:highlight w:val="none"/>
                <w:lang w:val="en-US" w:eastAsia="zh-CN"/>
              </w:rPr>
            </w:pPr>
            <w:r>
              <w:rPr>
                <w:rFonts w:hint="default" w:ascii="Times New Roman" w:hAnsi="Times New Roman" w:cs="Times New Roman" w:eastAsiaTheme="minorEastAsia"/>
                <w:b/>
                <w:bCs/>
                <w:snapToGrid w:val="0"/>
                <w:color w:val="auto"/>
                <w:sz w:val="24"/>
                <w:szCs w:val="24"/>
                <w:highlight w:val="none"/>
                <w:lang w:val="en-US" w:eastAsia="zh-CN"/>
              </w:rPr>
              <w:t>三、噪声</w:t>
            </w:r>
          </w:p>
          <w:p>
            <w:pPr>
              <w:adjustRightInd w:val="0"/>
              <w:snapToGrid w:val="0"/>
              <w:spacing w:line="360" w:lineRule="auto"/>
              <w:ind w:firstLine="482" w:firstLineChars="200"/>
              <w:rPr>
                <w:rFonts w:hint="default" w:ascii="Times New Roman" w:hAnsi="Times New Roman" w:cs="Times New Roman" w:eastAsiaTheme="minorEastAsia"/>
                <w:b/>
                <w:bCs/>
                <w:snapToGrid w:val="0"/>
                <w:color w:val="auto"/>
                <w:sz w:val="24"/>
                <w:szCs w:val="24"/>
                <w:highlight w:val="none"/>
                <w:lang w:val="en-US" w:eastAsia="zh-CN"/>
              </w:rPr>
            </w:pPr>
            <w:bookmarkStart w:id="113" w:name="_Toc77166318"/>
            <w:r>
              <w:rPr>
                <w:rFonts w:hint="default" w:ascii="Times New Roman" w:hAnsi="Times New Roman" w:cs="Times New Roman" w:eastAsiaTheme="minorEastAsia"/>
                <w:b/>
                <w:bCs/>
                <w:snapToGrid w:val="0"/>
                <w:color w:val="auto"/>
                <w:sz w:val="24"/>
                <w:szCs w:val="24"/>
                <w:highlight w:val="none"/>
                <w:lang w:val="en-US" w:eastAsia="zh-CN"/>
              </w:rPr>
              <w:t>1、噪声源强</w:t>
            </w:r>
            <w:bookmarkEnd w:id="113"/>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eastAsia" w:cs="Times New Roman" w:eastAsiaTheme="minorEastAsia"/>
                <w:snapToGrid w:val="0"/>
                <w:color w:val="auto"/>
                <w:sz w:val="24"/>
                <w:szCs w:val="24"/>
                <w:highlight w:val="none"/>
                <w:lang w:val="en-US" w:eastAsia="zh-CN"/>
              </w:rPr>
              <w:t>由于近期未对现有厂界噪声现状进行检测，因此本项目对全厂噪声源进行预测，全厂技改扩建后</w:t>
            </w:r>
            <w:r>
              <w:rPr>
                <w:rFonts w:hint="eastAsia" w:ascii="Times New Roman" w:hAnsi="Times New Roman" w:cs="Times New Roman" w:eastAsiaTheme="minorEastAsia"/>
                <w:snapToGrid w:val="0"/>
                <w:color w:val="auto"/>
                <w:sz w:val="24"/>
                <w:szCs w:val="24"/>
                <w:highlight w:val="none"/>
                <w:lang w:val="en-US" w:eastAsia="zh-CN"/>
              </w:rPr>
              <w:t>噪声声源主要为生产设备</w:t>
            </w:r>
            <w:r>
              <w:rPr>
                <w:rFonts w:hint="eastAsia" w:cs="Times New Roman"/>
                <w:b w:val="0"/>
                <w:bCs w:val="0"/>
                <w:color w:val="auto"/>
                <w:kern w:val="2"/>
                <w:sz w:val="24"/>
                <w:szCs w:val="21"/>
                <w:highlight w:val="none"/>
                <w:lang w:val="en-US" w:eastAsia="zh-CN" w:bidi="ar-SA"/>
              </w:rPr>
              <w:t>、风机等</w:t>
            </w:r>
            <w:r>
              <w:rPr>
                <w:rFonts w:hint="default" w:ascii="Times New Roman" w:hAnsi="Times New Roman" w:eastAsia="宋体" w:cs="Times New Roman"/>
                <w:b w:val="0"/>
                <w:bCs w:val="0"/>
                <w:color w:val="auto"/>
                <w:kern w:val="2"/>
                <w:sz w:val="24"/>
                <w:szCs w:val="21"/>
                <w:highlight w:val="none"/>
                <w:lang w:val="en-US" w:eastAsia="zh-CN" w:bidi="ar-SA"/>
              </w:rPr>
              <w:t>产生的噪声。噪声源强一般在75~85dB（A）左右。</w:t>
            </w:r>
          </w:p>
          <w:p>
            <w:pPr>
              <w:pStyle w:val="73"/>
              <w:spacing w:line="360" w:lineRule="auto"/>
              <w:ind w:firstLine="0" w:firstLineChars="0"/>
              <w:rPr>
                <w:rFonts w:hint="default" w:ascii="Times New Roman" w:hAnsi="Times New Roman" w:cs="Times New Roman" w:eastAsiaTheme="minorEastAsia"/>
                <w:b/>
                <w:snapToGrid w:val="0"/>
                <w:color w:val="auto"/>
                <w:kern w:val="0"/>
                <w:sz w:val="21"/>
                <w:szCs w:val="21"/>
                <w:highlight w:val="none"/>
              </w:rPr>
            </w:pPr>
          </w:p>
        </w:tc>
      </w:tr>
    </w:tbl>
    <w:p>
      <w:pPr>
        <w:pStyle w:val="22"/>
        <w:jc w:val="center"/>
        <w:outlineLvl w:val="0"/>
        <w:rPr>
          <w:rFonts w:hint="default" w:ascii="Times New Roman" w:hAnsi="Times New Roman" w:cs="Times New Roman"/>
          <w:b/>
          <w:snapToGrid w:val="0"/>
          <w:color w:val="auto"/>
          <w:sz w:val="30"/>
          <w:szCs w:val="30"/>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14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
        <w:gridCol w:w="13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40" w:hRule="atLeast"/>
        </w:trPr>
        <w:tc>
          <w:tcPr>
            <w:tcW w:w="426" w:type="dxa"/>
            <w:vAlign w:val="center"/>
          </w:tcPr>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运</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营</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期</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环</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境</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影</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响</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和</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保</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护</w:t>
            </w:r>
          </w:p>
          <w:p>
            <w:pPr>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措</w:t>
            </w:r>
          </w:p>
          <w:p>
            <w:pPr>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bCs/>
                <w:color w:val="auto"/>
                <w:kern w:val="0"/>
                <w:sz w:val="21"/>
                <w:szCs w:val="21"/>
                <w:highlight w:val="none"/>
              </w:rPr>
              <w:t>施</w:t>
            </w:r>
          </w:p>
          <w:p>
            <w:pPr>
              <w:pStyle w:val="22"/>
              <w:jc w:val="center"/>
              <w:outlineLvl w:val="0"/>
              <w:rPr>
                <w:rFonts w:hint="default" w:ascii="Times New Roman" w:hAnsi="Times New Roman" w:cs="Times New Roman"/>
                <w:b/>
                <w:snapToGrid w:val="0"/>
                <w:color w:val="auto"/>
                <w:sz w:val="30"/>
                <w:szCs w:val="30"/>
                <w:highlight w:val="none"/>
              </w:rPr>
            </w:pPr>
          </w:p>
        </w:tc>
        <w:tc>
          <w:tcPr>
            <w:tcW w:w="13748" w:type="dxa"/>
          </w:tcPr>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表4.3-1主要工业企业噪声源强调查清单（室内声源）</w:t>
            </w:r>
          </w:p>
          <w:tbl>
            <w:tblPr>
              <w:tblStyle w:val="25"/>
              <w:tblW w:w="13521" w:type="dxa"/>
              <w:tblInd w:w="11"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4"/>
              <w:gridCol w:w="509"/>
              <w:gridCol w:w="702"/>
              <w:gridCol w:w="756"/>
              <w:gridCol w:w="614"/>
              <w:gridCol w:w="773"/>
              <w:gridCol w:w="689"/>
              <w:gridCol w:w="497"/>
              <w:gridCol w:w="497"/>
              <w:gridCol w:w="333"/>
              <w:gridCol w:w="396"/>
              <w:gridCol w:w="486"/>
              <w:gridCol w:w="396"/>
              <w:gridCol w:w="396"/>
              <w:gridCol w:w="531"/>
              <w:gridCol w:w="531"/>
              <w:gridCol w:w="531"/>
              <w:gridCol w:w="531"/>
              <w:gridCol w:w="481"/>
              <w:gridCol w:w="742"/>
              <w:gridCol w:w="531"/>
              <w:gridCol w:w="531"/>
              <w:gridCol w:w="531"/>
              <w:gridCol w:w="532"/>
              <w:gridCol w:w="581"/>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176" w:hRule="atLeast"/>
              </w:trPr>
              <w:tc>
                <w:tcPr>
                  <w:tcW w:w="424"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序号</w:t>
                  </w:r>
                </w:p>
              </w:tc>
              <w:tc>
                <w:tcPr>
                  <w:tcW w:w="509"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建筑物名称</w:t>
                  </w:r>
                </w:p>
              </w:tc>
              <w:tc>
                <w:tcPr>
                  <w:tcW w:w="702"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声源名称</w:t>
                  </w:r>
                </w:p>
              </w:tc>
              <w:tc>
                <w:tcPr>
                  <w:tcW w:w="756" w:type="dxa"/>
                  <w:vMerge w:val="restart"/>
                  <w:tcBorders>
                    <w:tl2br w:val="nil"/>
                    <w:tr2bl w:val="nil"/>
                  </w:tcBorders>
                  <w:shd w:val="clear" w:color="auto" w:fill="auto"/>
                  <w:vAlign w:val="center"/>
                </w:tcPr>
                <w:p>
                  <w:pPr>
                    <w:widowControl/>
                    <w:jc w:val="center"/>
                    <w:rPr>
                      <w:rFonts w:hint="eastAsia" w:ascii="Times New Roman" w:hAnsi="Times New Roman" w:eastAsia="宋体" w:cs="Times New Roman"/>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数量</w:t>
                  </w:r>
                  <w:r>
                    <w:rPr>
                      <w:rFonts w:hint="eastAsia"/>
                      <w:color w:val="auto"/>
                      <w:sz w:val="18"/>
                      <w:szCs w:val="18"/>
                      <w:lang w:eastAsia="zh-CN"/>
                    </w:rPr>
                    <w:t>（</w:t>
                  </w:r>
                  <w:r>
                    <w:rPr>
                      <w:rFonts w:hint="eastAsia"/>
                      <w:color w:val="auto"/>
                      <w:sz w:val="18"/>
                      <w:szCs w:val="18"/>
                      <w:lang w:val="en-US" w:eastAsia="zh-CN"/>
                    </w:rPr>
                    <w:t>台</w:t>
                  </w:r>
                  <w:r>
                    <w:rPr>
                      <w:rFonts w:hint="eastAsia"/>
                      <w:color w:val="auto"/>
                      <w:sz w:val="18"/>
                      <w:szCs w:val="18"/>
                      <w:lang w:eastAsia="zh-CN"/>
                    </w:rPr>
                    <w:t>）</w:t>
                  </w:r>
                </w:p>
              </w:tc>
              <w:tc>
                <w:tcPr>
                  <w:tcW w:w="1387" w:type="dxa"/>
                  <w:gridSpan w:val="2"/>
                  <w:tcBorders>
                    <w:tl2br w:val="nil"/>
                    <w:tr2bl w:val="nil"/>
                  </w:tcBorders>
                  <w:shd w:val="clear" w:color="auto" w:fill="auto"/>
                  <w:vAlign w:val="center"/>
                </w:tcPr>
                <w:p>
                  <w:pPr>
                    <w:widowControl/>
                    <w:jc w:val="center"/>
                    <w:rPr>
                      <w:rFonts w:hint="default" w:cs="Times New Roman" w:eastAsiaTheme="minorEastAsia"/>
                      <w:color w:val="auto"/>
                      <w:kern w:val="0"/>
                      <w:sz w:val="18"/>
                      <w:szCs w:val="18"/>
                      <w:highlight w:val="none"/>
                      <w:lang w:val="en-US" w:eastAsia="zh-CN"/>
                    </w:rPr>
                  </w:pPr>
                  <w:r>
                    <w:rPr>
                      <w:rFonts w:hint="default" w:ascii="Times New Roman" w:hAnsi="Times New Roman" w:cs="Times New Roman" w:eastAsiaTheme="minorEastAsia"/>
                      <w:color w:val="auto"/>
                      <w:kern w:val="0"/>
                      <w:sz w:val="18"/>
                      <w:szCs w:val="18"/>
                      <w:highlight w:val="none"/>
                    </w:rPr>
                    <w:t>（声压级/距声源源强）/</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dB</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A</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/m</w:t>
                  </w:r>
                  <w:r>
                    <w:rPr>
                      <w:rFonts w:hint="eastAsia" w:cs="Times New Roman" w:eastAsiaTheme="minorEastAsia"/>
                      <w:color w:val="auto"/>
                      <w:kern w:val="0"/>
                      <w:sz w:val="18"/>
                      <w:szCs w:val="18"/>
                      <w:highlight w:val="none"/>
                      <w:lang w:eastAsia="zh-CN"/>
                    </w:rPr>
                    <w:t>）</w:t>
                  </w:r>
                </w:p>
              </w:tc>
              <w:tc>
                <w:tcPr>
                  <w:tcW w:w="689"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声源控制措施</w:t>
                  </w:r>
                </w:p>
              </w:tc>
              <w:tc>
                <w:tcPr>
                  <w:tcW w:w="1327" w:type="dxa"/>
                  <w:gridSpan w:val="3"/>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空间相对位置/m</w:t>
                  </w:r>
                </w:p>
              </w:tc>
              <w:tc>
                <w:tcPr>
                  <w:tcW w:w="1674" w:type="dxa"/>
                  <w:gridSpan w:val="4"/>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距室内边界距离/m</w:t>
                  </w:r>
                </w:p>
              </w:tc>
              <w:tc>
                <w:tcPr>
                  <w:tcW w:w="2124" w:type="dxa"/>
                  <w:gridSpan w:val="4"/>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室内边界声级/dB</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A</w:t>
                  </w:r>
                  <w:r>
                    <w:rPr>
                      <w:rFonts w:hint="eastAsia" w:cs="Times New Roman" w:eastAsiaTheme="minorEastAsia"/>
                      <w:color w:val="auto"/>
                      <w:kern w:val="0"/>
                      <w:sz w:val="18"/>
                      <w:szCs w:val="18"/>
                      <w:highlight w:val="none"/>
                      <w:lang w:eastAsia="zh-CN"/>
                    </w:rPr>
                    <w:t>）</w:t>
                  </w:r>
                </w:p>
              </w:tc>
              <w:tc>
                <w:tcPr>
                  <w:tcW w:w="481"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运行时段</w:t>
                  </w:r>
                </w:p>
              </w:tc>
              <w:tc>
                <w:tcPr>
                  <w:tcW w:w="742" w:type="dxa"/>
                  <w:vMerge w:val="restart"/>
                  <w:tcBorders>
                    <w:tl2br w:val="nil"/>
                    <w:tr2bl w:val="nil"/>
                  </w:tcBorders>
                  <w:shd w:val="clear" w:color="auto" w:fill="auto"/>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default" w:ascii="Times New Roman" w:hAnsi="Times New Roman" w:cs="Times New Roman" w:eastAsiaTheme="minorEastAsia"/>
                      <w:color w:val="auto"/>
                      <w:kern w:val="0"/>
                      <w:sz w:val="18"/>
                      <w:szCs w:val="18"/>
                      <w:highlight w:val="none"/>
                    </w:rPr>
                    <w:t>建筑物插入损失/dB</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A</w:t>
                  </w:r>
                  <w:r>
                    <w:rPr>
                      <w:rFonts w:hint="eastAsia" w:cs="Times New Roman" w:eastAsiaTheme="minorEastAsia"/>
                      <w:color w:val="auto"/>
                      <w:kern w:val="0"/>
                      <w:sz w:val="18"/>
                      <w:szCs w:val="18"/>
                      <w:highlight w:val="none"/>
                      <w:lang w:eastAsia="zh-CN"/>
                    </w:rPr>
                    <w:t>）</w:t>
                  </w:r>
                </w:p>
              </w:tc>
              <w:tc>
                <w:tcPr>
                  <w:tcW w:w="2706" w:type="dxa"/>
                  <w:gridSpan w:val="5"/>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建筑物外噪声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24"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56" w:type="dxa"/>
                  <w:vMerge w:val="continue"/>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614" w:type="dxa"/>
                  <w:vMerge w:val="restart"/>
                  <w:tcBorders>
                    <w:tl2br w:val="nil"/>
                    <w:tr2bl w:val="nil"/>
                  </w:tcBorders>
                  <w:shd w:val="clear" w:color="auto" w:fill="auto"/>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单台</w:t>
                  </w:r>
                  <w:r>
                    <w:rPr>
                      <w:rFonts w:hint="eastAsia" w:cs="Times New Roman" w:eastAsiaTheme="minorEastAsia"/>
                      <w:color w:val="auto"/>
                      <w:kern w:val="0"/>
                      <w:sz w:val="18"/>
                      <w:szCs w:val="18"/>
                      <w:highlight w:val="yellow"/>
                      <w:lang w:val="en-US" w:eastAsia="zh-CN"/>
                    </w:rPr>
                    <w:t>设备</w:t>
                  </w:r>
                  <w:r>
                    <w:rPr>
                      <w:rFonts w:hint="default" w:ascii="Times New Roman" w:hAnsi="Times New Roman" w:cs="Times New Roman" w:eastAsiaTheme="minorEastAsia"/>
                      <w:color w:val="auto"/>
                      <w:kern w:val="0"/>
                      <w:sz w:val="18"/>
                      <w:szCs w:val="18"/>
                      <w:highlight w:val="none"/>
                    </w:rPr>
                    <w:t>声源源强</w:t>
                  </w:r>
                </w:p>
              </w:tc>
              <w:tc>
                <w:tcPr>
                  <w:tcW w:w="773" w:type="dxa"/>
                  <w:vMerge w:val="restart"/>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叠加后声源源强</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X</w:t>
                  </w:r>
                </w:p>
              </w:tc>
              <w:tc>
                <w:tcPr>
                  <w:tcW w:w="497"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Y</w:t>
                  </w:r>
                </w:p>
              </w:tc>
              <w:tc>
                <w:tcPr>
                  <w:tcW w:w="333"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Z</w:t>
                  </w:r>
                </w:p>
              </w:tc>
              <w:tc>
                <w:tcPr>
                  <w:tcW w:w="396" w:type="dxa"/>
                  <w:vMerge w:val="restart"/>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东</w:t>
                  </w:r>
                </w:p>
              </w:tc>
              <w:tc>
                <w:tcPr>
                  <w:tcW w:w="486"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西</w:t>
                  </w:r>
                </w:p>
              </w:tc>
              <w:tc>
                <w:tcPr>
                  <w:tcW w:w="396"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南</w:t>
                  </w:r>
                </w:p>
              </w:tc>
              <w:tc>
                <w:tcPr>
                  <w:tcW w:w="396" w:type="dxa"/>
                  <w:vMerge w:val="restart"/>
                  <w:tcBorders>
                    <w:tl2br w:val="nil"/>
                    <w:tr2bl w:val="nil"/>
                  </w:tcBorders>
                  <w:shd w:val="clear" w:color="auto" w:fill="auto"/>
                  <w:vAlign w:val="center"/>
                </w:tcPr>
                <w:p>
                  <w:pPr>
                    <w:widowControl/>
                    <w:jc w:val="center"/>
                    <w:rPr>
                      <w:rFonts w:hint="eastAsia" w:ascii="Times New Roman" w:hAnsi="Times New Roman"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北</w:t>
                  </w:r>
                </w:p>
              </w:tc>
              <w:tc>
                <w:tcPr>
                  <w:tcW w:w="531" w:type="dxa"/>
                  <w:vMerge w:val="restart"/>
                  <w:tcBorders>
                    <w:tl2br w:val="nil"/>
                    <w:tr2bl w:val="nil"/>
                  </w:tcBorders>
                  <w:shd w:val="clear" w:color="auto" w:fill="auto"/>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东</w:t>
                  </w:r>
                </w:p>
              </w:tc>
              <w:tc>
                <w:tcPr>
                  <w:tcW w:w="531" w:type="dxa"/>
                  <w:vMerge w:val="restart"/>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西</w:t>
                  </w:r>
                </w:p>
              </w:tc>
              <w:tc>
                <w:tcPr>
                  <w:tcW w:w="531" w:type="dxa"/>
                  <w:vMerge w:val="restart"/>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南</w:t>
                  </w:r>
                </w:p>
              </w:tc>
              <w:tc>
                <w:tcPr>
                  <w:tcW w:w="531" w:type="dxa"/>
                  <w:vMerge w:val="restart"/>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北</w:t>
                  </w:r>
                </w:p>
              </w:tc>
              <w:tc>
                <w:tcPr>
                  <w:tcW w:w="481"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42"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2125" w:type="dxa"/>
                  <w:gridSpan w:val="4"/>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声压级/dB</w:t>
                  </w:r>
                  <w:r>
                    <w:rPr>
                      <w:rFonts w:hint="eastAsia" w:cs="Times New Roman" w:eastAsiaTheme="minorEastAsia"/>
                      <w:color w:val="auto"/>
                      <w:kern w:val="0"/>
                      <w:sz w:val="18"/>
                      <w:szCs w:val="18"/>
                      <w:highlight w:val="none"/>
                      <w:lang w:eastAsia="zh-CN"/>
                    </w:rPr>
                    <w:t>（</w:t>
                  </w:r>
                  <w:r>
                    <w:rPr>
                      <w:rFonts w:hint="default" w:ascii="Times New Roman" w:hAnsi="Times New Roman" w:cs="Times New Roman" w:eastAsiaTheme="minorEastAsia"/>
                      <w:color w:val="auto"/>
                      <w:kern w:val="0"/>
                      <w:sz w:val="18"/>
                      <w:szCs w:val="18"/>
                      <w:highlight w:val="none"/>
                    </w:rPr>
                    <w:t>A</w:t>
                  </w:r>
                  <w:r>
                    <w:rPr>
                      <w:rFonts w:hint="eastAsia" w:cs="Times New Roman" w:eastAsiaTheme="minorEastAsia"/>
                      <w:color w:val="auto"/>
                      <w:kern w:val="0"/>
                      <w:sz w:val="18"/>
                      <w:szCs w:val="18"/>
                      <w:highlight w:val="none"/>
                      <w:lang w:eastAsia="zh-CN"/>
                    </w:rPr>
                    <w:t>）</w:t>
                  </w:r>
                </w:p>
              </w:tc>
              <w:tc>
                <w:tcPr>
                  <w:tcW w:w="581" w:type="dxa"/>
                  <w:vMerge w:val="restart"/>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建筑物外距离</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865" w:hRule="atLeast"/>
              </w:trPr>
              <w:tc>
                <w:tcPr>
                  <w:tcW w:w="424" w:type="dxa"/>
                  <w:vMerge w:val="continue"/>
                  <w:tcBorders>
                    <w:tl2br w:val="nil"/>
                    <w:tr2bl w:val="nil"/>
                  </w:tcBorders>
                  <w:vAlign w:val="center"/>
                </w:tcPr>
                <w:p>
                  <w:pPr>
                    <w:widowControl/>
                    <w:jc w:val="center"/>
                    <w:rPr>
                      <w:color w:val="auto"/>
                      <w:sz w:val="18"/>
                      <w:szCs w:val="18"/>
                    </w:rPr>
                  </w:pPr>
                </w:p>
              </w:tc>
              <w:tc>
                <w:tcPr>
                  <w:tcW w:w="509" w:type="dxa"/>
                  <w:vMerge w:val="continue"/>
                  <w:tcBorders>
                    <w:tl2br w:val="nil"/>
                    <w:tr2bl w:val="nil"/>
                  </w:tcBorders>
                  <w:vAlign w:val="center"/>
                </w:tcPr>
                <w:p>
                  <w:pPr>
                    <w:widowControl/>
                    <w:jc w:val="center"/>
                    <w:rPr>
                      <w:color w:val="auto"/>
                      <w:sz w:val="18"/>
                      <w:szCs w:val="18"/>
                    </w:rPr>
                  </w:pPr>
                </w:p>
              </w:tc>
              <w:tc>
                <w:tcPr>
                  <w:tcW w:w="702" w:type="dxa"/>
                  <w:vMerge w:val="continue"/>
                  <w:tcBorders>
                    <w:tl2br w:val="nil"/>
                    <w:tr2bl w:val="nil"/>
                  </w:tcBorders>
                  <w:vAlign w:val="center"/>
                </w:tcPr>
                <w:p>
                  <w:pPr>
                    <w:widowControl/>
                    <w:jc w:val="center"/>
                    <w:rPr>
                      <w:color w:val="auto"/>
                      <w:sz w:val="18"/>
                      <w:szCs w:val="18"/>
                    </w:rPr>
                  </w:pPr>
                </w:p>
              </w:tc>
              <w:tc>
                <w:tcPr>
                  <w:tcW w:w="756" w:type="dxa"/>
                  <w:vMerge w:val="continue"/>
                  <w:tcBorders>
                    <w:tl2br w:val="nil"/>
                    <w:tr2bl w:val="nil"/>
                  </w:tcBorders>
                  <w:shd w:val="clear" w:color="auto" w:fill="auto"/>
                  <w:vAlign w:val="center"/>
                </w:tcPr>
                <w:p>
                  <w:pPr>
                    <w:widowControl/>
                    <w:jc w:val="center"/>
                    <w:rPr>
                      <w:color w:val="auto"/>
                      <w:sz w:val="18"/>
                      <w:szCs w:val="18"/>
                    </w:rPr>
                  </w:pPr>
                </w:p>
              </w:tc>
              <w:tc>
                <w:tcPr>
                  <w:tcW w:w="614" w:type="dxa"/>
                  <w:vMerge w:val="continue"/>
                  <w:tcBorders>
                    <w:tl2br w:val="nil"/>
                    <w:tr2bl w:val="nil"/>
                  </w:tcBorders>
                  <w:shd w:val="clear" w:color="auto" w:fill="auto"/>
                  <w:vAlign w:val="center"/>
                </w:tcPr>
                <w:p>
                  <w:pPr>
                    <w:widowControl/>
                    <w:jc w:val="center"/>
                    <w:rPr>
                      <w:color w:val="auto"/>
                      <w:sz w:val="18"/>
                      <w:szCs w:val="18"/>
                    </w:rPr>
                  </w:pPr>
                </w:p>
              </w:tc>
              <w:tc>
                <w:tcPr>
                  <w:tcW w:w="773" w:type="dxa"/>
                  <w:vMerge w:val="continue"/>
                  <w:tcBorders>
                    <w:tl2br w:val="nil"/>
                    <w:tr2bl w:val="nil"/>
                  </w:tcBorders>
                  <w:vAlign w:val="center"/>
                </w:tcPr>
                <w:p>
                  <w:pPr>
                    <w:widowControl/>
                    <w:jc w:val="center"/>
                    <w:rPr>
                      <w:color w:val="auto"/>
                      <w:sz w:val="18"/>
                      <w:szCs w:val="18"/>
                    </w:rPr>
                  </w:pPr>
                </w:p>
              </w:tc>
              <w:tc>
                <w:tcPr>
                  <w:tcW w:w="689" w:type="dxa"/>
                  <w:vMerge w:val="continue"/>
                  <w:tcBorders>
                    <w:tl2br w:val="nil"/>
                    <w:tr2bl w:val="nil"/>
                  </w:tcBorders>
                  <w:vAlign w:val="center"/>
                </w:tcPr>
                <w:p>
                  <w:pPr>
                    <w:widowControl/>
                    <w:jc w:val="center"/>
                    <w:rPr>
                      <w:color w:val="auto"/>
                      <w:sz w:val="18"/>
                      <w:szCs w:val="18"/>
                    </w:rPr>
                  </w:pPr>
                </w:p>
              </w:tc>
              <w:tc>
                <w:tcPr>
                  <w:tcW w:w="497" w:type="dxa"/>
                  <w:vMerge w:val="continue"/>
                  <w:tcBorders>
                    <w:tl2br w:val="nil"/>
                    <w:tr2bl w:val="nil"/>
                  </w:tcBorders>
                  <w:shd w:val="clear" w:color="auto" w:fill="auto"/>
                  <w:vAlign w:val="center"/>
                </w:tcPr>
                <w:p>
                  <w:pPr>
                    <w:widowControl/>
                    <w:jc w:val="center"/>
                    <w:rPr>
                      <w:color w:val="auto"/>
                      <w:sz w:val="18"/>
                      <w:szCs w:val="18"/>
                    </w:rPr>
                  </w:pPr>
                </w:p>
              </w:tc>
              <w:tc>
                <w:tcPr>
                  <w:tcW w:w="497" w:type="dxa"/>
                  <w:vMerge w:val="continue"/>
                  <w:tcBorders>
                    <w:tl2br w:val="nil"/>
                    <w:tr2bl w:val="nil"/>
                  </w:tcBorders>
                  <w:shd w:val="clear" w:color="auto" w:fill="auto"/>
                  <w:vAlign w:val="center"/>
                </w:tcPr>
                <w:p>
                  <w:pPr>
                    <w:widowControl/>
                    <w:jc w:val="center"/>
                    <w:rPr>
                      <w:color w:val="auto"/>
                      <w:sz w:val="18"/>
                      <w:szCs w:val="18"/>
                    </w:rPr>
                  </w:pPr>
                </w:p>
              </w:tc>
              <w:tc>
                <w:tcPr>
                  <w:tcW w:w="333" w:type="dxa"/>
                  <w:vMerge w:val="continue"/>
                  <w:tcBorders>
                    <w:tl2br w:val="nil"/>
                    <w:tr2bl w:val="nil"/>
                  </w:tcBorders>
                  <w:shd w:val="clear" w:color="auto" w:fill="auto"/>
                  <w:vAlign w:val="center"/>
                </w:tcPr>
                <w:p>
                  <w:pPr>
                    <w:widowControl/>
                    <w:jc w:val="center"/>
                    <w:rPr>
                      <w:color w:val="auto"/>
                      <w:sz w:val="18"/>
                      <w:szCs w:val="18"/>
                    </w:rPr>
                  </w:pPr>
                </w:p>
              </w:tc>
              <w:tc>
                <w:tcPr>
                  <w:tcW w:w="396" w:type="dxa"/>
                  <w:vMerge w:val="continue"/>
                  <w:tcBorders>
                    <w:tl2br w:val="nil"/>
                    <w:tr2bl w:val="nil"/>
                  </w:tcBorders>
                  <w:vAlign w:val="center"/>
                </w:tcPr>
                <w:p>
                  <w:pPr>
                    <w:widowControl/>
                    <w:jc w:val="center"/>
                    <w:rPr>
                      <w:color w:val="auto"/>
                      <w:sz w:val="18"/>
                      <w:szCs w:val="18"/>
                    </w:rPr>
                  </w:pPr>
                </w:p>
              </w:tc>
              <w:tc>
                <w:tcPr>
                  <w:tcW w:w="486" w:type="dxa"/>
                  <w:vMerge w:val="continue"/>
                  <w:tcBorders>
                    <w:tl2br w:val="nil"/>
                    <w:tr2bl w:val="nil"/>
                  </w:tcBorders>
                  <w:shd w:val="clear" w:color="auto" w:fill="auto"/>
                  <w:vAlign w:val="center"/>
                </w:tcPr>
                <w:p>
                  <w:pPr>
                    <w:widowControl/>
                    <w:jc w:val="center"/>
                    <w:rPr>
                      <w:color w:val="auto"/>
                      <w:sz w:val="18"/>
                      <w:szCs w:val="18"/>
                    </w:rPr>
                  </w:pPr>
                </w:p>
              </w:tc>
              <w:tc>
                <w:tcPr>
                  <w:tcW w:w="396" w:type="dxa"/>
                  <w:vMerge w:val="continue"/>
                  <w:tcBorders>
                    <w:tl2br w:val="nil"/>
                    <w:tr2bl w:val="nil"/>
                  </w:tcBorders>
                  <w:shd w:val="clear" w:color="auto" w:fill="auto"/>
                  <w:vAlign w:val="center"/>
                </w:tcPr>
                <w:p>
                  <w:pPr>
                    <w:widowControl/>
                    <w:jc w:val="center"/>
                    <w:rPr>
                      <w:color w:val="auto"/>
                      <w:sz w:val="18"/>
                      <w:szCs w:val="18"/>
                    </w:rPr>
                  </w:pPr>
                </w:p>
              </w:tc>
              <w:tc>
                <w:tcPr>
                  <w:tcW w:w="396" w:type="dxa"/>
                  <w:vMerge w:val="continue"/>
                  <w:tcBorders>
                    <w:tl2br w:val="nil"/>
                    <w:tr2bl w:val="nil"/>
                  </w:tcBorders>
                  <w:shd w:val="clear" w:color="auto" w:fill="auto"/>
                  <w:vAlign w:val="center"/>
                </w:tcPr>
                <w:p>
                  <w:pPr>
                    <w:widowControl/>
                    <w:jc w:val="center"/>
                    <w:rPr>
                      <w:color w:val="auto"/>
                      <w:sz w:val="18"/>
                      <w:szCs w:val="18"/>
                    </w:rPr>
                  </w:pPr>
                </w:p>
              </w:tc>
              <w:tc>
                <w:tcPr>
                  <w:tcW w:w="531" w:type="dxa"/>
                  <w:vMerge w:val="continue"/>
                  <w:tcBorders>
                    <w:tl2br w:val="nil"/>
                    <w:tr2bl w:val="nil"/>
                  </w:tcBorders>
                  <w:shd w:val="clear" w:color="auto" w:fill="auto"/>
                  <w:vAlign w:val="center"/>
                </w:tcPr>
                <w:p>
                  <w:pPr>
                    <w:widowControl/>
                    <w:jc w:val="center"/>
                    <w:rPr>
                      <w:color w:val="auto"/>
                      <w:sz w:val="18"/>
                      <w:szCs w:val="18"/>
                    </w:rPr>
                  </w:pPr>
                </w:p>
              </w:tc>
              <w:tc>
                <w:tcPr>
                  <w:tcW w:w="531" w:type="dxa"/>
                  <w:vMerge w:val="continue"/>
                  <w:tcBorders>
                    <w:tl2br w:val="nil"/>
                    <w:tr2bl w:val="nil"/>
                  </w:tcBorders>
                  <w:vAlign w:val="center"/>
                </w:tcPr>
                <w:p>
                  <w:pPr>
                    <w:widowControl/>
                    <w:jc w:val="center"/>
                    <w:rPr>
                      <w:color w:val="auto"/>
                      <w:sz w:val="18"/>
                      <w:szCs w:val="18"/>
                    </w:rPr>
                  </w:pPr>
                </w:p>
              </w:tc>
              <w:tc>
                <w:tcPr>
                  <w:tcW w:w="531" w:type="dxa"/>
                  <w:vMerge w:val="continue"/>
                  <w:tcBorders>
                    <w:tl2br w:val="nil"/>
                    <w:tr2bl w:val="nil"/>
                  </w:tcBorders>
                  <w:vAlign w:val="center"/>
                </w:tcPr>
                <w:p>
                  <w:pPr>
                    <w:widowControl/>
                    <w:jc w:val="center"/>
                    <w:rPr>
                      <w:color w:val="auto"/>
                      <w:sz w:val="18"/>
                      <w:szCs w:val="18"/>
                    </w:rPr>
                  </w:pPr>
                </w:p>
              </w:tc>
              <w:tc>
                <w:tcPr>
                  <w:tcW w:w="531" w:type="dxa"/>
                  <w:vMerge w:val="continue"/>
                  <w:tcBorders>
                    <w:tl2br w:val="nil"/>
                    <w:tr2bl w:val="nil"/>
                  </w:tcBorders>
                  <w:vAlign w:val="center"/>
                </w:tcPr>
                <w:p>
                  <w:pPr>
                    <w:widowControl/>
                    <w:jc w:val="center"/>
                    <w:rPr>
                      <w:color w:val="auto"/>
                      <w:sz w:val="18"/>
                      <w:szCs w:val="18"/>
                    </w:rPr>
                  </w:pPr>
                </w:p>
              </w:tc>
              <w:tc>
                <w:tcPr>
                  <w:tcW w:w="481" w:type="dxa"/>
                  <w:vMerge w:val="continue"/>
                  <w:tcBorders>
                    <w:tl2br w:val="nil"/>
                    <w:tr2bl w:val="nil"/>
                  </w:tcBorders>
                  <w:vAlign w:val="center"/>
                </w:tcPr>
                <w:p>
                  <w:pPr>
                    <w:widowControl/>
                    <w:jc w:val="center"/>
                    <w:rPr>
                      <w:color w:val="auto"/>
                      <w:sz w:val="18"/>
                      <w:szCs w:val="18"/>
                    </w:rPr>
                  </w:pPr>
                </w:p>
              </w:tc>
              <w:tc>
                <w:tcPr>
                  <w:tcW w:w="742" w:type="dxa"/>
                  <w:vMerge w:val="continue"/>
                  <w:tcBorders>
                    <w:tl2br w:val="nil"/>
                    <w:tr2bl w:val="nil"/>
                  </w:tcBorders>
                  <w:vAlign w:val="center"/>
                </w:tcPr>
                <w:p>
                  <w:pPr>
                    <w:widowControl/>
                    <w:jc w:val="center"/>
                    <w:rPr>
                      <w:color w:val="auto"/>
                      <w:sz w:val="18"/>
                      <w:szCs w:val="18"/>
                    </w:rPr>
                  </w:pPr>
                </w:p>
              </w:tc>
              <w:tc>
                <w:tcPr>
                  <w:tcW w:w="531"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东</w:t>
                  </w:r>
                </w:p>
              </w:tc>
              <w:tc>
                <w:tcPr>
                  <w:tcW w:w="531"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西</w:t>
                  </w:r>
                </w:p>
              </w:tc>
              <w:tc>
                <w:tcPr>
                  <w:tcW w:w="531"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南</w:t>
                  </w:r>
                </w:p>
              </w:tc>
              <w:tc>
                <w:tcPr>
                  <w:tcW w:w="532"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北</w:t>
                  </w:r>
                </w:p>
              </w:tc>
              <w:tc>
                <w:tcPr>
                  <w:tcW w:w="581" w:type="dxa"/>
                  <w:vMerge w:val="continue"/>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1</w:t>
                  </w:r>
                </w:p>
              </w:tc>
              <w:tc>
                <w:tcPr>
                  <w:tcW w:w="509" w:type="dxa"/>
                  <w:vMerge w:val="restart"/>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生产车间</w:t>
                  </w:r>
                </w:p>
              </w:tc>
              <w:tc>
                <w:tcPr>
                  <w:tcW w:w="702"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highlight w:val="none"/>
                      <w:lang w:val="en-US" w:eastAsia="zh-CN"/>
                    </w:rPr>
                    <w:t>切割机</w:t>
                  </w:r>
                </w:p>
              </w:tc>
              <w:tc>
                <w:tcPr>
                  <w:tcW w:w="756" w:type="dxa"/>
                  <w:tcBorders>
                    <w:tl2br w:val="nil"/>
                    <w:tr2bl w:val="nil"/>
                  </w:tcBorders>
                  <w:shd w:val="clear" w:color="auto" w:fill="auto"/>
                  <w:vAlign w:val="center"/>
                </w:tcPr>
                <w:p>
                  <w:pPr>
                    <w:spacing w:line="240" w:lineRule="auto"/>
                    <w:jc w:val="center"/>
                    <w:rPr>
                      <w:rFonts w:hint="eastAsia"/>
                      <w:color w:val="auto"/>
                      <w:sz w:val="18"/>
                      <w:szCs w:val="18"/>
                      <w:highlight w:val="none"/>
                      <w:lang w:val="en-US" w:eastAsia="zh-CN"/>
                    </w:rPr>
                  </w:pPr>
                  <w:r>
                    <w:rPr>
                      <w:rFonts w:hint="eastAsia"/>
                      <w:color w:val="auto"/>
                      <w:sz w:val="18"/>
                      <w:szCs w:val="18"/>
                      <w:highlight w:val="none"/>
                      <w:lang w:val="en-US" w:eastAsia="zh-CN"/>
                    </w:rPr>
                    <w:t>11</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85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95.41 </w:t>
                  </w:r>
                </w:p>
              </w:tc>
              <w:tc>
                <w:tcPr>
                  <w:tcW w:w="689" w:type="dxa"/>
                  <w:vMerge w:val="restart"/>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default" w:ascii="Times New Roman" w:hAnsi="Times New Roman" w:cs="Times New Roman" w:eastAsiaTheme="minorEastAsia"/>
                      <w:color w:val="auto"/>
                      <w:kern w:val="0"/>
                      <w:sz w:val="18"/>
                      <w:szCs w:val="18"/>
                      <w:highlight w:val="none"/>
                    </w:rPr>
                    <w:t>隔声、减振</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85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33"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45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80.8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80.8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81.2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80.8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55.8</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55.8</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56.2</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55.8</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2</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highlight w:val="none"/>
                      <w:lang w:val="en-US" w:eastAsia="zh-CN"/>
                    </w:rPr>
                    <w:t>磨头敲盖机</w:t>
                  </w:r>
                </w:p>
              </w:tc>
              <w:tc>
                <w:tcPr>
                  <w:tcW w:w="756" w:type="dxa"/>
                  <w:tcBorders>
                    <w:tl2br w:val="nil"/>
                    <w:tr2bl w:val="nil"/>
                  </w:tcBorders>
                  <w:shd w:val="clear" w:color="auto" w:fill="auto"/>
                  <w:vAlign w:val="center"/>
                </w:tcPr>
                <w:p>
                  <w:pPr>
                    <w:spacing w:line="240" w:lineRule="auto"/>
                    <w:jc w:val="center"/>
                    <w:rPr>
                      <w:rFonts w:hint="eastAsia"/>
                      <w:color w:val="auto"/>
                      <w:sz w:val="18"/>
                      <w:szCs w:val="18"/>
                      <w:highlight w:val="none"/>
                      <w:lang w:val="en-US" w:eastAsia="zh-CN"/>
                    </w:rPr>
                  </w:pPr>
                  <w:r>
                    <w:rPr>
                      <w:rFonts w:hint="eastAsia"/>
                      <w:color w:val="auto"/>
                      <w:sz w:val="18"/>
                      <w:szCs w:val="18"/>
                      <w:highlight w:val="none"/>
                      <w:lang w:val="en-US" w:eastAsia="zh-CN"/>
                    </w:rPr>
                    <w:t>10</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80</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90.00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95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333" w:type="dxa"/>
                  <w:tcBorders>
                    <w:tl2br w:val="nil"/>
                    <w:tr2bl w:val="nil"/>
                  </w:tcBorders>
                  <w:shd w:val="clear" w:color="auto" w:fill="auto"/>
                  <w:vAlign w:val="center"/>
                </w:tcPr>
                <w:p>
                  <w:pPr>
                    <w:jc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35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95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75.7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50.4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50.7</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3</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18"/>
                      <w:szCs w:val="18"/>
                      <w:lang w:val="en-US" w:eastAsia="zh-CN" w:bidi="ar-SA"/>
                    </w:rPr>
                  </w:pPr>
                  <w:r>
                    <w:rPr>
                      <w:rFonts w:hint="eastAsia"/>
                      <w:color w:val="auto"/>
                      <w:sz w:val="18"/>
                      <w:szCs w:val="18"/>
                      <w:highlight w:val="none"/>
                      <w:lang w:val="en-US" w:eastAsia="zh-CN"/>
                    </w:rPr>
                    <w:t>板刷机</w:t>
                  </w:r>
                </w:p>
              </w:tc>
              <w:tc>
                <w:tcPr>
                  <w:tcW w:w="756" w:type="dxa"/>
                  <w:tcBorders>
                    <w:tl2br w:val="nil"/>
                    <w:tr2bl w:val="nil"/>
                  </w:tcBorders>
                  <w:shd w:val="clear" w:color="auto" w:fill="auto"/>
                  <w:vAlign w:val="center"/>
                </w:tcPr>
                <w:p>
                  <w:pPr>
                    <w:spacing w:line="240" w:lineRule="auto"/>
                    <w:jc w:val="center"/>
                    <w:rPr>
                      <w:rFonts w:hint="eastAsia"/>
                      <w:color w:val="auto"/>
                      <w:sz w:val="18"/>
                      <w:szCs w:val="18"/>
                      <w:highlight w:val="none"/>
                      <w:lang w:val="en-US" w:eastAsia="zh-CN"/>
                    </w:rPr>
                  </w:pPr>
                  <w:r>
                    <w:rPr>
                      <w:rFonts w:hint="eastAsia"/>
                      <w:color w:val="auto"/>
                      <w:sz w:val="18"/>
                      <w:szCs w:val="18"/>
                      <w:highlight w:val="none"/>
                      <w:lang w:val="en-US" w:eastAsia="zh-CN"/>
                    </w:rPr>
                    <w:t>3</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79.77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45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333"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85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65.5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40.5</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4</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highlight w:val="none"/>
                      <w:lang w:val="en-US" w:eastAsia="zh-CN"/>
                    </w:rPr>
                    <w:t>冲孔机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bidi="ar-SA"/>
                    </w:rPr>
                  </w:pPr>
                  <w:r>
                    <w:rPr>
                      <w:rFonts w:hint="eastAsia" w:cs="Times New Roman" w:eastAsiaTheme="minorEastAsia"/>
                      <w:color w:val="auto"/>
                      <w:kern w:val="0"/>
                      <w:sz w:val="18"/>
                      <w:szCs w:val="18"/>
                      <w:highlight w:val="none"/>
                      <w:lang w:val="en-US" w:eastAsia="zh-CN"/>
                    </w:rPr>
                    <w:t>85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85.00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105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333" w:type="dxa"/>
                  <w:tcBorders>
                    <w:tl2br w:val="nil"/>
                    <w:tr2bl w:val="nil"/>
                  </w:tcBorders>
                  <w:shd w:val="clear" w:color="auto" w:fill="auto"/>
                  <w:vAlign w:val="center"/>
                </w:tcPr>
                <w:p>
                  <w:pPr>
                    <w:jc w:val="center"/>
                    <w:rPr>
                      <w:rFonts w:hint="default" w:ascii="Times New Roman" w:hAnsi="Times New Roman" w:cs="Times New Roman"/>
                      <w:color w:val="auto"/>
                      <w:sz w:val="18"/>
                      <w:szCs w:val="18"/>
                      <w:highlight w:val="none"/>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70.5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45.5</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5</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highlight w:val="none"/>
                      <w:lang w:val="en-US" w:eastAsia="zh-CN"/>
                    </w:rPr>
                    <w:t>冲眼机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bidi="ar-SA"/>
                    </w:rPr>
                  </w:pPr>
                  <w:r>
                    <w:rPr>
                      <w:rFonts w:hint="eastAsia" w:cs="Times New Roman" w:eastAsiaTheme="minorEastAsia"/>
                      <w:color w:val="auto"/>
                      <w:kern w:val="0"/>
                      <w:sz w:val="18"/>
                      <w:szCs w:val="18"/>
                      <w:highlight w:val="none"/>
                      <w:lang w:val="en-US" w:eastAsia="zh-CN"/>
                    </w:rPr>
                    <w:t>85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85.00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105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333" w:type="dxa"/>
                  <w:tcBorders>
                    <w:tl2br w:val="nil"/>
                    <w:tr2bl w:val="nil"/>
                  </w:tcBorders>
                  <w:shd w:val="clear" w:color="auto" w:fill="auto"/>
                  <w:vAlign w:val="center"/>
                </w:tcPr>
                <w:p>
                  <w:pPr>
                    <w:jc w:val="center"/>
                    <w:rPr>
                      <w:rFonts w:hint="default" w:ascii="Times New Roman" w:hAnsi="Times New Roman" w:cs="Times New Roman"/>
                      <w:color w:val="auto"/>
                      <w:sz w:val="18"/>
                      <w:szCs w:val="18"/>
                      <w:highlight w:val="none"/>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70.5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45.5</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6</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highlight w:val="none"/>
                      <w:lang w:val="en-US" w:eastAsia="zh-CN"/>
                    </w:rPr>
                    <w:t>打钉机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4</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bidi="ar-SA"/>
                    </w:rPr>
                  </w:pPr>
                  <w:r>
                    <w:rPr>
                      <w:rFonts w:hint="default" w:ascii="Times New Roman" w:hAnsi="Times New Roman" w:cs="Times New Roman" w:eastAsiaTheme="minorEastAsia"/>
                      <w:color w:val="auto"/>
                      <w:kern w:val="0"/>
                      <w:sz w:val="18"/>
                      <w:szCs w:val="18"/>
                      <w:highlight w:val="none"/>
                      <w:lang w:val="en-US" w:eastAsia="zh-CN"/>
                    </w:rPr>
                    <w:t>80</w:t>
                  </w:r>
                </w:p>
              </w:tc>
              <w:tc>
                <w:tcPr>
                  <w:tcW w:w="773"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86.02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80</w:t>
                  </w:r>
                </w:p>
              </w:tc>
              <w:tc>
                <w:tcPr>
                  <w:tcW w:w="333"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90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71.4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71.4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71.4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71.4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46.4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46.4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46.4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46.4</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eastAsia" w:ascii="Times New Roman" w:hAnsi="Times New Roman" w:cs="Times New Roman" w:eastAsiaTheme="minorEastAsia"/>
                      <w:color w:val="auto"/>
                      <w:kern w:val="0"/>
                      <w:sz w:val="18"/>
                      <w:szCs w:val="18"/>
                      <w:highlight w:val="none"/>
                      <w:lang w:eastAsia="zh-CN"/>
                    </w:rPr>
                  </w:pPr>
                  <w:r>
                    <w:rPr>
                      <w:rFonts w:hint="eastAsia" w:cs="Times New Roman" w:eastAsiaTheme="minorEastAsia"/>
                      <w:color w:val="auto"/>
                      <w:kern w:val="0"/>
                      <w:sz w:val="18"/>
                      <w:szCs w:val="18"/>
                      <w:highlight w:val="none"/>
                      <w:lang w:val="en-US" w:eastAsia="zh-CN"/>
                    </w:rPr>
                    <w:t>7</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default" w:ascii="Times New Roman" w:hAnsi="Times New Roman" w:eastAsia="宋体" w:cs="Times New Roman"/>
                      <w:color w:val="auto"/>
                      <w:kern w:val="2"/>
                      <w:sz w:val="18"/>
                      <w:szCs w:val="18"/>
                      <w:lang w:val="en-US" w:eastAsia="zh-CN" w:bidi="ar-SA"/>
                    </w:rPr>
                  </w:pPr>
                  <w:r>
                    <w:rPr>
                      <w:rFonts w:hint="eastAsia" w:ascii="Times New Roman" w:hAnsi="Times New Roman" w:eastAsia="宋体" w:cs="Times New Roman"/>
                      <w:color w:val="auto"/>
                      <w:sz w:val="18"/>
                      <w:szCs w:val="18"/>
                      <w:highlight w:val="none"/>
                      <w:lang w:val="en-US" w:eastAsia="zh-CN"/>
                    </w:rPr>
                    <w:t>装柄机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4</w:t>
                  </w:r>
                </w:p>
              </w:tc>
              <w:tc>
                <w:tcPr>
                  <w:tcW w:w="614"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 w:val="18"/>
                      <w:szCs w:val="18"/>
                      <w:highlight w:val="none"/>
                      <w:lang w:val="en-US" w:eastAsia="zh-CN" w:bidi="ar-SA"/>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81.02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45</w:t>
                  </w:r>
                </w:p>
              </w:tc>
              <w:tc>
                <w:tcPr>
                  <w:tcW w:w="497"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80</w:t>
                  </w:r>
                </w:p>
              </w:tc>
              <w:tc>
                <w:tcPr>
                  <w:tcW w:w="333" w:type="dxa"/>
                  <w:tcBorders>
                    <w:tl2br w:val="nil"/>
                    <w:tr2bl w:val="nil"/>
                  </w:tcBorders>
                  <w:shd w:val="clear" w:color="auto" w:fill="auto"/>
                  <w:vAlign w:val="center"/>
                </w:tcPr>
                <w:p>
                  <w:pPr>
                    <w:jc w:val="center"/>
                    <w:rPr>
                      <w:rFonts w:hint="default"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85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66.4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66.4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66.4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66.4 </w:t>
                  </w:r>
                </w:p>
              </w:tc>
              <w:tc>
                <w:tcPr>
                  <w:tcW w:w="481"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41.4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41.4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41.4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41.4</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8</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Times New Roman" w:hAnsi="Times New Roman" w:eastAsia="宋体" w:cs="Times New Roman"/>
                      <w:color w:val="auto"/>
                      <w:sz w:val="18"/>
                      <w:szCs w:val="18"/>
                      <w:highlight w:val="none"/>
                      <w:lang w:val="en-US" w:eastAsia="zh-CN"/>
                    </w:rPr>
                    <w:t>剪毛机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6</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82.78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90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68.5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43.5</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9</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Times New Roman" w:hAnsi="Times New Roman" w:eastAsia="宋体" w:cs="Times New Roman"/>
                      <w:color w:val="auto"/>
                      <w:sz w:val="18"/>
                      <w:szCs w:val="18"/>
                      <w:highlight w:val="none"/>
                      <w:lang w:val="en-US" w:eastAsia="zh-CN"/>
                    </w:rPr>
                    <w:t>清毛机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3</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79.77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90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65.5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40.5</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46"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10</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Times New Roman" w:hAnsi="Times New Roman" w:eastAsia="宋体" w:cs="Times New Roman"/>
                      <w:color w:val="auto"/>
                      <w:sz w:val="18"/>
                      <w:szCs w:val="18"/>
                      <w:highlight w:val="none"/>
                      <w:lang w:val="en-US" w:eastAsia="zh-CN"/>
                    </w:rPr>
                    <w:t>灌胶机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75.00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50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80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60.4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60.7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60.4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35.4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35.7</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35.4</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11</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18"/>
                      <w:szCs w:val="18"/>
                      <w:u w:val="none"/>
                      <w:lang w:val="en-US" w:eastAsia="zh-CN" w:bidi="ar"/>
                    </w:rPr>
                  </w:pPr>
                  <w:r>
                    <w:rPr>
                      <w:rFonts w:hint="eastAsia" w:ascii="Times New Roman" w:hAnsi="Times New Roman" w:eastAsia="宋体" w:cs="Times New Roman"/>
                      <w:color w:val="auto"/>
                      <w:sz w:val="18"/>
                      <w:szCs w:val="18"/>
                      <w:highlight w:val="none"/>
                      <w:lang w:val="en-US" w:eastAsia="zh-CN"/>
                    </w:rPr>
                    <w:t>装毛机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6</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82.78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55</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75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68.5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68.1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43.5</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43.1</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12</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混丝机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3</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79.77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100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65</w:t>
                  </w:r>
                </w:p>
              </w:tc>
              <w:tc>
                <w:tcPr>
                  <w:tcW w:w="333"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30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30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65.5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65.1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40.5</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40.1</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13</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注塑机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12</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default" w:ascii="Times New Roman" w:hAnsi="Times New Roman" w:cs="Times New Roman" w:eastAsiaTheme="minorEastAsia"/>
                      <w:color w:val="auto"/>
                      <w:kern w:val="0"/>
                      <w:sz w:val="18"/>
                      <w:szCs w:val="18"/>
                      <w:highlight w:val="none"/>
                      <w:lang w:val="en-US" w:eastAsia="zh-CN"/>
                    </w:rPr>
                    <w:t>80</w:t>
                  </w:r>
                </w:p>
              </w:tc>
              <w:tc>
                <w:tcPr>
                  <w:tcW w:w="773"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90.79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120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80</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10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76.2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76.1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76.2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76.2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51.2</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51.1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51.2</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51.2</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vMerge w:val="restart"/>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14</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冲压机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614" w:type="dxa"/>
                  <w:tcBorders>
                    <w:tl2br w:val="nil"/>
                    <w:tr2bl w:val="nil"/>
                  </w:tcBorders>
                  <w:shd w:val="clear" w:color="auto" w:fill="auto"/>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85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9</w:t>
                  </w:r>
                  <w:r>
                    <w:rPr>
                      <w:rFonts w:hint="eastAsia" w:cs="Times New Roman" w:eastAsiaTheme="minorEastAsia"/>
                      <w:color w:val="auto"/>
                      <w:kern w:val="0"/>
                      <w:sz w:val="18"/>
                      <w:szCs w:val="18"/>
                      <w:highlight w:val="none"/>
                      <w:lang w:val="en-US" w:eastAsia="zh-CN"/>
                    </w:rPr>
                    <w:t>1.99</w:t>
                  </w:r>
                  <w:r>
                    <w:rPr>
                      <w:rFonts w:hint="default" w:cs="Times New Roman" w:eastAsiaTheme="minorEastAsia"/>
                      <w:color w:val="auto"/>
                      <w:kern w:val="0"/>
                      <w:sz w:val="18"/>
                      <w:szCs w:val="18"/>
                      <w:highlight w:val="none"/>
                      <w:lang w:val="en-US" w:eastAsia="zh-CN"/>
                    </w:rPr>
                    <w:t xml:space="preserve">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120</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333"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10</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20</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15</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77.4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77.3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77.4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77.4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52.4</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52.3</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52.4</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52.4</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vMerge w:val="continue"/>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冲压机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3</w:t>
                  </w:r>
                </w:p>
              </w:tc>
              <w:tc>
                <w:tcPr>
                  <w:tcW w:w="614" w:type="dxa"/>
                  <w:tcBorders>
                    <w:tl2br w:val="nil"/>
                    <w:tr2bl w:val="nil"/>
                  </w:tcBorders>
                  <w:shd w:val="clear" w:color="auto" w:fill="auto"/>
                  <w:vAlign w:val="center"/>
                </w:tcPr>
                <w:p>
                  <w:pPr>
                    <w:widowControl/>
                    <w:jc w:val="center"/>
                    <w:rPr>
                      <w:rFonts w:hint="eastAsia"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85</w:t>
                  </w:r>
                </w:p>
              </w:tc>
              <w:tc>
                <w:tcPr>
                  <w:tcW w:w="773"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89.77</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95</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85</w:t>
                  </w:r>
                </w:p>
              </w:tc>
              <w:tc>
                <w:tcPr>
                  <w:tcW w:w="333"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35</w:t>
                  </w:r>
                </w:p>
              </w:tc>
              <w:tc>
                <w:tcPr>
                  <w:tcW w:w="48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95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396"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10</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75.1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75.2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50.1</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50.1</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50.2</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0" w:hRule="atLeast"/>
              </w:trPr>
              <w:tc>
                <w:tcPr>
                  <w:tcW w:w="424" w:type="dxa"/>
                  <w:tcBorders>
                    <w:tl2br w:val="nil"/>
                    <w:tr2bl w:val="nil"/>
                  </w:tcBorders>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15</w:t>
                  </w:r>
                </w:p>
              </w:tc>
              <w:tc>
                <w:tcPr>
                  <w:tcW w:w="50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702" w:type="dxa"/>
                  <w:tcBorders>
                    <w:tl2br w:val="nil"/>
                    <w:tr2bl w:val="nil"/>
                  </w:tcBorders>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植绒机</w:t>
                  </w:r>
                </w:p>
              </w:tc>
              <w:tc>
                <w:tcPr>
                  <w:tcW w:w="756" w:type="dxa"/>
                  <w:tcBorders>
                    <w:tl2br w:val="nil"/>
                    <w:tr2bl w:val="nil"/>
                  </w:tcBorders>
                  <w:shd w:val="clear" w:color="auto" w:fill="auto"/>
                  <w:vAlign w:val="center"/>
                </w:tcPr>
                <w:p>
                  <w:pPr>
                    <w:keepNext w:val="0"/>
                    <w:keepLines w:val="0"/>
                    <w:widowControl/>
                    <w:suppressLineNumbers w:val="0"/>
                    <w:jc w:val="center"/>
                    <w:textAlignment w:val="center"/>
                    <w:rPr>
                      <w:rFonts w:hint="eastAsia" w:ascii="Times New Roman" w:hAnsi="Times New Roman" w:eastAsia="宋体" w:cs="Times New Roman"/>
                      <w:color w:val="auto"/>
                      <w:sz w:val="18"/>
                      <w:szCs w:val="18"/>
                      <w:highlight w:val="none"/>
                      <w:lang w:val="en-US" w:eastAsia="zh-CN"/>
                    </w:rPr>
                  </w:pPr>
                  <w:r>
                    <w:rPr>
                      <w:rFonts w:hint="eastAsia" w:ascii="Times New Roman" w:hAnsi="Times New Roman" w:eastAsia="宋体" w:cs="Times New Roman"/>
                      <w:color w:val="auto"/>
                      <w:sz w:val="18"/>
                      <w:szCs w:val="18"/>
                      <w:highlight w:val="none"/>
                      <w:lang w:val="en-US" w:eastAsia="zh-CN"/>
                    </w:rPr>
                    <w:t>1</w:t>
                  </w:r>
                </w:p>
              </w:tc>
              <w:tc>
                <w:tcPr>
                  <w:tcW w:w="614" w:type="dxa"/>
                  <w:tcBorders>
                    <w:tl2br w:val="nil"/>
                    <w:tr2bl w:val="nil"/>
                  </w:tcBorders>
                  <w:shd w:val="clear" w:color="auto" w:fill="auto"/>
                  <w:vAlign w:val="center"/>
                </w:tcPr>
                <w:p>
                  <w:pPr>
                    <w:widowControl/>
                    <w:jc w:val="center"/>
                    <w:rPr>
                      <w:rFonts w:hint="default" w:cs="Times New Roman" w:eastAsiaTheme="minorEastAsia"/>
                      <w:color w:val="auto"/>
                      <w:kern w:val="0"/>
                      <w:sz w:val="18"/>
                      <w:szCs w:val="18"/>
                      <w:highlight w:val="none"/>
                      <w:lang w:val="en-US" w:eastAsia="zh-CN"/>
                    </w:rPr>
                  </w:pPr>
                  <w:r>
                    <w:rPr>
                      <w:rFonts w:hint="eastAsia" w:cs="Times New Roman" w:eastAsiaTheme="minorEastAsia"/>
                      <w:color w:val="auto"/>
                      <w:kern w:val="0"/>
                      <w:sz w:val="18"/>
                      <w:szCs w:val="18"/>
                      <w:highlight w:val="none"/>
                      <w:lang w:val="en-US" w:eastAsia="zh-CN"/>
                    </w:rPr>
                    <w:t>75</w:t>
                  </w:r>
                </w:p>
              </w:tc>
              <w:tc>
                <w:tcPr>
                  <w:tcW w:w="773" w:type="dxa"/>
                  <w:tcBorders>
                    <w:tl2br w:val="nil"/>
                    <w:tr2bl w:val="nil"/>
                  </w:tcBorders>
                  <w:vAlign w:val="center"/>
                </w:tcPr>
                <w:p>
                  <w:pPr>
                    <w:widowControl/>
                    <w:jc w:val="center"/>
                    <w:rPr>
                      <w:rFonts w:hint="eastAsia" w:cs="Times New Roman" w:eastAsiaTheme="minorEastAsia"/>
                      <w:color w:val="auto"/>
                      <w:kern w:val="0"/>
                      <w:sz w:val="18"/>
                      <w:szCs w:val="18"/>
                      <w:highlight w:val="none"/>
                      <w:lang w:val="en-US" w:eastAsia="zh-CN"/>
                    </w:rPr>
                  </w:pPr>
                  <w:r>
                    <w:rPr>
                      <w:rFonts w:hint="default" w:cs="Times New Roman" w:eastAsiaTheme="minorEastAsia"/>
                      <w:color w:val="auto"/>
                      <w:kern w:val="0"/>
                      <w:sz w:val="18"/>
                      <w:szCs w:val="18"/>
                      <w:highlight w:val="none"/>
                      <w:lang w:val="en-US" w:eastAsia="zh-CN"/>
                    </w:rPr>
                    <w:t xml:space="preserve">75.00 </w:t>
                  </w:r>
                </w:p>
              </w:tc>
              <w:tc>
                <w:tcPr>
                  <w:tcW w:w="68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 w:val="18"/>
                      <w:szCs w:val="18"/>
                      <w:highlight w:val="none"/>
                    </w:rPr>
                  </w:pP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-25</w:t>
                  </w:r>
                </w:p>
              </w:tc>
              <w:tc>
                <w:tcPr>
                  <w:tcW w:w="497"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100</w:t>
                  </w:r>
                </w:p>
              </w:tc>
              <w:tc>
                <w:tcPr>
                  <w:tcW w:w="333"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396" w:type="dxa"/>
                  <w:tcBorders>
                    <w:tl2br w:val="nil"/>
                    <w:tr2bl w:val="nil"/>
                  </w:tcBorders>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10</w:t>
                  </w:r>
                </w:p>
              </w:tc>
              <w:tc>
                <w:tcPr>
                  <w:tcW w:w="486"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40</w:t>
                  </w:r>
                </w:p>
              </w:tc>
              <w:tc>
                <w:tcPr>
                  <w:tcW w:w="396"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5</w:t>
                  </w:r>
                </w:p>
              </w:tc>
              <w:tc>
                <w:tcPr>
                  <w:tcW w:w="396"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eastAsia" w:cs="Times New Roman"/>
                      <w:color w:val="auto"/>
                      <w:sz w:val="18"/>
                      <w:szCs w:val="18"/>
                      <w:highlight w:val="none"/>
                      <w:lang w:val="en-US" w:eastAsia="zh-CN"/>
                    </w:rPr>
                    <w:t>1</w:t>
                  </w:r>
                </w:p>
              </w:tc>
              <w:tc>
                <w:tcPr>
                  <w:tcW w:w="531" w:type="dxa"/>
                  <w:tcBorders>
                    <w:tl2br w:val="nil"/>
                    <w:tr2bl w:val="nil"/>
                  </w:tcBorders>
                  <w:shd w:val="clear" w:color="auto" w:fill="auto"/>
                  <w:vAlign w:val="center"/>
                </w:tcPr>
                <w:p>
                  <w:pPr>
                    <w:jc w:val="center"/>
                    <w:rPr>
                      <w:rFonts w:hint="default"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72.2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72.2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72.2 </w:t>
                  </w:r>
                </w:p>
              </w:tc>
              <w:tc>
                <w:tcPr>
                  <w:tcW w:w="531"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 xml:space="preserve">72.8 </w:t>
                  </w:r>
                </w:p>
              </w:tc>
              <w:tc>
                <w:tcPr>
                  <w:tcW w:w="481" w:type="dxa"/>
                  <w:tcBorders>
                    <w:tl2br w:val="nil"/>
                    <w:tr2bl w:val="nil"/>
                  </w:tcBorders>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8h</w:t>
                  </w:r>
                </w:p>
              </w:tc>
              <w:tc>
                <w:tcPr>
                  <w:tcW w:w="742" w:type="dxa"/>
                  <w:tcBorders>
                    <w:tl2br w:val="nil"/>
                    <w:tr2bl w:val="nil"/>
                  </w:tcBorders>
                  <w:vAlign w:val="center"/>
                </w:tcPr>
                <w:p>
                  <w:pPr>
                    <w:jc w:val="center"/>
                    <w:rPr>
                      <w:rFonts w:hint="eastAsia" w:cs="Times New Roman"/>
                      <w:color w:val="auto"/>
                      <w:sz w:val="18"/>
                      <w:szCs w:val="18"/>
                      <w:highlight w:val="none"/>
                      <w:lang w:val="en-US" w:eastAsia="zh-CN"/>
                    </w:rPr>
                  </w:pPr>
                  <w:r>
                    <w:rPr>
                      <w:rFonts w:hint="default" w:cs="Times New Roman"/>
                      <w:color w:val="auto"/>
                      <w:sz w:val="18"/>
                      <w:szCs w:val="18"/>
                      <w:highlight w:val="none"/>
                      <w:lang w:val="en-US" w:eastAsia="zh-CN"/>
                    </w:rPr>
                    <w:t>25</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47.2</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47.2</w:t>
                  </w:r>
                </w:p>
              </w:tc>
              <w:tc>
                <w:tcPr>
                  <w:tcW w:w="531"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47.2</w:t>
                  </w:r>
                </w:p>
              </w:tc>
              <w:tc>
                <w:tcPr>
                  <w:tcW w:w="532" w:type="dxa"/>
                  <w:tcBorders>
                    <w:tl2br w:val="nil"/>
                    <w:tr2bl w:val="nil"/>
                  </w:tcBorders>
                  <w:shd w:val="clear" w:color="auto" w:fill="auto"/>
                  <w:vAlign w:val="center"/>
                </w:tcPr>
                <w:p>
                  <w:pPr>
                    <w:jc w:val="center"/>
                    <w:rPr>
                      <w:rFonts w:hint="eastAsia" w:cs="Times New Roman"/>
                      <w:color w:val="auto"/>
                      <w:sz w:val="18"/>
                      <w:szCs w:val="18"/>
                      <w:highlight w:val="none"/>
                      <w:lang w:val="en-US" w:eastAsia="zh-CN"/>
                    </w:rPr>
                  </w:pPr>
                  <w:r>
                    <w:rPr>
                      <w:rFonts w:hint="eastAsia" w:cs="Times New Roman"/>
                      <w:color w:val="auto"/>
                      <w:sz w:val="18"/>
                      <w:szCs w:val="18"/>
                      <w:highlight w:val="none"/>
                      <w:lang w:val="en-US" w:eastAsia="zh-CN"/>
                    </w:rPr>
                    <w:t>47.8</w:t>
                  </w:r>
                </w:p>
              </w:tc>
              <w:tc>
                <w:tcPr>
                  <w:tcW w:w="581" w:type="dxa"/>
                  <w:tcBorders>
                    <w:tl2br w:val="nil"/>
                    <w:tr2bl w:val="nil"/>
                  </w:tcBorders>
                  <w:shd w:val="clear" w:color="auto" w:fill="auto"/>
                  <w:vAlign w:val="center"/>
                </w:tcPr>
                <w:p>
                  <w:pPr>
                    <w:spacing w:line="240" w:lineRule="auto"/>
                    <w:jc w:val="center"/>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lang w:val="en-US" w:eastAsia="zh-CN"/>
                    </w:rPr>
                    <w:t>1m</w:t>
                  </w:r>
                </w:p>
              </w:tc>
            </w:tr>
          </w:tbl>
          <w:p>
            <w:pPr>
              <w:pStyle w:val="22"/>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ind w:firstLine="360" w:firstLineChars="200"/>
              <w:jc w:val="both"/>
              <w:textAlignment w:val="auto"/>
              <w:outlineLvl w:val="0"/>
              <w:rPr>
                <w:rFonts w:hint="default" w:ascii="Times New Roman" w:hAnsi="Times New Roman" w:cs="Times New Roman" w:eastAsiaTheme="minorEastAsia"/>
                <w:snapToGrid w:val="0"/>
                <w:color w:val="auto"/>
                <w:sz w:val="21"/>
                <w:szCs w:val="21"/>
                <w:highlight w:val="none"/>
              </w:rPr>
            </w:pPr>
            <w:r>
              <w:rPr>
                <w:rFonts w:hint="default" w:ascii="Times New Roman" w:hAnsi="Times New Roman" w:cs="Times New Roman" w:eastAsiaTheme="minorEastAsia"/>
                <w:snapToGrid w:val="0"/>
                <w:color w:val="auto"/>
                <w:sz w:val="18"/>
                <w:szCs w:val="18"/>
                <w:highlight w:val="none"/>
              </w:rPr>
              <w:t>备注：（1）根据《噪声污染控制工程》（高等教育出版社，洪宗辉）中资料，砖墙的隔声量为49dB（A）。考虑到门窗面积和开窗对隔声的负面影响，实际隔声量在25dB（A）左右，本项目建筑物隔声量取25dB</w:t>
            </w:r>
            <w:r>
              <w:rPr>
                <w:rFonts w:hint="eastAsia" w:ascii="Times New Roman" w:hAnsi="Times New Roman" w:cs="Times New Roman" w:eastAsiaTheme="minorEastAsia"/>
                <w:snapToGrid w:val="0"/>
                <w:color w:val="auto"/>
                <w:sz w:val="18"/>
                <w:szCs w:val="18"/>
                <w:highlight w:val="none"/>
                <w:lang w:eastAsia="zh-CN"/>
              </w:rPr>
              <w:t>（</w:t>
            </w:r>
            <w:r>
              <w:rPr>
                <w:rFonts w:hint="default" w:ascii="Times New Roman" w:hAnsi="Times New Roman" w:cs="Times New Roman" w:eastAsiaTheme="minorEastAsia"/>
                <w:snapToGrid w:val="0"/>
                <w:color w:val="auto"/>
                <w:sz w:val="18"/>
                <w:szCs w:val="18"/>
                <w:highlight w:val="none"/>
              </w:rPr>
              <w:t>A</w:t>
            </w:r>
            <w:r>
              <w:rPr>
                <w:rFonts w:hint="eastAsia" w:ascii="Times New Roman" w:hAnsi="Times New Roman" w:cs="Times New Roman" w:eastAsiaTheme="minorEastAsia"/>
                <w:snapToGrid w:val="0"/>
                <w:color w:val="auto"/>
                <w:sz w:val="18"/>
                <w:szCs w:val="18"/>
                <w:highlight w:val="none"/>
                <w:lang w:eastAsia="zh-CN"/>
              </w:rPr>
              <w:t>）</w:t>
            </w:r>
            <w:r>
              <w:rPr>
                <w:rFonts w:hint="default" w:ascii="Times New Roman" w:hAnsi="Times New Roman" w:cs="Times New Roman" w:eastAsiaTheme="minorEastAsia"/>
                <w:snapToGrid w:val="0"/>
                <w:color w:val="auto"/>
                <w:sz w:val="18"/>
                <w:szCs w:val="18"/>
                <w:highlight w:val="none"/>
              </w:rPr>
              <w:t>。（2）以</w:t>
            </w:r>
            <w:r>
              <w:rPr>
                <w:rFonts w:hint="eastAsia" w:ascii="Times New Roman" w:hAnsi="Times New Roman" w:cs="Times New Roman" w:eastAsiaTheme="minorEastAsia"/>
                <w:snapToGrid w:val="0"/>
                <w:color w:val="auto"/>
                <w:sz w:val="18"/>
                <w:szCs w:val="18"/>
                <w:highlight w:val="none"/>
                <w:lang w:val="en-US" w:eastAsia="zh-CN"/>
              </w:rPr>
              <w:t>车间一</w:t>
            </w:r>
            <w:r>
              <w:rPr>
                <w:rFonts w:hint="default" w:ascii="Times New Roman" w:hAnsi="Times New Roman" w:cs="Times New Roman" w:eastAsiaTheme="minorEastAsia"/>
                <w:snapToGrid w:val="0"/>
                <w:color w:val="auto"/>
                <w:sz w:val="18"/>
                <w:szCs w:val="18"/>
                <w:highlight w:val="none"/>
                <w:lang w:val="en-US" w:eastAsia="zh-CN"/>
              </w:rPr>
              <w:t>左下角</w:t>
            </w:r>
            <w:r>
              <w:rPr>
                <w:rFonts w:hint="default" w:ascii="Times New Roman" w:hAnsi="Times New Roman" w:cs="Times New Roman" w:eastAsiaTheme="minorEastAsia"/>
                <w:snapToGrid w:val="0"/>
                <w:color w:val="auto"/>
                <w:sz w:val="18"/>
                <w:szCs w:val="18"/>
                <w:highlight w:val="none"/>
              </w:rPr>
              <w:t>为源点（0,0）。</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表4.3-2工业企业噪声源强调查清单（室外声源）</w:t>
            </w:r>
          </w:p>
          <w:tbl>
            <w:tblPr>
              <w:tblStyle w:val="25"/>
              <w:tblW w:w="13532"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9"/>
              <w:gridCol w:w="1465"/>
              <w:gridCol w:w="1736"/>
              <w:gridCol w:w="1267"/>
              <w:gridCol w:w="988"/>
              <w:gridCol w:w="1116"/>
              <w:gridCol w:w="2695"/>
              <w:gridCol w:w="1566"/>
              <w:gridCol w:w="164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059"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序号</w:t>
                  </w:r>
                </w:p>
              </w:tc>
              <w:tc>
                <w:tcPr>
                  <w:tcW w:w="1465"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声源名称</w:t>
                  </w:r>
                </w:p>
              </w:tc>
              <w:tc>
                <w:tcPr>
                  <w:tcW w:w="1736"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型号</w:t>
                  </w:r>
                </w:p>
              </w:tc>
              <w:tc>
                <w:tcPr>
                  <w:tcW w:w="3371" w:type="dxa"/>
                  <w:gridSpan w:val="3"/>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空间相对位置/m</w:t>
                  </w:r>
                </w:p>
              </w:tc>
              <w:tc>
                <w:tcPr>
                  <w:tcW w:w="2695"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声源源强</w:t>
                  </w:r>
                </w:p>
              </w:tc>
              <w:tc>
                <w:tcPr>
                  <w:tcW w:w="1566"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声源控制措施</w:t>
                  </w:r>
                </w:p>
              </w:tc>
              <w:tc>
                <w:tcPr>
                  <w:tcW w:w="1640"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运行时段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trPr>
              <w:tc>
                <w:tcPr>
                  <w:tcW w:w="1059"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465"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736"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267"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X</w:t>
                  </w:r>
                </w:p>
              </w:tc>
              <w:tc>
                <w:tcPr>
                  <w:tcW w:w="988"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Y</w:t>
                  </w:r>
                </w:p>
              </w:tc>
              <w:tc>
                <w:tcPr>
                  <w:tcW w:w="1116"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Z</w:t>
                  </w:r>
                </w:p>
              </w:tc>
              <w:tc>
                <w:tcPr>
                  <w:tcW w:w="2695" w:type="dxa"/>
                  <w:tcBorders>
                    <w:tl2br w:val="nil"/>
                    <w:tr2bl w:val="nil"/>
                  </w:tcBorders>
                  <w:shd w:val="clear" w:color="auto" w:fill="auto"/>
                  <w:vAlign w:val="center"/>
                </w:tcPr>
                <w:p>
                  <w:pPr>
                    <w:widowControl/>
                    <w:jc w:val="center"/>
                    <w:rPr>
                      <w:rFonts w:hint="eastAsia" w:ascii="Times New Roman" w:hAnsi="Times New Roman" w:cs="Times New Roman" w:eastAsiaTheme="minorEastAsia"/>
                      <w:color w:val="auto"/>
                      <w:kern w:val="0"/>
                      <w:szCs w:val="21"/>
                      <w:highlight w:val="none"/>
                      <w:lang w:eastAsia="zh-CN"/>
                    </w:rPr>
                  </w:pPr>
                  <w:r>
                    <w:rPr>
                      <w:rFonts w:hint="default" w:ascii="Times New Roman" w:hAnsi="Times New Roman" w:cs="Times New Roman" w:eastAsiaTheme="minorEastAsia"/>
                      <w:color w:val="auto"/>
                      <w:kern w:val="0"/>
                      <w:szCs w:val="21"/>
                      <w:highlight w:val="none"/>
                    </w:rPr>
                    <w:t>（声压级/距声源源强）/</w:t>
                  </w:r>
                  <w:r>
                    <w:rPr>
                      <w:rFonts w:hint="eastAsia" w:cs="Times New Roman" w:eastAsiaTheme="minorEastAsia"/>
                      <w:color w:val="auto"/>
                      <w:kern w:val="0"/>
                      <w:szCs w:val="21"/>
                      <w:highlight w:val="none"/>
                      <w:lang w:eastAsia="zh-CN"/>
                    </w:rPr>
                    <w:t>（</w:t>
                  </w:r>
                  <w:r>
                    <w:rPr>
                      <w:rFonts w:hint="default" w:ascii="Times New Roman" w:hAnsi="Times New Roman" w:cs="Times New Roman" w:eastAsiaTheme="minorEastAsia"/>
                      <w:color w:val="auto"/>
                      <w:kern w:val="0"/>
                      <w:szCs w:val="21"/>
                      <w:highlight w:val="none"/>
                    </w:rPr>
                    <w:t>dB</w:t>
                  </w:r>
                  <w:r>
                    <w:rPr>
                      <w:rFonts w:hint="eastAsia" w:cs="Times New Roman" w:eastAsiaTheme="minorEastAsia"/>
                      <w:color w:val="auto"/>
                      <w:kern w:val="0"/>
                      <w:szCs w:val="21"/>
                      <w:highlight w:val="none"/>
                      <w:lang w:eastAsia="zh-CN"/>
                    </w:rPr>
                    <w:t>（</w:t>
                  </w:r>
                  <w:r>
                    <w:rPr>
                      <w:rFonts w:hint="default" w:ascii="Times New Roman" w:hAnsi="Times New Roman" w:cs="Times New Roman" w:eastAsiaTheme="minorEastAsia"/>
                      <w:color w:val="auto"/>
                      <w:kern w:val="0"/>
                      <w:szCs w:val="21"/>
                      <w:highlight w:val="none"/>
                    </w:rPr>
                    <w:t>A</w:t>
                  </w:r>
                  <w:r>
                    <w:rPr>
                      <w:rFonts w:hint="eastAsia" w:cs="Times New Roman" w:eastAsiaTheme="minorEastAsia"/>
                      <w:color w:val="auto"/>
                      <w:kern w:val="0"/>
                      <w:szCs w:val="21"/>
                      <w:highlight w:val="none"/>
                      <w:lang w:eastAsia="zh-CN"/>
                    </w:rPr>
                    <w:t>）</w:t>
                  </w:r>
                  <w:r>
                    <w:rPr>
                      <w:rFonts w:hint="default" w:ascii="Times New Roman" w:hAnsi="Times New Roman" w:cs="Times New Roman" w:eastAsiaTheme="minorEastAsia"/>
                      <w:color w:val="auto"/>
                      <w:kern w:val="0"/>
                      <w:szCs w:val="21"/>
                      <w:highlight w:val="none"/>
                    </w:rPr>
                    <w:t>/m</w:t>
                  </w:r>
                  <w:r>
                    <w:rPr>
                      <w:rFonts w:hint="eastAsia" w:cs="Times New Roman" w:eastAsiaTheme="minorEastAsia"/>
                      <w:color w:val="auto"/>
                      <w:kern w:val="0"/>
                      <w:szCs w:val="21"/>
                      <w:highlight w:val="none"/>
                      <w:lang w:eastAsia="zh-CN"/>
                    </w:rPr>
                    <w:t>）</w:t>
                  </w:r>
                </w:p>
              </w:tc>
              <w:tc>
                <w:tcPr>
                  <w:tcW w:w="1566"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640"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059"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1</w:t>
                  </w:r>
                </w:p>
              </w:tc>
              <w:tc>
                <w:tcPr>
                  <w:tcW w:w="1465"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DA001风机1</w:t>
                  </w:r>
                </w:p>
              </w:tc>
              <w:tc>
                <w:tcPr>
                  <w:tcW w:w="1736" w:type="dxa"/>
                  <w:tcBorders>
                    <w:tl2br w:val="nil"/>
                    <w:tr2bl w:val="nil"/>
                  </w:tcBorders>
                  <w:shd w:val="clear" w:color="auto" w:fill="auto"/>
                  <w:noWrap/>
                  <w:vAlign w:val="center"/>
                </w:tcPr>
                <w:p>
                  <w:pPr>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w:t>
                  </w:r>
                </w:p>
              </w:tc>
              <w:tc>
                <w:tcPr>
                  <w:tcW w:w="1267" w:type="dxa"/>
                  <w:tcBorders>
                    <w:tl2br w:val="nil"/>
                    <w:tr2bl w:val="nil"/>
                  </w:tcBorders>
                  <w:shd w:val="clear" w:color="auto" w:fill="auto"/>
                  <w:noWrap/>
                  <w:vAlign w:val="center"/>
                </w:tcPr>
                <w:p>
                  <w:pPr>
                    <w:jc w:val="center"/>
                    <w:rPr>
                      <w:rFonts w:hint="default" w:ascii="Times New Roman" w:hAnsi="Times New Roman" w:eastAsia="宋体" w:cs="Times New Roman"/>
                      <w:color w:val="auto"/>
                      <w:kern w:val="0"/>
                      <w:szCs w:val="21"/>
                      <w:highlight w:val="none"/>
                      <w:lang w:val="en-US" w:eastAsia="zh-CN"/>
                    </w:rPr>
                  </w:pPr>
                  <w:r>
                    <w:rPr>
                      <w:rFonts w:hint="eastAsia"/>
                      <w:color w:val="auto"/>
                      <w:lang w:val="en-US" w:eastAsia="zh-CN"/>
                    </w:rPr>
                    <w:t>0</w:t>
                  </w:r>
                </w:p>
              </w:tc>
              <w:tc>
                <w:tcPr>
                  <w:tcW w:w="988" w:type="dxa"/>
                  <w:tcBorders>
                    <w:tl2br w:val="nil"/>
                    <w:tr2bl w:val="nil"/>
                  </w:tcBorders>
                  <w:shd w:val="clear" w:color="auto" w:fill="auto"/>
                  <w:noWrap/>
                  <w:vAlign w:val="center"/>
                </w:tcPr>
                <w:p>
                  <w:pPr>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35</w:t>
                  </w:r>
                </w:p>
              </w:tc>
              <w:tc>
                <w:tcPr>
                  <w:tcW w:w="1116" w:type="dxa"/>
                  <w:tcBorders>
                    <w:tl2br w:val="nil"/>
                    <w:tr2bl w:val="nil"/>
                  </w:tcBorders>
                  <w:shd w:val="clear" w:color="auto" w:fill="auto"/>
                  <w:noWrap/>
                  <w:vAlign w:val="center"/>
                </w:tcPr>
                <w:p>
                  <w:pPr>
                    <w:widowControl/>
                    <w:jc w:val="center"/>
                    <w:rPr>
                      <w:rFonts w:hint="eastAsia" w:ascii="Times New Roman" w:hAnsi="Times New Roman" w:cs="Times New Roman" w:eastAsiaTheme="minorEastAsia"/>
                      <w:color w:val="auto"/>
                      <w:kern w:val="0"/>
                      <w:szCs w:val="21"/>
                      <w:highlight w:val="none"/>
                      <w:lang w:eastAsia="zh-CN"/>
                    </w:rPr>
                  </w:pPr>
                  <w:r>
                    <w:rPr>
                      <w:rFonts w:hint="eastAsia" w:cs="Times New Roman" w:eastAsiaTheme="minorEastAsia"/>
                      <w:color w:val="auto"/>
                      <w:kern w:val="0"/>
                      <w:szCs w:val="21"/>
                      <w:highlight w:val="none"/>
                      <w:lang w:val="en-US" w:eastAsia="zh-CN"/>
                    </w:rPr>
                    <w:t>1</w:t>
                  </w:r>
                </w:p>
              </w:tc>
              <w:tc>
                <w:tcPr>
                  <w:tcW w:w="2695"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80</w:t>
                  </w:r>
                </w:p>
              </w:tc>
              <w:tc>
                <w:tcPr>
                  <w:tcW w:w="1566" w:type="dxa"/>
                  <w:vMerge w:val="restart"/>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隔声房/消声器</w:t>
                  </w:r>
                </w:p>
              </w:tc>
              <w:tc>
                <w:tcPr>
                  <w:tcW w:w="1640"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昼间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059"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2</w:t>
                  </w:r>
                </w:p>
              </w:tc>
              <w:tc>
                <w:tcPr>
                  <w:tcW w:w="1465" w:type="dxa"/>
                  <w:tcBorders>
                    <w:tl2br w:val="nil"/>
                    <w:tr2bl w:val="nil"/>
                  </w:tcBorders>
                  <w:shd w:val="clear" w:color="auto" w:fill="auto"/>
                  <w:noWrap/>
                  <w:vAlign w:val="center"/>
                </w:tcPr>
                <w:p>
                  <w:pPr>
                    <w:widowControl/>
                    <w:jc w:val="center"/>
                    <w:rPr>
                      <w:rFonts w:hint="eastAsia" w:ascii="Times New Roman" w:hAnsi="Times New Roman" w:cs="Times New Roman" w:eastAsiaTheme="minorEastAsia"/>
                      <w:color w:val="auto"/>
                      <w:kern w:val="0"/>
                      <w:szCs w:val="21"/>
                      <w:highlight w:val="none"/>
                      <w:lang w:eastAsia="zh-CN"/>
                    </w:rPr>
                  </w:pPr>
                  <w:r>
                    <w:rPr>
                      <w:rFonts w:hint="eastAsia" w:cs="Times New Roman" w:eastAsiaTheme="minorEastAsia"/>
                      <w:color w:val="auto"/>
                      <w:kern w:val="0"/>
                      <w:szCs w:val="21"/>
                      <w:highlight w:val="none"/>
                      <w:lang w:val="en-US" w:eastAsia="zh-CN"/>
                    </w:rPr>
                    <w:t>DA001风机</w:t>
                  </w:r>
                  <w:r>
                    <w:rPr>
                      <w:rFonts w:hint="eastAsia"/>
                      <w:color w:val="auto"/>
                      <w:lang w:val="en-US" w:eastAsia="zh-CN"/>
                    </w:rPr>
                    <w:t>2</w:t>
                  </w:r>
                </w:p>
              </w:tc>
              <w:tc>
                <w:tcPr>
                  <w:tcW w:w="1736" w:type="dxa"/>
                  <w:tcBorders>
                    <w:tl2br w:val="nil"/>
                    <w:tr2bl w:val="nil"/>
                  </w:tcBorders>
                  <w:shd w:val="clear" w:color="auto" w:fill="auto"/>
                  <w:noWrap/>
                  <w:vAlign w:val="center"/>
                </w:tcPr>
                <w:p>
                  <w:pPr>
                    <w:widowControl/>
                    <w:jc w:val="center"/>
                    <w:rPr>
                      <w:rFonts w:hint="eastAsia"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w:t>
                  </w:r>
                </w:p>
              </w:tc>
              <w:tc>
                <w:tcPr>
                  <w:tcW w:w="1267" w:type="dxa"/>
                  <w:tcBorders>
                    <w:tl2br w:val="nil"/>
                    <w:tr2bl w:val="nil"/>
                  </w:tcBorders>
                  <w:shd w:val="clear" w:color="auto" w:fill="auto"/>
                  <w:noWrap/>
                  <w:vAlign w:val="center"/>
                </w:tcPr>
                <w:p>
                  <w:pPr>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0</w:t>
                  </w:r>
                </w:p>
              </w:tc>
              <w:tc>
                <w:tcPr>
                  <w:tcW w:w="988" w:type="dxa"/>
                  <w:tcBorders>
                    <w:tl2br w:val="nil"/>
                    <w:tr2bl w:val="nil"/>
                  </w:tcBorders>
                  <w:shd w:val="clear" w:color="auto" w:fill="auto"/>
                  <w:noWrap/>
                  <w:vAlign w:val="center"/>
                </w:tcPr>
                <w:p>
                  <w:pPr>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60</w:t>
                  </w:r>
                </w:p>
              </w:tc>
              <w:tc>
                <w:tcPr>
                  <w:tcW w:w="1116" w:type="dxa"/>
                  <w:tcBorders>
                    <w:tl2br w:val="nil"/>
                    <w:tr2bl w:val="nil"/>
                  </w:tcBorders>
                  <w:shd w:val="clear" w:color="auto" w:fill="auto"/>
                  <w:noWrap/>
                  <w:vAlign w:val="center"/>
                </w:tcPr>
                <w:p>
                  <w:pPr>
                    <w:widowControl/>
                    <w:jc w:val="center"/>
                    <w:rPr>
                      <w:rFonts w:hint="eastAsia" w:ascii="Times New Roman" w:hAnsi="Times New Roman" w:cs="Times New Roman" w:eastAsiaTheme="minorEastAsia"/>
                      <w:color w:val="auto"/>
                      <w:kern w:val="0"/>
                      <w:szCs w:val="21"/>
                      <w:highlight w:val="none"/>
                      <w:lang w:eastAsia="zh-CN"/>
                    </w:rPr>
                  </w:pPr>
                  <w:r>
                    <w:rPr>
                      <w:rFonts w:hint="eastAsia" w:cs="Times New Roman" w:eastAsiaTheme="minorEastAsia"/>
                      <w:color w:val="auto"/>
                      <w:kern w:val="0"/>
                      <w:szCs w:val="21"/>
                      <w:highlight w:val="none"/>
                      <w:lang w:val="en-US" w:eastAsia="zh-CN"/>
                    </w:rPr>
                    <w:t>1</w:t>
                  </w:r>
                </w:p>
              </w:tc>
              <w:tc>
                <w:tcPr>
                  <w:tcW w:w="2695"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lang w:val="en-US" w:eastAsia="zh-CN"/>
                    </w:rPr>
                  </w:pPr>
                  <w:r>
                    <w:rPr>
                      <w:rFonts w:hint="default" w:ascii="Times New Roman" w:hAnsi="Times New Roman" w:cs="Times New Roman" w:eastAsiaTheme="minorEastAsia"/>
                      <w:color w:val="auto"/>
                      <w:kern w:val="0"/>
                      <w:szCs w:val="21"/>
                      <w:highlight w:val="none"/>
                      <w:lang w:val="en-US" w:eastAsia="zh-CN"/>
                    </w:rPr>
                    <w:t>80</w:t>
                  </w:r>
                </w:p>
              </w:tc>
              <w:tc>
                <w:tcPr>
                  <w:tcW w:w="1566"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640"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昼间</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70" w:hRule="atLeast"/>
              </w:trPr>
              <w:tc>
                <w:tcPr>
                  <w:tcW w:w="1059" w:type="dxa"/>
                  <w:tcBorders>
                    <w:tl2br w:val="nil"/>
                    <w:tr2bl w:val="nil"/>
                  </w:tcBorders>
                  <w:shd w:val="clear" w:color="auto" w:fill="auto"/>
                  <w:noWrap/>
                  <w:vAlign w:val="center"/>
                </w:tcPr>
                <w:p>
                  <w:pPr>
                    <w:widowControl/>
                    <w:jc w:val="center"/>
                    <w:rPr>
                      <w:rFonts w:hint="eastAsia"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3</w:t>
                  </w:r>
                </w:p>
              </w:tc>
              <w:tc>
                <w:tcPr>
                  <w:tcW w:w="1465" w:type="dxa"/>
                  <w:tcBorders>
                    <w:tl2br w:val="nil"/>
                    <w:tr2bl w:val="nil"/>
                  </w:tcBorders>
                  <w:shd w:val="clear" w:color="auto" w:fill="auto"/>
                  <w:noWrap/>
                  <w:vAlign w:val="center"/>
                </w:tcPr>
                <w:p>
                  <w:pPr>
                    <w:widowControl/>
                    <w:jc w:val="center"/>
                    <w:rPr>
                      <w:rFonts w:hint="eastAsia"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DA002风机</w:t>
                  </w:r>
                </w:p>
              </w:tc>
              <w:tc>
                <w:tcPr>
                  <w:tcW w:w="1736" w:type="dxa"/>
                  <w:tcBorders>
                    <w:tl2br w:val="nil"/>
                    <w:tr2bl w:val="nil"/>
                  </w:tcBorders>
                  <w:shd w:val="clear" w:color="auto" w:fill="auto"/>
                  <w:noWrap/>
                  <w:vAlign w:val="center"/>
                </w:tcPr>
                <w:p>
                  <w:pPr>
                    <w:widowControl/>
                    <w:jc w:val="center"/>
                    <w:rPr>
                      <w:rFonts w:hint="default"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w:t>
                  </w:r>
                </w:p>
              </w:tc>
              <w:tc>
                <w:tcPr>
                  <w:tcW w:w="1267" w:type="dxa"/>
                  <w:tcBorders>
                    <w:tl2br w:val="nil"/>
                    <w:tr2bl w:val="nil"/>
                  </w:tcBorders>
                  <w:shd w:val="clear" w:color="auto" w:fill="auto"/>
                  <w:noWrap/>
                  <w:vAlign w:val="center"/>
                </w:tcPr>
                <w:p>
                  <w:pPr>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130</w:t>
                  </w:r>
                </w:p>
              </w:tc>
              <w:tc>
                <w:tcPr>
                  <w:tcW w:w="988" w:type="dxa"/>
                  <w:tcBorders>
                    <w:tl2br w:val="nil"/>
                    <w:tr2bl w:val="nil"/>
                  </w:tcBorders>
                  <w:shd w:val="clear" w:color="auto" w:fill="auto"/>
                  <w:noWrap/>
                  <w:vAlign w:val="center"/>
                </w:tcPr>
                <w:p>
                  <w:pPr>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60</w:t>
                  </w:r>
                </w:p>
              </w:tc>
              <w:tc>
                <w:tcPr>
                  <w:tcW w:w="1116" w:type="dxa"/>
                  <w:tcBorders>
                    <w:tl2br w:val="nil"/>
                    <w:tr2bl w:val="nil"/>
                  </w:tcBorders>
                  <w:shd w:val="clear" w:color="auto" w:fill="auto"/>
                  <w:noWrap/>
                  <w:vAlign w:val="center"/>
                </w:tcPr>
                <w:p>
                  <w:pPr>
                    <w:widowControl/>
                    <w:jc w:val="center"/>
                    <w:rPr>
                      <w:rFonts w:hint="default"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1</w:t>
                  </w:r>
                </w:p>
              </w:tc>
              <w:tc>
                <w:tcPr>
                  <w:tcW w:w="2695" w:type="dxa"/>
                  <w:tcBorders>
                    <w:tl2br w:val="nil"/>
                    <w:tr2bl w:val="nil"/>
                  </w:tcBorders>
                  <w:shd w:val="clear" w:color="auto" w:fill="auto"/>
                  <w:noWrap/>
                  <w:vAlign w:val="center"/>
                </w:tcPr>
                <w:p>
                  <w:pPr>
                    <w:widowControl/>
                    <w:jc w:val="center"/>
                    <w:rPr>
                      <w:rFonts w:hint="default" w:ascii="Times New Roman" w:hAnsi="Times New Roman" w:cs="Times New Roman" w:eastAsiaTheme="minorEastAsia"/>
                      <w:color w:val="auto"/>
                      <w:kern w:val="0"/>
                      <w:szCs w:val="21"/>
                      <w:highlight w:val="none"/>
                      <w:lang w:val="en-US" w:eastAsia="zh-CN"/>
                    </w:rPr>
                  </w:pPr>
                  <w:r>
                    <w:rPr>
                      <w:rFonts w:hint="eastAsia" w:cs="Times New Roman" w:eastAsiaTheme="minorEastAsia"/>
                      <w:color w:val="auto"/>
                      <w:kern w:val="0"/>
                      <w:szCs w:val="21"/>
                      <w:highlight w:val="none"/>
                      <w:lang w:val="en-US" w:eastAsia="zh-CN"/>
                    </w:rPr>
                    <w:t>80</w:t>
                  </w:r>
                </w:p>
              </w:tc>
              <w:tc>
                <w:tcPr>
                  <w:tcW w:w="1566" w:type="dxa"/>
                  <w:vMerge w:val="continue"/>
                  <w:tcBorders>
                    <w:tl2br w:val="nil"/>
                    <w:tr2bl w:val="nil"/>
                  </w:tcBorders>
                  <w:vAlign w:val="center"/>
                </w:tcPr>
                <w:p>
                  <w:pPr>
                    <w:widowControl/>
                    <w:jc w:val="center"/>
                    <w:rPr>
                      <w:rFonts w:hint="default" w:ascii="Times New Roman" w:hAnsi="Times New Roman" w:cs="Times New Roman" w:eastAsiaTheme="minorEastAsia"/>
                      <w:color w:val="auto"/>
                      <w:kern w:val="0"/>
                      <w:szCs w:val="21"/>
                      <w:highlight w:val="none"/>
                    </w:rPr>
                  </w:pPr>
                </w:p>
              </w:tc>
              <w:tc>
                <w:tcPr>
                  <w:tcW w:w="1640" w:type="dxa"/>
                  <w:tcBorders>
                    <w:tl2br w:val="nil"/>
                    <w:tr2bl w:val="nil"/>
                  </w:tcBorders>
                  <w:shd w:val="clear" w:color="auto" w:fill="auto"/>
                  <w:vAlign w:val="center"/>
                </w:tcPr>
                <w:p>
                  <w:pPr>
                    <w:widowControl/>
                    <w:jc w:val="center"/>
                    <w:rPr>
                      <w:rFonts w:hint="default" w:ascii="Times New Roman" w:hAnsi="Times New Roman" w:cs="Times New Roman" w:eastAsiaTheme="minorEastAsia"/>
                      <w:color w:val="auto"/>
                      <w:kern w:val="0"/>
                      <w:szCs w:val="21"/>
                      <w:highlight w:val="none"/>
                    </w:rPr>
                  </w:pPr>
                  <w:r>
                    <w:rPr>
                      <w:rFonts w:hint="default" w:ascii="Times New Roman" w:hAnsi="Times New Roman" w:cs="Times New Roman" w:eastAsiaTheme="minorEastAsia"/>
                      <w:color w:val="auto"/>
                      <w:kern w:val="0"/>
                      <w:szCs w:val="21"/>
                      <w:highlight w:val="none"/>
                    </w:rPr>
                    <w:t>昼间</w:t>
                  </w:r>
                </w:p>
              </w:tc>
            </w:tr>
          </w:tbl>
          <w:p>
            <w:pPr>
              <w:pStyle w:val="22"/>
              <w:keepNext w:val="0"/>
              <w:keepLines w:val="0"/>
              <w:pageBreakBefore w:val="0"/>
              <w:widowControl/>
              <w:kinsoku/>
              <w:wordWrap/>
              <w:overflowPunct/>
              <w:topLinePunct w:val="0"/>
              <w:autoSpaceDE/>
              <w:autoSpaceDN/>
              <w:bidi w:val="0"/>
              <w:adjustRightInd/>
              <w:snapToGrid w:val="0"/>
              <w:spacing w:before="0" w:beforeAutospacing="0" w:after="0" w:afterAutospacing="0" w:line="240" w:lineRule="auto"/>
              <w:ind w:firstLine="360" w:firstLineChars="200"/>
              <w:jc w:val="both"/>
              <w:textAlignment w:val="auto"/>
              <w:outlineLvl w:val="0"/>
              <w:rPr>
                <w:rFonts w:hint="eastAsia" w:ascii="Times New Roman" w:hAnsi="Times New Roman" w:cs="Times New Roman" w:eastAsiaTheme="minorEastAsia"/>
                <w:b/>
                <w:snapToGrid w:val="0"/>
                <w:color w:val="auto"/>
                <w:sz w:val="30"/>
                <w:szCs w:val="30"/>
                <w:highlight w:val="none"/>
                <w:lang w:val="en-US" w:eastAsia="zh-CN"/>
              </w:rPr>
            </w:pPr>
            <w:r>
              <w:rPr>
                <w:rFonts w:hint="default" w:ascii="Times New Roman" w:hAnsi="Times New Roman" w:cs="Times New Roman" w:eastAsiaTheme="minorEastAsia"/>
                <w:snapToGrid w:val="0"/>
                <w:color w:val="auto"/>
                <w:sz w:val="18"/>
                <w:szCs w:val="18"/>
                <w:highlight w:val="none"/>
              </w:rPr>
              <w:t>备注：以</w:t>
            </w:r>
            <w:r>
              <w:rPr>
                <w:rFonts w:hint="eastAsia" w:ascii="Times New Roman" w:hAnsi="Times New Roman" w:cs="Times New Roman" w:eastAsiaTheme="minorEastAsia"/>
                <w:snapToGrid w:val="0"/>
                <w:color w:val="auto"/>
                <w:sz w:val="18"/>
                <w:szCs w:val="18"/>
                <w:highlight w:val="none"/>
                <w:lang w:val="en-US" w:eastAsia="zh-CN"/>
              </w:rPr>
              <w:t>车间一</w:t>
            </w:r>
            <w:r>
              <w:rPr>
                <w:rFonts w:hint="default" w:ascii="Times New Roman" w:hAnsi="Times New Roman" w:cs="Times New Roman" w:eastAsiaTheme="minorEastAsia"/>
                <w:snapToGrid w:val="0"/>
                <w:color w:val="auto"/>
                <w:sz w:val="18"/>
                <w:szCs w:val="18"/>
                <w:highlight w:val="none"/>
                <w:lang w:val="en-US" w:eastAsia="zh-CN"/>
              </w:rPr>
              <w:t>左下角</w:t>
            </w:r>
            <w:r>
              <w:rPr>
                <w:rFonts w:hint="default" w:ascii="Times New Roman" w:hAnsi="Times New Roman" w:cs="Times New Roman" w:eastAsiaTheme="minorEastAsia"/>
                <w:snapToGrid w:val="0"/>
                <w:color w:val="auto"/>
                <w:sz w:val="18"/>
                <w:szCs w:val="18"/>
                <w:highlight w:val="none"/>
              </w:rPr>
              <w:t>为源点（0,0）</w:t>
            </w:r>
            <w:r>
              <w:rPr>
                <w:rFonts w:hint="eastAsia" w:ascii="Times New Roman" w:hAnsi="Times New Roman" w:cs="Times New Roman" w:eastAsiaTheme="minorEastAsia"/>
                <w:snapToGrid w:val="0"/>
                <w:color w:val="auto"/>
                <w:sz w:val="18"/>
                <w:szCs w:val="18"/>
                <w:highlight w:val="none"/>
                <w:lang w:eastAsia="zh-CN"/>
              </w:rPr>
              <w:t>。</w:t>
            </w:r>
          </w:p>
        </w:tc>
      </w:tr>
    </w:tbl>
    <w:p>
      <w:pPr>
        <w:pStyle w:val="22"/>
        <w:jc w:val="center"/>
        <w:outlineLvl w:val="0"/>
        <w:rPr>
          <w:rFonts w:hint="default" w:ascii="Times New Roman" w:hAnsi="Times New Roman" w:cs="Times New Roman"/>
          <w:b/>
          <w:snapToGrid w:val="0"/>
          <w:color w:val="auto"/>
          <w:sz w:val="30"/>
          <w:szCs w:val="30"/>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tbl>
      <w:tblPr>
        <w:tblStyle w:val="26"/>
        <w:tblW w:w="924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9"/>
        <w:gridCol w:w="87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99" w:type="dxa"/>
            <w:vAlign w:val="center"/>
          </w:tcPr>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运</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营</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期</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环</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境</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影</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响</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和</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保</w:t>
            </w:r>
          </w:p>
          <w:p>
            <w:pPr>
              <w:adjustRightInd w:val="0"/>
              <w:snapToGrid w:val="0"/>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护</w:t>
            </w:r>
          </w:p>
          <w:p>
            <w:pPr>
              <w:jc w:val="center"/>
              <w:rPr>
                <w:rFonts w:hint="default" w:ascii="Times New Roman" w:hAnsi="Times New Roman" w:cs="Times New Roman"/>
                <w:bCs/>
                <w:color w:val="auto"/>
                <w:kern w:val="0"/>
                <w:sz w:val="21"/>
                <w:szCs w:val="21"/>
                <w:highlight w:val="none"/>
              </w:rPr>
            </w:pPr>
            <w:r>
              <w:rPr>
                <w:rFonts w:hint="default" w:ascii="Times New Roman" w:hAnsi="Times New Roman" w:cs="Times New Roman"/>
                <w:bCs/>
                <w:color w:val="auto"/>
                <w:kern w:val="0"/>
                <w:sz w:val="21"/>
                <w:szCs w:val="21"/>
                <w:highlight w:val="none"/>
              </w:rPr>
              <w:t>措</w:t>
            </w:r>
          </w:p>
          <w:p>
            <w:pPr>
              <w:jc w:val="center"/>
              <w:rPr>
                <w:rFonts w:hint="default" w:ascii="Times New Roman" w:hAnsi="Times New Roman" w:cs="Times New Roman"/>
                <w:color w:val="auto"/>
                <w:kern w:val="0"/>
                <w:sz w:val="21"/>
                <w:szCs w:val="21"/>
                <w:highlight w:val="none"/>
              </w:rPr>
            </w:pPr>
            <w:r>
              <w:rPr>
                <w:rFonts w:hint="default" w:ascii="Times New Roman" w:hAnsi="Times New Roman" w:cs="Times New Roman"/>
                <w:bCs/>
                <w:color w:val="auto"/>
                <w:kern w:val="0"/>
                <w:sz w:val="21"/>
                <w:szCs w:val="21"/>
                <w:highlight w:val="none"/>
              </w:rPr>
              <w:t>施</w:t>
            </w:r>
          </w:p>
          <w:p>
            <w:pPr>
              <w:pStyle w:val="22"/>
              <w:jc w:val="center"/>
              <w:outlineLvl w:val="0"/>
              <w:rPr>
                <w:rFonts w:hint="default" w:ascii="Times New Roman" w:hAnsi="Times New Roman" w:cs="Times New Roman"/>
                <w:b/>
                <w:snapToGrid w:val="0"/>
                <w:color w:val="auto"/>
                <w:sz w:val="30"/>
                <w:szCs w:val="30"/>
                <w:highlight w:val="none"/>
              </w:rPr>
            </w:pPr>
          </w:p>
        </w:tc>
        <w:tc>
          <w:tcPr>
            <w:tcW w:w="8743" w:type="dxa"/>
          </w:tcPr>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default" w:eastAsia="宋体"/>
                <w:b w:val="0"/>
                <w:bCs w:val="0"/>
                <w:color w:val="auto"/>
                <w:sz w:val="24"/>
                <w:szCs w:val="32"/>
                <w:highlight w:val="none"/>
                <w:lang w:val="en-US" w:eastAsia="zh-CN"/>
              </w:rPr>
            </w:pPr>
            <w:r>
              <w:rPr>
                <w:rFonts w:hint="eastAsia"/>
                <w:b w:val="0"/>
                <w:bCs w:val="0"/>
                <w:color w:val="auto"/>
                <w:sz w:val="24"/>
                <w:szCs w:val="32"/>
                <w:highlight w:val="none"/>
                <w:lang w:val="en-US" w:eastAsia="zh-CN"/>
              </w:rPr>
              <w:t>2、噪声预测结果</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b w:val="0"/>
                <w:bCs w:val="0"/>
                <w:color w:val="auto"/>
                <w:sz w:val="24"/>
                <w:szCs w:val="32"/>
                <w:highlight w:val="none"/>
              </w:rPr>
            </w:pPr>
            <w:r>
              <w:rPr>
                <w:rFonts w:hint="eastAsia"/>
                <w:b w:val="0"/>
                <w:bCs w:val="0"/>
                <w:color w:val="auto"/>
                <w:sz w:val="24"/>
                <w:szCs w:val="32"/>
                <w:highlight w:val="none"/>
              </w:rPr>
              <w:t>（1）噪声预测</w:t>
            </w:r>
          </w:p>
          <w:p>
            <w:pPr>
              <w:adjustRightInd w:val="0"/>
              <w:snapToGrid w:val="0"/>
              <w:spacing w:line="360" w:lineRule="auto"/>
              <w:ind w:firstLine="480" w:firstLineChars="200"/>
              <w:rPr>
                <w:color w:val="auto"/>
                <w:sz w:val="24"/>
                <w:szCs w:val="24"/>
                <w:highlight w:val="none"/>
              </w:rPr>
            </w:pPr>
            <w:r>
              <w:rPr>
                <w:rFonts w:hint="eastAsia"/>
                <w:color w:val="auto"/>
                <w:sz w:val="24"/>
                <w:szCs w:val="24"/>
                <w:highlight w:val="none"/>
              </w:rPr>
              <w:t>本项目的噪声源设备安置在室内。根据资料和本项目声环境现状，以常规的噪声衰减和叠加模式进行预测计算与评价。计算中考虑了屏障效应、隔声、吸声、消声及距离衰减等因素，预测了在正常生产条件下生产噪声对厂界的影响值。</w:t>
            </w:r>
          </w:p>
          <w:p>
            <w:pPr>
              <w:adjustRightInd w:val="0"/>
              <w:snapToGrid w:val="0"/>
              <w:spacing w:line="360" w:lineRule="auto"/>
              <w:ind w:firstLine="480" w:firstLineChars="200"/>
              <w:rPr>
                <w:color w:val="auto"/>
                <w:sz w:val="24"/>
                <w:szCs w:val="24"/>
                <w:highlight w:val="none"/>
              </w:rPr>
            </w:pPr>
            <w:r>
              <w:rPr>
                <w:rFonts w:hint="eastAsia"/>
                <w:color w:val="auto"/>
                <w:sz w:val="24"/>
                <w:szCs w:val="24"/>
                <w:highlight w:val="none"/>
              </w:rPr>
              <w:t>预测公式：</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根据声环境评价导则的规定，选用预测模式，应用过程中将根据具体情况做必要简化。</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①室外点声源在预测点的倍频带声压级</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a.某个点源在预测点的倍频带声压级</w:t>
            </w:r>
          </w:p>
          <w:p>
            <w:pPr>
              <w:adjustRightInd w:val="0"/>
              <w:spacing w:line="360" w:lineRule="auto"/>
              <w:jc w:val="center"/>
              <w:rPr>
                <w:rFonts w:hint="eastAsia"/>
                <w:color w:val="auto"/>
                <w:position w:val="-12"/>
                <w:sz w:val="24"/>
                <w:szCs w:val="24"/>
                <w:highlight w:val="none"/>
              </w:rPr>
            </w:pPr>
            <w:r>
              <w:rPr>
                <w:rFonts w:hint="eastAsia"/>
                <w:color w:val="auto"/>
                <w:position w:val="-32"/>
                <w:sz w:val="24"/>
                <w:szCs w:val="24"/>
                <w:highlight w:val="none"/>
              </w:rPr>
              <w:object>
                <v:shape id="_x0000_i1031" o:spt="75" type="#_x0000_t75" style="height:38pt;width:161pt;" o:ole="t" filled="f" o:preferrelative="t" stroked="f" coordsize="21600,21600">
                  <v:path/>
                  <v:fill on="f" focussize="0,0"/>
                  <v:stroke on="f"/>
                  <v:imagedata r:id="rId30" o:title=""/>
                  <o:lock v:ext="edit" aspectratio="t"/>
                  <w10:wrap type="none"/>
                  <w10:anchorlock/>
                </v:shape>
                <o:OLEObject Type="Embed" ProgID="Equation.KSEE3" ShapeID="_x0000_i1031" DrawAspect="Content" ObjectID="_1468075733" r:id="rId29">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式中：</w:t>
            </w:r>
            <w:r>
              <w:rPr>
                <w:rFonts w:hint="eastAsia"/>
                <w:color w:val="auto"/>
                <w:sz w:val="24"/>
                <w:szCs w:val="24"/>
                <w:highlight w:val="none"/>
              </w:rPr>
              <w:object>
                <v:shape id="_x0000_i1032" o:spt="75" type="#_x0000_t75" style="height:18pt;width:34pt;" o:ole="t" filled="f" o:preferrelative="t" stroked="f" coordsize="21600,21600">
                  <v:path/>
                  <v:fill on="f" focussize="0,0"/>
                  <v:stroke on="f"/>
                  <v:imagedata r:id="rId32" o:title=""/>
                  <o:lock v:ext="edit" aspectratio="t"/>
                  <w10:wrap type="none"/>
                  <w10:anchorlock/>
                </v:shape>
                <o:OLEObject Type="Embed" ProgID="Equation.KSEE3" ShapeID="_x0000_i1032" DrawAspect="Content" ObjectID="_1468075734" r:id="rId31">
                  <o:LockedField>false</o:LockedField>
                </o:OLEObject>
              </w:object>
            </w:r>
            <w:r>
              <w:rPr>
                <w:rFonts w:hint="eastAsia"/>
                <w:color w:val="auto"/>
                <w:sz w:val="24"/>
                <w:szCs w:val="24"/>
                <w:highlight w:val="none"/>
              </w:rPr>
              <w:t>-点声源在预测点产生的倍频带声压级；</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object>
                <v:shape id="_x0000_i1033" o:spt="75" type="#_x0000_t75" style="height:18pt;width:37pt;" o:ole="t" filled="f" o:preferrelative="t" stroked="f" coordsize="21600,21600">
                  <v:path/>
                  <v:fill on="f" focussize="0,0"/>
                  <v:stroke on="f"/>
                  <v:imagedata r:id="rId34" o:title=""/>
                  <o:lock v:ext="edit" aspectratio="t"/>
                  <w10:wrap type="none"/>
                  <w10:anchorlock/>
                </v:shape>
                <o:OLEObject Type="Embed" ProgID="Equation.KSEE3" ShapeID="_x0000_i1033" DrawAspect="Content" ObjectID="_1468075735" r:id="rId33">
                  <o:LockedField>false</o:LockedField>
                </o:OLEObject>
              </w:object>
            </w:r>
            <w:r>
              <w:rPr>
                <w:rFonts w:hint="eastAsia"/>
                <w:color w:val="auto"/>
                <w:sz w:val="24"/>
                <w:szCs w:val="24"/>
                <w:highlight w:val="none"/>
              </w:rPr>
              <w:t>-参考位置</w:t>
            </w:r>
            <w:r>
              <w:rPr>
                <w:rFonts w:hint="eastAsia"/>
                <w:color w:val="auto"/>
                <w:sz w:val="24"/>
                <w:szCs w:val="24"/>
                <w:highlight w:val="none"/>
              </w:rPr>
              <w:object>
                <v:shape id="_x0000_i1034" o:spt="75" type="#_x0000_t75" style="height:18pt;width:11pt;" o:ole="t" filled="f" o:preferrelative="t" stroked="f" coordsize="21600,21600">
                  <v:path/>
                  <v:fill on="f" focussize="0,0"/>
                  <v:stroke on="f"/>
                  <v:imagedata r:id="rId36" o:title=""/>
                  <o:lock v:ext="edit" aspectratio="t"/>
                  <w10:wrap type="none"/>
                  <w10:anchorlock/>
                </v:shape>
                <o:OLEObject Type="Embed" ProgID="Equation.KSEE3" ShapeID="_x0000_i1034" DrawAspect="Content" ObjectID="_1468075736" r:id="rId35">
                  <o:LockedField>false</o:LockedField>
                </o:OLEObject>
              </w:object>
            </w:r>
            <w:r>
              <w:rPr>
                <w:rFonts w:hint="eastAsia"/>
                <w:color w:val="auto"/>
                <w:sz w:val="24"/>
                <w:szCs w:val="24"/>
                <w:highlight w:val="none"/>
              </w:rPr>
              <w:t>处的倍频带声压级；</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object>
                <v:shape id="_x0000_i1035" o:spt="75" type="#_x0000_t75" style="height:10pt;width:8pt;" o:ole="t" filled="f" o:preferrelative="t" stroked="f" coordsize="21600,21600">
                  <v:path/>
                  <v:fill on="f" focussize="0,0"/>
                  <v:stroke on="f"/>
                  <v:imagedata r:id="rId38" o:title=""/>
                  <o:lock v:ext="edit" aspectratio="t"/>
                  <w10:wrap type="none"/>
                  <w10:anchorlock/>
                </v:shape>
                <o:OLEObject Type="Embed" ProgID="Equation.KSEE3" ShapeID="_x0000_i1035" DrawAspect="Content" ObjectID="_1468075737" r:id="rId37">
                  <o:LockedField>false</o:LockedField>
                </o:OLEObject>
              </w:object>
            </w:r>
            <w:r>
              <w:rPr>
                <w:rFonts w:hint="eastAsia"/>
                <w:color w:val="auto"/>
                <w:sz w:val="24"/>
                <w:szCs w:val="24"/>
                <w:highlight w:val="none"/>
              </w:rPr>
              <w:t>-预测点距声源的距离，m；</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object>
                <v:shape id="_x0000_i1036" o:spt="75" type="#_x0000_t75" style="height:18pt;width:11pt;" o:ole="t" filled="f" o:preferrelative="t" stroked="f" coordsize="21600,21600">
                  <v:path/>
                  <v:fill on="f" focussize="0,0"/>
                  <v:stroke on="f"/>
                  <v:imagedata r:id="rId36" o:title=""/>
                  <o:lock v:ext="edit" aspectratio="t"/>
                  <w10:wrap type="none"/>
                  <w10:anchorlock/>
                </v:shape>
                <o:OLEObject Type="Embed" ProgID="Equation.KSEE3" ShapeID="_x0000_i1036" DrawAspect="Content" ObjectID="_1468075738" r:id="rId39">
                  <o:LockedField>false</o:LockedField>
                </o:OLEObject>
              </w:object>
            </w:r>
            <w:r>
              <w:rPr>
                <w:rFonts w:hint="eastAsia"/>
                <w:color w:val="auto"/>
                <w:sz w:val="24"/>
                <w:szCs w:val="24"/>
                <w:highlight w:val="none"/>
              </w:rPr>
              <w:t>-参考位置距声源的距离，m；</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object>
                <v:shape id="_x0000_i1037" o:spt="75" type="#_x0000_t75" style="height:18pt;width:28pt;" o:ole="t" filled="f" o:preferrelative="t" stroked="f" coordsize="21600,21600">
                  <v:path/>
                  <v:fill on="f" focussize="0,0"/>
                  <v:stroke on="f"/>
                  <v:imagedata r:id="rId41" o:title=""/>
                  <o:lock v:ext="edit" aspectratio="t"/>
                  <w10:wrap type="none"/>
                  <w10:anchorlock/>
                </v:shape>
                <o:OLEObject Type="Embed" ProgID="Equation.KSEE3" ShapeID="_x0000_i1037" DrawAspect="Content" ObjectID="_1468075739" r:id="rId40">
                  <o:LockedField>false</o:LockedField>
                </o:OLEObject>
              </w:object>
            </w:r>
            <w:r>
              <w:rPr>
                <w:rFonts w:hint="eastAsia"/>
                <w:color w:val="auto"/>
                <w:sz w:val="24"/>
                <w:szCs w:val="24"/>
                <w:highlight w:val="none"/>
              </w:rPr>
              <w:t>-种因素引起的衰减量，包括声屏障、空气吸收和地面效应引起的衰减，其计算方式分别为：</w:t>
            </w:r>
          </w:p>
          <w:p>
            <w:pPr>
              <w:adjustRightInd w:val="0"/>
              <w:spacing w:line="360" w:lineRule="auto"/>
              <w:jc w:val="center"/>
              <w:rPr>
                <w:rFonts w:hint="eastAsia"/>
                <w:color w:val="auto"/>
                <w:sz w:val="24"/>
                <w:szCs w:val="24"/>
                <w:highlight w:val="none"/>
              </w:rPr>
            </w:pPr>
            <w:r>
              <w:rPr>
                <w:rFonts w:hint="eastAsia"/>
                <w:color w:val="auto"/>
                <w:position w:val="-32"/>
                <w:sz w:val="24"/>
                <w:szCs w:val="24"/>
                <w:highlight w:val="none"/>
              </w:rPr>
              <w:object>
                <v:shape id="_x0000_i1038" o:spt="75" type="#_x0000_t75" style="height:38pt;width:238pt;" o:ole="t" filled="f" o:preferrelative="t" stroked="f" coordsize="21600,21600">
                  <v:path/>
                  <v:fill on="f" focussize="0,0"/>
                  <v:stroke on="f"/>
                  <v:imagedata r:id="rId43" o:title=""/>
                  <o:lock v:ext="edit" aspectratio="t"/>
                  <w10:wrap type="none"/>
                  <w10:anchorlock/>
                </v:shape>
                <o:OLEObject Type="Embed" ProgID="Equation.KSEE3" ShapeID="_x0000_i1038" DrawAspect="Content" ObjectID="_1468075740" r:id="rId42">
                  <o:LockedField>false</o:LockedField>
                </o:OLEObject>
              </w:object>
            </w:r>
          </w:p>
          <w:p>
            <w:pPr>
              <w:adjustRightInd w:val="0"/>
              <w:spacing w:line="360" w:lineRule="auto"/>
              <w:jc w:val="center"/>
              <w:rPr>
                <w:rFonts w:hint="eastAsia"/>
                <w:color w:val="auto"/>
                <w:sz w:val="24"/>
                <w:szCs w:val="24"/>
                <w:highlight w:val="none"/>
              </w:rPr>
            </w:pPr>
            <w:r>
              <w:rPr>
                <w:rFonts w:hint="eastAsia"/>
                <w:color w:val="auto"/>
                <w:position w:val="-24"/>
                <w:sz w:val="24"/>
                <w:szCs w:val="24"/>
                <w:highlight w:val="none"/>
              </w:rPr>
              <w:object>
                <v:shape id="_x0000_i1039" o:spt="75" type="#_x0000_t75" style="height:31pt;width:84pt;" o:ole="t" filled="f" o:preferrelative="t" stroked="f" coordsize="21600,21600">
                  <v:path/>
                  <v:fill on="f" focussize="0,0"/>
                  <v:stroke on="f"/>
                  <v:imagedata r:id="rId45" o:title=""/>
                  <o:lock v:ext="edit" aspectratio="t"/>
                  <w10:wrap type="none"/>
                  <w10:anchorlock/>
                </v:shape>
                <o:OLEObject Type="Embed" ProgID="Equation.KSEE3" ShapeID="_x0000_i1039" DrawAspect="Content" ObjectID="_1468075741" r:id="rId44">
                  <o:LockedField>false</o:LockedField>
                </o:OLEObject>
              </w:object>
            </w:r>
          </w:p>
          <w:p>
            <w:pPr>
              <w:adjustRightInd w:val="0"/>
              <w:spacing w:line="360" w:lineRule="auto"/>
              <w:jc w:val="center"/>
              <w:rPr>
                <w:rFonts w:hint="eastAsia"/>
                <w:color w:val="auto"/>
                <w:sz w:val="24"/>
                <w:szCs w:val="24"/>
                <w:highlight w:val="none"/>
              </w:rPr>
            </w:pPr>
            <w:r>
              <w:rPr>
                <w:rFonts w:hint="eastAsia"/>
                <w:color w:val="auto"/>
                <w:position w:val="-12"/>
                <w:sz w:val="24"/>
                <w:szCs w:val="24"/>
                <w:highlight w:val="none"/>
              </w:rPr>
              <w:object>
                <v:shape id="_x0000_i1040" o:spt="75" type="#_x0000_t75" style="height:18pt;width:78.95pt;" o:ole="t" filled="f" o:preferrelative="t" stroked="f" coordsize="21600,21600">
                  <v:path/>
                  <v:fill on="f" focussize="0,0"/>
                  <v:stroke on="f"/>
                  <v:imagedata r:id="rId47" o:title=""/>
                  <o:lock v:ext="edit" aspectratio="t"/>
                  <w10:wrap type="none"/>
                  <w10:anchorlock/>
                </v:shape>
                <o:OLEObject Type="Embed" ProgID="Equation.KSEE3" ShapeID="_x0000_i1040" DrawAspect="Content" ObjectID="_1468075742" r:id="rId46">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b.如果已知声源的倍频带声功率级</w:t>
            </w:r>
            <w:r>
              <w:rPr>
                <w:rFonts w:hint="eastAsia"/>
                <w:color w:val="auto"/>
                <w:sz w:val="24"/>
                <w:szCs w:val="24"/>
                <w:highlight w:val="none"/>
              </w:rPr>
              <w:object>
                <v:shape id="_x0000_i1041" o:spt="75" type="#_x0000_t75" style="height:18pt;width:28pt;" o:ole="t" filled="f" o:preferrelative="t" stroked="f" coordsize="21600,21600">
                  <v:path/>
                  <v:fill on="f" focussize="0,0"/>
                  <v:stroke on="f"/>
                  <v:imagedata r:id="rId49" o:title=""/>
                  <o:lock v:ext="edit" aspectratio="t"/>
                  <w10:wrap type="none"/>
                  <w10:anchorlock/>
                </v:shape>
                <o:OLEObject Type="Embed" ProgID="Equation.KSEE3" ShapeID="_x0000_i1041" DrawAspect="Content" ObjectID="_1468075743" r:id="rId48">
                  <o:LockedField>false</o:LockedField>
                </o:OLEObject>
              </w:object>
            </w:r>
            <w:r>
              <w:rPr>
                <w:rFonts w:hint="eastAsia"/>
                <w:color w:val="auto"/>
                <w:sz w:val="24"/>
                <w:szCs w:val="24"/>
                <w:highlight w:val="none"/>
              </w:rPr>
              <w:t>，且声源可看作是位于地面上的，则：</w:t>
            </w:r>
          </w:p>
          <w:p>
            <w:pPr>
              <w:adjustRightInd w:val="0"/>
              <w:spacing w:line="360" w:lineRule="auto"/>
              <w:jc w:val="center"/>
              <w:rPr>
                <w:rFonts w:hint="eastAsia"/>
                <w:color w:val="auto"/>
                <w:sz w:val="24"/>
                <w:szCs w:val="24"/>
                <w:highlight w:val="none"/>
              </w:rPr>
            </w:pPr>
            <w:r>
              <w:rPr>
                <w:rFonts w:hint="eastAsia"/>
                <w:color w:val="auto"/>
                <w:position w:val="-12"/>
                <w:sz w:val="24"/>
                <w:szCs w:val="24"/>
                <w:highlight w:val="none"/>
              </w:rPr>
              <w:object>
                <v:shape id="_x0000_i1042" o:spt="75" type="#_x0000_t75" style="height:18pt;width:111pt;" o:ole="t" filled="f" o:preferrelative="t" stroked="f" coordsize="21600,21600">
                  <v:path/>
                  <v:fill on="f" focussize="0,0"/>
                  <v:stroke on="f"/>
                  <v:imagedata r:id="rId51" o:title=""/>
                  <o:lock v:ext="edit" aspectratio="t"/>
                  <w10:wrap type="none"/>
                  <w10:anchorlock/>
                </v:shape>
                <o:OLEObject Type="Embed" ProgID="Equation.KSEE3" ShapeID="_x0000_i1042" DrawAspect="Content" ObjectID="_1468075744" r:id="rId50">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c.由各倍频带声压级合成计算出该声源产生的A声级LA：</w:t>
            </w:r>
          </w:p>
          <w:p>
            <w:pPr>
              <w:adjustRightInd w:val="0"/>
              <w:spacing w:line="360" w:lineRule="auto"/>
              <w:jc w:val="center"/>
              <w:rPr>
                <w:color w:val="auto"/>
                <w:sz w:val="24"/>
                <w:szCs w:val="24"/>
                <w:highlight w:val="none"/>
              </w:rPr>
            </w:pPr>
            <w:r>
              <w:rPr>
                <w:color w:val="auto"/>
                <w:position w:val="-30"/>
                <w:sz w:val="24"/>
                <w:szCs w:val="24"/>
                <w:highlight w:val="none"/>
              </w:rPr>
              <w:object>
                <v:shape id="_x0000_i1043" o:spt="75" type="#_x0000_t75" style="height:36.95pt;width:128.35pt;" o:ole="t" filled="f" o:preferrelative="t" stroked="f" coordsize="21600,21600">
                  <v:path/>
                  <v:fill on="f" focussize="0,0"/>
                  <v:stroke on="f"/>
                  <v:imagedata r:id="rId53" o:title=""/>
                  <o:lock v:ext="edit" aspectratio="t"/>
                  <w10:wrap type="none"/>
                  <w10:anchorlock/>
                </v:shape>
                <o:OLEObject Type="Embed" ProgID="Equation.3" ShapeID="_x0000_i1043" DrawAspect="Content" ObjectID="_1468075745" r:id="rId52">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式中：</w:t>
            </w:r>
            <w:r>
              <w:rPr>
                <w:rFonts w:hint="eastAsia"/>
                <w:color w:val="auto"/>
                <w:sz w:val="24"/>
                <w:szCs w:val="24"/>
                <w:highlight w:val="none"/>
              </w:rPr>
              <w:object>
                <v:shape id="_x0000_i1044" o:spt="75" type="#_x0000_t75" style="height:17pt;width:21pt;" o:ole="t" filled="f" o:preferrelative="t" stroked="f" coordsize="21600,21600">
                  <v:path/>
                  <v:fill on="f" focussize="0,0"/>
                  <v:stroke on="f"/>
                  <v:imagedata r:id="rId55" o:title=""/>
                  <o:lock v:ext="edit" aspectratio="t"/>
                  <w10:wrap type="none"/>
                  <w10:anchorlock/>
                </v:shape>
                <o:OLEObject Type="Embed" ProgID="Equation.KSEE3" ShapeID="_x0000_i1044" DrawAspect="Content" ObjectID="_1468075746" r:id="rId54">
                  <o:LockedField>false</o:LockedField>
                </o:OLEObject>
              </w:object>
            </w:r>
            <w:r>
              <w:rPr>
                <w:rFonts w:hint="eastAsia"/>
                <w:color w:val="auto"/>
                <w:sz w:val="24"/>
                <w:szCs w:val="24"/>
                <w:highlight w:val="none"/>
              </w:rPr>
              <w:t>-A计权网络修正值。</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d.各声源在预测点产生的声级的合成</w:t>
            </w:r>
          </w:p>
          <w:p>
            <w:pPr>
              <w:adjustRightInd w:val="0"/>
              <w:spacing w:line="360" w:lineRule="auto"/>
              <w:jc w:val="center"/>
              <w:rPr>
                <w:color w:val="auto"/>
                <w:sz w:val="24"/>
                <w:szCs w:val="24"/>
                <w:highlight w:val="none"/>
              </w:rPr>
            </w:pPr>
            <w:r>
              <w:rPr>
                <w:color w:val="auto"/>
                <w:position w:val="-30"/>
                <w:sz w:val="24"/>
                <w:szCs w:val="24"/>
                <w:highlight w:val="none"/>
              </w:rPr>
              <w:object>
                <v:shape id="_x0000_i1045" o:spt="75" type="#_x0000_t75" style="height:36.95pt;width:111.2pt;" o:ole="t" filled="f" o:preferrelative="t" stroked="f" coordsize="21600,21600">
                  <v:path/>
                  <v:fill on="f" focussize="0,0"/>
                  <v:stroke on="f"/>
                  <v:imagedata r:id="rId57" o:title=""/>
                  <o:lock v:ext="edit" aspectratio="t"/>
                  <w10:wrap type="none"/>
                  <w10:anchorlock/>
                </v:shape>
                <o:OLEObject Type="Embed" ProgID="Equation.3" ShapeID="_x0000_i1045" DrawAspect="Content" ObjectID="_1468075747" r:id="rId56">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②室内点声源的预测</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a.室内靠近围护结构处的倍频带声压级：</w:t>
            </w:r>
          </w:p>
          <w:p>
            <w:pPr>
              <w:adjustRightInd w:val="0"/>
              <w:spacing w:line="360" w:lineRule="auto"/>
              <w:jc w:val="center"/>
              <w:rPr>
                <w:rFonts w:hint="eastAsia"/>
                <w:color w:val="auto"/>
                <w:position w:val="-32"/>
                <w:sz w:val="24"/>
                <w:szCs w:val="24"/>
                <w:highlight w:val="none"/>
              </w:rPr>
            </w:pPr>
            <w:r>
              <w:rPr>
                <w:rFonts w:hint="eastAsia"/>
                <w:color w:val="auto"/>
                <w:position w:val="-32"/>
                <w:sz w:val="24"/>
                <w:szCs w:val="24"/>
                <w:highlight w:val="none"/>
              </w:rPr>
              <w:object>
                <v:shape id="_x0000_i1046" o:spt="75" type="#_x0000_t75" style="height:38pt;width:149pt;" o:ole="t" filled="f" o:preferrelative="t" stroked="f" coordsize="21600,21600">
                  <v:path/>
                  <v:fill on="f" focussize="0,0"/>
                  <v:stroke on="f"/>
                  <v:imagedata r:id="rId59" o:title=""/>
                  <o:lock v:ext="edit" aspectratio="t"/>
                  <w10:wrap type="none"/>
                  <w10:anchorlock/>
                </v:shape>
                <o:OLEObject Type="Embed" ProgID="Equation.KSEE3" ShapeID="_x0000_i1046" DrawAspect="Content" ObjectID="_1468075748" r:id="rId58">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式中：r1-室内某源距离围护结构的距离；R-房间常数；Q-方向性因子。</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b.室内声源在靠近围护结构处产生的总倍频带声压级：</w:t>
            </w:r>
          </w:p>
          <w:p>
            <w:pPr>
              <w:adjustRightInd w:val="0"/>
              <w:spacing w:line="360" w:lineRule="auto"/>
              <w:jc w:val="center"/>
              <w:rPr>
                <w:color w:val="auto"/>
                <w:sz w:val="24"/>
                <w:szCs w:val="24"/>
                <w:highlight w:val="none"/>
              </w:rPr>
            </w:pPr>
            <w:r>
              <w:rPr>
                <w:color w:val="auto"/>
                <w:position w:val="-30"/>
                <w:sz w:val="24"/>
                <w:szCs w:val="24"/>
                <w:highlight w:val="none"/>
              </w:rPr>
              <w:object>
                <v:shape id="_x0000_i1047" o:spt="75" type="#_x0000_t75" style="height:36.95pt;width:138.7pt;" o:ole="t" filled="f" o:preferrelative="t" stroked="f" coordsize="21600,21600">
                  <v:path/>
                  <v:fill on="f" focussize="0,0"/>
                  <v:stroke on="f"/>
                  <v:imagedata r:id="rId61" o:title=""/>
                  <o:lock v:ext="edit" aspectratio="t"/>
                  <w10:wrap type="none"/>
                  <w10:anchorlock/>
                </v:shape>
                <o:OLEObject Type="Embed" ProgID="Equation.3" ShapeID="_x0000_i1047" DrawAspect="Content" ObjectID="_1468075749" r:id="rId60">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c.室外靠近围护结构处的总的声压级：</w:t>
            </w:r>
          </w:p>
          <w:p>
            <w:pPr>
              <w:adjustRightInd w:val="0"/>
              <w:spacing w:line="360" w:lineRule="auto"/>
              <w:jc w:val="center"/>
              <w:rPr>
                <w:rFonts w:hint="eastAsia"/>
                <w:color w:val="auto"/>
                <w:sz w:val="24"/>
                <w:szCs w:val="24"/>
                <w:highlight w:val="none"/>
              </w:rPr>
            </w:pPr>
            <w:r>
              <w:rPr>
                <w:rFonts w:hint="eastAsia"/>
                <w:color w:val="auto"/>
                <w:position w:val="-12"/>
                <w:sz w:val="24"/>
                <w:szCs w:val="24"/>
                <w:highlight w:val="none"/>
              </w:rPr>
              <w:object>
                <v:shape id="_x0000_i1048" o:spt="75" type="#_x0000_t75" style="height:18pt;width:146pt;" o:ole="t" filled="f" o:preferrelative="t" stroked="f" coordsize="21600,21600">
                  <v:path/>
                  <v:fill on="f" focussize="0,0"/>
                  <v:stroke on="f"/>
                  <v:imagedata r:id="rId63" o:title=""/>
                  <o:lock v:ext="edit" aspectratio="t"/>
                  <w10:wrap type="none"/>
                  <w10:anchorlock/>
                </v:shape>
                <o:OLEObject Type="Embed" ProgID="Equation.KSEE3" ShapeID="_x0000_i1048" DrawAspect="Content" ObjectID="_1468075750" r:id="rId62">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d.室外声压级换算成等效的室外声源：</w:t>
            </w:r>
          </w:p>
          <w:p>
            <w:pPr>
              <w:adjustRightInd w:val="0"/>
              <w:spacing w:line="360" w:lineRule="auto"/>
              <w:jc w:val="center"/>
              <w:rPr>
                <w:rFonts w:hint="eastAsia"/>
                <w:color w:val="auto"/>
                <w:sz w:val="24"/>
                <w:szCs w:val="24"/>
                <w:highlight w:val="none"/>
              </w:rPr>
            </w:pPr>
            <w:r>
              <w:rPr>
                <w:rFonts w:hint="eastAsia"/>
                <w:color w:val="auto"/>
                <w:position w:val="-12"/>
                <w:sz w:val="24"/>
                <w:szCs w:val="24"/>
                <w:highlight w:val="none"/>
              </w:rPr>
              <w:object>
                <v:shape id="_x0000_i1049" o:spt="75" type="#_x0000_t75" style="height:18pt;width:114pt;" o:ole="t" filled="f" o:preferrelative="t" stroked="f" coordsize="21600,21600">
                  <v:path/>
                  <v:fill on="f" focussize="0,0"/>
                  <v:stroke on="f"/>
                  <v:imagedata r:id="rId65" o:title=""/>
                  <o:lock v:ext="edit" aspectratio="t"/>
                  <w10:wrap type="none"/>
                  <w10:anchorlock/>
                </v:shape>
                <o:OLEObject Type="Embed" ProgID="Equation.KSEE3" ShapeID="_x0000_i1049" DrawAspect="Content" ObjectID="_1468075751" r:id="rId64">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式中：S-透声面积。</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e.等效室外声源的位置为围护结构的位置，其倍频带声功率级为</w:t>
            </w:r>
            <w:r>
              <w:rPr>
                <w:rFonts w:hint="eastAsia"/>
                <w:color w:val="auto"/>
                <w:sz w:val="24"/>
                <w:szCs w:val="24"/>
                <w:highlight w:val="none"/>
              </w:rPr>
              <w:object>
                <v:shape id="_x0000_i1050" o:spt="75" type="#_x0000_t75" style="height:18pt;width:28pt;" o:ole="t" filled="f" o:preferrelative="t" stroked="f" coordsize="21600,21600">
                  <v:path/>
                  <v:fill on="f" focussize="0,0"/>
                  <v:stroke on="f"/>
                  <v:imagedata r:id="rId67" o:title=""/>
                  <o:lock v:ext="edit" aspectratio="t"/>
                  <w10:wrap type="none"/>
                  <w10:anchorlock/>
                </v:shape>
                <o:OLEObject Type="Embed" ProgID="Equation.KSEE3" ShapeID="_x0000_i1050" DrawAspect="Content" ObjectID="_1468075752" r:id="rId66">
                  <o:LockedField>false</o:LockedField>
                </o:OLEObject>
              </w:object>
            </w:r>
            <w:r>
              <w:rPr>
                <w:rFonts w:hint="eastAsia"/>
                <w:color w:val="auto"/>
                <w:sz w:val="24"/>
                <w:szCs w:val="24"/>
                <w:highlight w:val="none"/>
              </w:rPr>
              <w:t>，由此按室外声源方法计算等效室外声源在预测点产生的声级。</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f.声压级合成公式</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n个声压级Li合成后总声压级Lp总计算公式</w:t>
            </w:r>
          </w:p>
          <w:p>
            <w:pPr>
              <w:adjustRightInd w:val="0"/>
              <w:spacing w:line="360" w:lineRule="auto"/>
              <w:jc w:val="center"/>
              <w:rPr>
                <w:color w:val="auto"/>
                <w:sz w:val="24"/>
                <w:szCs w:val="24"/>
                <w:highlight w:val="none"/>
              </w:rPr>
            </w:pPr>
            <w:r>
              <w:rPr>
                <w:color w:val="auto"/>
                <w:position w:val="-14"/>
                <w:sz w:val="24"/>
                <w:szCs w:val="24"/>
                <w:highlight w:val="none"/>
              </w:rPr>
              <w:object>
                <v:shape id="_x0000_i1051" o:spt="75" type="#_x0000_t75" style="height:18.8pt;width:15.65pt;" o:ole="t" filled="f" o:preferrelative="t" stroked="f" coordsize="21600,21600">
                  <v:path/>
                  <v:fill on="f" focussize="0,0"/>
                  <v:stroke on="f"/>
                  <v:imagedata r:id="rId69" o:title=""/>
                  <o:lock v:ext="edit" aspectratio="t"/>
                  <w10:wrap type="none"/>
                  <w10:anchorlock/>
                </v:shape>
                <o:OLEObject Type="Embed" ProgID="Equation.3" ShapeID="_x0000_i1051" DrawAspect="Content" ObjectID="_1468075753" r:id="rId68">
                  <o:LockedField>false</o:LockedField>
                </o:OLEObject>
              </w:object>
            </w:r>
            <w:r>
              <w:rPr>
                <w:color w:val="auto"/>
                <w:sz w:val="24"/>
                <w:szCs w:val="24"/>
                <w:highlight w:val="none"/>
                <w:vertAlign w:val="subscript"/>
              </w:rPr>
              <w:t>总</w:t>
            </w:r>
            <w:r>
              <w:rPr>
                <w:color w:val="auto"/>
                <w:sz w:val="24"/>
                <w:szCs w:val="24"/>
                <w:highlight w:val="none"/>
              </w:rPr>
              <w:t>＝</w:t>
            </w:r>
            <w:r>
              <w:rPr>
                <w:color w:val="auto"/>
                <w:position w:val="-30"/>
                <w:sz w:val="24"/>
                <w:szCs w:val="24"/>
                <w:highlight w:val="none"/>
              </w:rPr>
              <w:object>
                <v:shape id="_x0000_i1052" o:spt="75" type="#_x0000_t75" style="height:35.05pt;width:78.9pt;" o:ole="t" filled="f" o:preferrelative="t" stroked="f" coordsize="21600,21600">
                  <v:path/>
                  <v:fill on="f" focussize="0,0"/>
                  <v:stroke on="f"/>
                  <v:imagedata r:id="rId71" o:title=""/>
                  <o:lock v:ext="edit" aspectratio="t"/>
                  <w10:wrap type="none"/>
                  <w10:anchorlock/>
                </v:shape>
                <o:OLEObject Type="Embed" ProgID="Equation.3" ShapeID="_x0000_i1052" DrawAspect="Content" ObjectID="_1468075754" r:id="rId70">
                  <o:LockedField>false</o:LockedField>
                </o:OLEObject>
              </w:objec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③噪声预测值计算公式</w:t>
            </w:r>
          </w:p>
          <w:p>
            <w:pPr>
              <w:adjustRightInd w:val="0"/>
              <w:spacing w:line="360" w:lineRule="auto"/>
              <w:jc w:val="center"/>
              <w:rPr>
                <w:color w:val="auto"/>
                <w:sz w:val="24"/>
                <w:szCs w:val="24"/>
                <w:highlight w:val="none"/>
                <w:vertAlign w:val="subscript"/>
              </w:rPr>
            </w:pPr>
            <w:r>
              <w:rPr>
                <w:color w:val="auto"/>
                <w:sz w:val="24"/>
                <w:szCs w:val="24"/>
                <w:highlight w:val="none"/>
              </w:rPr>
              <w:t>L</w:t>
            </w:r>
            <w:r>
              <w:rPr>
                <w:color w:val="auto"/>
                <w:sz w:val="24"/>
                <w:szCs w:val="24"/>
                <w:highlight w:val="none"/>
                <w:vertAlign w:val="subscript"/>
              </w:rPr>
              <w:t>预</w:t>
            </w:r>
            <w:r>
              <w:rPr>
                <w:color w:val="auto"/>
                <w:sz w:val="24"/>
                <w:szCs w:val="24"/>
                <w:highlight w:val="none"/>
              </w:rPr>
              <w:t>＝L</w:t>
            </w:r>
            <w:r>
              <w:rPr>
                <w:color w:val="auto"/>
                <w:sz w:val="24"/>
                <w:szCs w:val="24"/>
                <w:highlight w:val="none"/>
                <w:vertAlign w:val="subscript"/>
              </w:rPr>
              <w:t>新</w:t>
            </w:r>
            <w:r>
              <w:rPr>
                <w:color w:val="auto"/>
                <w:sz w:val="24"/>
                <w:szCs w:val="24"/>
                <w:highlight w:val="none"/>
              </w:rPr>
              <w:t>＋L</w:t>
            </w:r>
            <w:r>
              <w:rPr>
                <w:color w:val="auto"/>
                <w:sz w:val="24"/>
                <w:szCs w:val="24"/>
                <w:highlight w:val="none"/>
                <w:vertAlign w:val="subscript"/>
              </w:rPr>
              <w:t>背景</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式中：L预-噪声预测值；</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L</w:t>
            </w:r>
            <w:r>
              <w:rPr>
                <w:rFonts w:hint="eastAsia"/>
                <w:color w:val="auto"/>
                <w:sz w:val="24"/>
                <w:szCs w:val="24"/>
                <w:highlight w:val="none"/>
                <w:vertAlign w:val="subscript"/>
              </w:rPr>
              <w:t>新</w:t>
            </w:r>
            <w:r>
              <w:rPr>
                <w:rFonts w:hint="eastAsia"/>
                <w:color w:val="auto"/>
                <w:sz w:val="24"/>
                <w:szCs w:val="24"/>
                <w:highlight w:val="none"/>
              </w:rPr>
              <w:t>-声源增加的声级；</w:t>
            </w:r>
          </w:p>
          <w:p>
            <w:pPr>
              <w:adjustRightInd w:val="0"/>
              <w:snapToGrid w:val="0"/>
              <w:spacing w:line="360" w:lineRule="auto"/>
              <w:ind w:firstLine="480" w:firstLineChars="200"/>
              <w:rPr>
                <w:rFonts w:hint="eastAsia"/>
                <w:color w:val="auto"/>
                <w:sz w:val="24"/>
                <w:szCs w:val="24"/>
                <w:highlight w:val="none"/>
              </w:rPr>
            </w:pPr>
            <w:r>
              <w:rPr>
                <w:rFonts w:hint="eastAsia"/>
                <w:color w:val="auto"/>
                <w:sz w:val="24"/>
                <w:szCs w:val="24"/>
                <w:highlight w:val="none"/>
              </w:rPr>
              <w:t>L</w:t>
            </w:r>
            <w:r>
              <w:rPr>
                <w:rFonts w:hint="eastAsia"/>
                <w:color w:val="auto"/>
                <w:sz w:val="24"/>
                <w:szCs w:val="24"/>
                <w:highlight w:val="none"/>
                <w:vertAlign w:val="subscript"/>
              </w:rPr>
              <w:t>背景</w:t>
            </w:r>
            <w:r>
              <w:rPr>
                <w:rFonts w:hint="eastAsia"/>
                <w:color w:val="auto"/>
                <w:sz w:val="24"/>
                <w:szCs w:val="24"/>
                <w:highlight w:val="none"/>
              </w:rPr>
              <w:t>-噪声的背景值。</w:t>
            </w:r>
          </w:p>
          <w:p>
            <w:pPr>
              <w:keepNext w:val="0"/>
              <w:keepLines w:val="0"/>
              <w:pageBreakBefore w:val="0"/>
              <w:widowControl w:val="0"/>
              <w:kinsoku/>
              <w:wordWrap/>
              <w:overflowPunct/>
              <w:topLinePunct w:val="0"/>
              <w:autoSpaceDE/>
              <w:autoSpaceDN/>
              <w:bidi w:val="0"/>
              <w:adjustRightInd/>
              <w:snapToGrid/>
              <w:spacing w:line="360" w:lineRule="auto"/>
              <w:ind w:firstLine="482"/>
              <w:textAlignment w:val="auto"/>
              <w:rPr>
                <w:rFonts w:hint="eastAsia"/>
                <w:b w:val="0"/>
                <w:bCs w:val="0"/>
                <w:color w:val="auto"/>
                <w:sz w:val="24"/>
                <w:szCs w:val="32"/>
                <w:highlight w:val="none"/>
              </w:rPr>
            </w:pPr>
            <w:r>
              <w:rPr>
                <w:color w:val="auto"/>
                <w:sz w:val="24"/>
                <w:szCs w:val="24"/>
                <w:highlight w:val="none"/>
              </w:rPr>
              <w:t>其他衰减包括通过工业场所的衰减，通过房屋群的衰减等，一般不考虑自然条件（如风、温度梯度、雾）变化引起的附加修正。工业场所的衰减、房屋群的衰减等可参照GB/T17247.2计算。</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eastAsia" w:ascii="Times New Roman" w:hAnsi="Times New Roman" w:cs="Times New Roman" w:eastAsiaTheme="minorEastAsia"/>
                <w:snapToGrid w:val="0"/>
                <w:color w:val="auto"/>
                <w:sz w:val="24"/>
                <w:szCs w:val="24"/>
                <w:highlight w:val="none"/>
                <w:lang w:val="en-US" w:eastAsia="zh-CN"/>
              </w:rPr>
              <w:t>（2）预测结果</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default" w:ascii="Times New Roman" w:hAnsi="Times New Roman" w:cs="Times New Roman" w:eastAsiaTheme="minorEastAsia"/>
                <w:snapToGrid w:val="0"/>
                <w:color w:val="auto"/>
                <w:sz w:val="24"/>
                <w:szCs w:val="24"/>
                <w:highlight w:val="none"/>
                <w:lang w:val="en-US" w:eastAsia="zh-CN"/>
              </w:rPr>
              <w:t>根据项目设备的噪声源情况，利用上述预测模式和参数计算得出评价范围内噪声预测值，因本项目仅昼间作业，因此本项目对各厂界昼间噪声贡献值评价结果见表4.3-</w:t>
            </w:r>
            <w:r>
              <w:rPr>
                <w:rFonts w:hint="eastAsia" w:cs="Times New Roman" w:eastAsiaTheme="minorEastAsia"/>
                <w:snapToGrid w:val="0"/>
                <w:color w:val="auto"/>
                <w:sz w:val="24"/>
                <w:szCs w:val="24"/>
                <w:highlight w:val="none"/>
                <w:lang w:val="en-US" w:eastAsia="zh-CN"/>
              </w:rPr>
              <w:t>3</w:t>
            </w:r>
            <w:r>
              <w:rPr>
                <w:rFonts w:hint="default" w:ascii="Times New Roman" w:hAnsi="Times New Roman" w:cs="Times New Roman" w:eastAsiaTheme="minorEastAsia"/>
                <w:snapToGrid w:val="0"/>
                <w:color w:val="auto"/>
                <w:sz w:val="24"/>
                <w:szCs w:val="24"/>
                <w:highlight w:val="none"/>
                <w:lang w:val="en-US" w:eastAsia="zh-CN"/>
              </w:rPr>
              <w:t>。</w:t>
            </w:r>
          </w:p>
          <w:p>
            <w:pPr>
              <w:widowControl/>
              <w:ind w:left="425"/>
              <w:jc w:val="center"/>
              <w:rPr>
                <w:rFonts w:hint="eastAsia" w:ascii="Times New Roman" w:hAnsi="Times New Roman" w:cs="Times New Roman" w:eastAsiaTheme="minorEastAsia"/>
                <w:b/>
                <w:color w:val="auto"/>
                <w:kern w:val="0"/>
                <w:sz w:val="21"/>
                <w:szCs w:val="21"/>
                <w:highlight w:val="none"/>
                <w:lang w:eastAsia="zh-CN"/>
              </w:rPr>
            </w:pPr>
            <w:r>
              <w:rPr>
                <w:rFonts w:hint="default" w:ascii="Times New Roman" w:hAnsi="Times New Roman" w:cs="Times New Roman" w:eastAsiaTheme="minorEastAsia"/>
                <w:b/>
                <w:color w:val="auto"/>
                <w:kern w:val="0"/>
                <w:sz w:val="24"/>
                <w:szCs w:val="24"/>
                <w:highlight w:val="none"/>
              </w:rPr>
              <w:t>表4.</w:t>
            </w:r>
            <w:r>
              <w:rPr>
                <w:rFonts w:hint="default" w:ascii="Times New Roman" w:hAnsi="Times New Roman" w:cs="Times New Roman" w:eastAsiaTheme="minorEastAsia"/>
                <w:b/>
                <w:color w:val="auto"/>
                <w:kern w:val="0"/>
                <w:sz w:val="24"/>
                <w:szCs w:val="24"/>
                <w:highlight w:val="none"/>
                <w:lang w:val="en-US" w:eastAsia="zh-CN"/>
              </w:rPr>
              <w:t>3-</w:t>
            </w:r>
            <w:r>
              <w:rPr>
                <w:rFonts w:hint="eastAsia" w:cs="Times New Roman" w:eastAsiaTheme="minorEastAsia"/>
                <w:b/>
                <w:color w:val="auto"/>
                <w:kern w:val="0"/>
                <w:sz w:val="24"/>
                <w:szCs w:val="24"/>
                <w:highlight w:val="none"/>
                <w:lang w:val="en-US" w:eastAsia="zh-CN"/>
              </w:rPr>
              <w:t>3</w:t>
            </w:r>
            <w:r>
              <w:rPr>
                <w:rFonts w:hint="default" w:ascii="Times New Roman" w:hAnsi="Times New Roman" w:cs="Times New Roman" w:eastAsiaTheme="minorEastAsia"/>
                <w:b/>
                <w:color w:val="auto"/>
                <w:kern w:val="0"/>
                <w:sz w:val="24"/>
                <w:szCs w:val="24"/>
                <w:highlight w:val="none"/>
              </w:rPr>
              <w:t>声环境影响预测结果</w:t>
            </w:r>
            <w:r>
              <w:rPr>
                <w:rFonts w:hint="eastAsia" w:cs="Times New Roman" w:eastAsiaTheme="minorEastAsia"/>
                <w:b/>
                <w:color w:val="auto"/>
                <w:kern w:val="0"/>
                <w:sz w:val="24"/>
                <w:szCs w:val="24"/>
                <w:highlight w:val="none"/>
                <w:lang w:eastAsia="zh-CN"/>
              </w:rPr>
              <w:t>（</w:t>
            </w:r>
            <w:r>
              <w:rPr>
                <w:rFonts w:hint="default" w:ascii="Times New Roman" w:hAnsi="Times New Roman" w:cs="Times New Roman" w:eastAsiaTheme="minorEastAsia"/>
                <w:b/>
                <w:color w:val="auto"/>
                <w:kern w:val="0"/>
                <w:sz w:val="24"/>
                <w:szCs w:val="24"/>
                <w:highlight w:val="none"/>
              </w:rPr>
              <w:t>dB</w:t>
            </w:r>
            <w:r>
              <w:rPr>
                <w:rFonts w:hint="eastAsia" w:cs="Times New Roman" w:eastAsiaTheme="minorEastAsia"/>
                <w:b/>
                <w:color w:val="auto"/>
                <w:kern w:val="0"/>
                <w:sz w:val="24"/>
                <w:szCs w:val="24"/>
                <w:highlight w:val="none"/>
                <w:lang w:eastAsia="zh-CN"/>
              </w:rPr>
              <w:t>（</w:t>
            </w:r>
            <w:r>
              <w:rPr>
                <w:rFonts w:hint="default" w:ascii="Times New Roman" w:hAnsi="Times New Roman" w:cs="Times New Roman" w:eastAsiaTheme="minorEastAsia"/>
                <w:b/>
                <w:color w:val="auto"/>
                <w:kern w:val="0"/>
                <w:sz w:val="24"/>
                <w:szCs w:val="24"/>
                <w:highlight w:val="none"/>
              </w:rPr>
              <w:t>A</w:t>
            </w:r>
            <w:r>
              <w:rPr>
                <w:rFonts w:hint="eastAsia" w:cs="Times New Roman" w:eastAsiaTheme="minorEastAsia"/>
                <w:b/>
                <w:color w:val="auto"/>
                <w:kern w:val="0"/>
                <w:sz w:val="24"/>
                <w:szCs w:val="24"/>
                <w:highlight w:val="none"/>
                <w:lang w:eastAsia="zh-CN"/>
              </w:rPr>
              <w:t>））</w:t>
            </w:r>
          </w:p>
          <w:tbl>
            <w:tblPr>
              <w:tblStyle w:val="25"/>
              <w:tblW w:w="852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1378"/>
              <w:gridCol w:w="1380"/>
              <w:gridCol w:w="1471"/>
              <w:gridCol w:w="1047"/>
              <w:gridCol w:w="219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17" w:hRule="atLeast"/>
                <w:jc w:val="center"/>
              </w:trPr>
              <w:tc>
                <w:tcPr>
                  <w:tcW w:w="1054" w:type="dxa"/>
                  <w:vMerge w:val="restart"/>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编号</w:t>
                  </w:r>
                </w:p>
              </w:tc>
              <w:tc>
                <w:tcPr>
                  <w:tcW w:w="2758" w:type="dxa"/>
                  <w:gridSpan w:val="2"/>
                  <w:tcBorders>
                    <w:tl2br w:val="nil"/>
                    <w:tr2bl w:val="nil"/>
                  </w:tcBorders>
                  <w:shd w:val="clear" w:color="auto" w:fill="auto"/>
                  <w:vAlign w:val="center"/>
                </w:tcPr>
                <w:p>
                  <w:pPr>
                    <w:adjustRightInd w:val="0"/>
                    <w:snapToGrid w:val="0"/>
                    <w:contextualSpacing/>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全厂贡献值</w:t>
                  </w:r>
                </w:p>
              </w:tc>
              <w:tc>
                <w:tcPr>
                  <w:tcW w:w="2518" w:type="dxa"/>
                  <w:gridSpan w:val="2"/>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环境标准值</w:t>
                  </w:r>
                </w:p>
              </w:tc>
              <w:tc>
                <w:tcPr>
                  <w:tcW w:w="2197" w:type="dxa"/>
                  <w:vMerge w:val="restart"/>
                  <w:tcBorders>
                    <w:tl2br w:val="nil"/>
                    <w:tr2bl w:val="nil"/>
                  </w:tcBorders>
                  <w:shd w:val="clear" w:color="auto" w:fill="auto"/>
                  <w:vAlign w:val="center"/>
                </w:tcPr>
                <w:p>
                  <w:pPr>
                    <w:adjustRightInd w:val="0"/>
                    <w:snapToGrid w:val="0"/>
                    <w:contextualSpacing/>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达标情况</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71" w:hRule="atLeast"/>
                <w:jc w:val="center"/>
              </w:trPr>
              <w:tc>
                <w:tcPr>
                  <w:tcW w:w="1054" w:type="dxa"/>
                  <w:vMerge w:val="continue"/>
                  <w:tcBorders>
                    <w:tl2br w:val="nil"/>
                    <w:tr2bl w:val="nil"/>
                  </w:tcBorders>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p>
              </w:tc>
              <w:tc>
                <w:tcPr>
                  <w:tcW w:w="1378"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昼间</w:t>
                  </w:r>
                </w:p>
              </w:tc>
              <w:tc>
                <w:tcPr>
                  <w:tcW w:w="1380"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夜间</w:t>
                  </w:r>
                </w:p>
              </w:tc>
              <w:tc>
                <w:tcPr>
                  <w:tcW w:w="1471"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昼间</w:t>
                  </w:r>
                </w:p>
              </w:tc>
              <w:tc>
                <w:tcPr>
                  <w:tcW w:w="104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夜间</w:t>
                  </w:r>
                </w:p>
              </w:tc>
              <w:tc>
                <w:tcPr>
                  <w:tcW w:w="2197" w:type="dxa"/>
                  <w:vMerge w:val="continue"/>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1054"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eastAsia="zh-CN"/>
                    </w:rPr>
                  </w:pPr>
                  <w:r>
                    <w:rPr>
                      <w:rFonts w:hint="default" w:ascii="Times New Roman" w:hAnsi="Times New Roman" w:cs="Times New Roman" w:eastAsiaTheme="minorEastAsia"/>
                      <w:color w:val="auto"/>
                      <w:szCs w:val="21"/>
                      <w:highlight w:val="none"/>
                      <w:lang w:val="en-US" w:eastAsia="zh-CN"/>
                    </w:rPr>
                    <w:t>东侧</w:t>
                  </w:r>
                </w:p>
              </w:tc>
              <w:tc>
                <w:tcPr>
                  <w:tcW w:w="1378"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rPr>
                  </w:pPr>
                  <w:r>
                    <w:rPr>
                      <w:rFonts w:hint="eastAsia"/>
                      <w:color w:val="auto"/>
                      <w:lang w:val="en-US" w:eastAsia="zh-CN"/>
                    </w:rPr>
                    <w:t>53.01</w:t>
                  </w:r>
                </w:p>
              </w:tc>
              <w:tc>
                <w:tcPr>
                  <w:tcW w:w="1380"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w:t>
                  </w:r>
                </w:p>
              </w:tc>
              <w:tc>
                <w:tcPr>
                  <w:tcW w:w="1471"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65</w:t>
                  </w:r>
                </w:p>
              </w:tc>
              <w:tc>
                <w:tcPr>
                  <w:tcW w:w="104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kern w:val="2"/>
                      <w:sz w:val="21"/>
                      <w:szCs w:val="21"/>
                      <w:highlight w:val="none"/>
                      <w:lang w:val="zh-CN" w:eastAsia="zh-CN" w:bidi="ar-SA"/>
                    </w:rPr>
                  </w:pPr>
                  <w:r>
                    <w:rPr>
                      <w:rFonts w:hint="default" w:ascii="Times New Roman" w:hAnsi="Times New Roman" w:cs="Times New Roman" w:eastAsiaTheme="minorEastAsia"/>
                      <w:color w:val="auto"/>
                      <w:szCs w:val="21"/>
                      <w:highlight w:val="none"/>
                      <w:lang w:val="zh-CN"/>
                    </w:rPr>
                    <w:t>/</w:t>
                  </w:r>
                </w:p>
              </w:tc>
              <w:tc>
                <w:tcPr>
                  <w:tcW w:w="2197" w:type="dxa"/>
                  <w:tcBorders>
                    <w:tl2br w:val="nil"/>
                    <w:tr2bl w:val="nil"/>
                  </w:tcBorders>
                  <w:shd w:val="clear" w:color="auto" w:fill="auto"/>
                  <w:vAlign w:val="center"/>
                </w:tcPr>
                <w:p>
                  <w:pPr>
                    <w:adjustRightInd w:val="0"/>
                    <w:snapToGrid w:val="0"/>
                    <w:contextualSpacing/>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1054"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eastAsia="zh-CN"/>
                    </w:rPr>
                  </w:pPr>
                  <w:r>
                    <w:rPr>
                      <w:rFonts w:hint="default" w:ascii="Times New Roman" w:hAnsi="Times New Roman" w:cs="Times New Roman" w:eastAsiaTheme="minorEastAsia"/>
                      <w:color w:val="auto"/>
                      <w:szCs w:val="21"/>
                      <w:highlight w:val="none"/>
                      <w:lang w:val="en-US" w:eastAsia="zh-CN"/>
                    </w:rPr>
                    <w:t>南侧</w:t>
                  </w:r>
                </w:p>
              </w:tc>
              <w:tc>
                <w:tcPr>
                  <w:tcW w:w="1378"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rPr>
                  </w:pPr>
                  <w:r>
                    <w:rPr>
                      <w:rFonts w:hint="eastAsia" w:cs="Times New Roman" w:eastAsiaTheme="minorEastAsia"/>
                      <w:color w:val="auto"/>
                      <w:szCs w:val="21"/>
                      <w:highlight w:val="none"/>
                      <w:lang w:val="en-US" w:eastAsia="zh-CN"/>
                    </w:rPr>
                    <w:t>53.00</w:t>
                  </w:r>
                </w:p>
              </w:tc>
              <w:tc>
                <w:tcPr>
                  <w:tcW w:w="1380"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w:t>
                  </w:r>
                </w:p>
              </w:tc>
              <w:tc>
                <w:tcPr>
                  <w:tcW w:w="1471"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65</w:t>
                  </w:r>
                </w:p>
              </w:tc>
              <w:tc>
                <w:tcPr>
                  <w:tcW w:w="104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kern w:val="2"/>
                      <w:sz w:val="21"/>
                      <w:szCs w:val="21"/>
                      <w:highlight w:val="none"/>
                      <w:lang w:val="zh-CN" w:eastAsia="zh-CN" w:bidi="ar-SA"/>
                    </w:rPr>
                  </w:pPr>
                  <w:r>
                    <w:rPr>
                      <w:rFonts w:hint="default" w:ascii="Times New Roman" w:hAnsi="Times New Roman" w:cs="Times New Roman" w:eastAsiaTheme="minorEastAsia"/>
                      <w:color w:val="auto"/>
                      <w:szCs w:val="21"/>
                      <w:highlight w:val="none"/>
                      <w:lang w:val="zh-CN"/>
                    </w:rPr>
                    <w:t>/</w:t>
                  </w:r>
                </w:p>
              </w:tc>
              <w:tc>
                <w:tcPr>
                  <w:tcW w:w="219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eastAsia" w:cs="Times New Roman" w:eastAsiaTheme="minorEastAsia"/>
                      <w:color w:val="auto"/>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55" w:hRule="atLeast"/>
                <w:jc w:val="center"/>
              </w:trPr>
              <w:tc>
                <w:tcPr>
                  <w:tcW w:w="1054"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eastAsia="zh-CN"/>
                    </w:rPr>
                  </w:pPr>
                  <w:r>
                    <w:rPr>
                      <w:rFonts w:hint="default" w:ascii="Times New Roman" w:hAnsi="Times New Roman" w:cs="Times New Roman" w:eastAsiaTheme="minorEastAsia"/>
                      <w:color w:val="auto"/>
                      <w:szCs w:val="21"/>
                      <w:highlight w:val="none"/>
                      <w:lang w:val="en-US" w:eastAsia="zh-CN"/>
                    </w:rPr>
                    <w:t>西侧</w:t>
                  </w:r>
                </w:p>
              </w:tc>
              <w:tc>
                <w:tcPr>
                  <w:tcW w:w="1378"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rPr>
                  </w:pPr>
                  <w:r>
                    <w:rPr>
                      <w:rFonts w:hint="eastAsia" w:cs="Times New Roman" w:eastAsiaTheme="minorEastAsia"/>
                      <w:color w:val="auto"/>
                      <w:szCs w:val="21"/>
                      <w:highlight w:val="none"/>
                      <w:lang w:val="en-US" w:eastAsia="zh-CN"/>
                    </w:rPr>
                    <w:t>52.99</w:t>
                  </w:r>
                </w:p>
              </w:tc>
              <w:tc>
                <w:tcPr>
                  <w:tcW w:w="1380"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w:t>
                  </w:r>
                </w:p>
              </w:tc>
              <w:tc>
                <w:tcPr>
                  <w:tcW w:w="1471"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65</w:t>
                  </w:r>
                </w:p>
              </w:tc>
              <w:tc>
                <w:tcPr>
                  <w:tcW w:w="104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kern w:val="2"/>
                      <w:sz w:val="21"/>
                      <w:szCs w:val="21"/>
                      <w:highlight w:val="none"/>
                      <w:lang w:val="zh-CN" w:eastAsia="zh-CN" w:bidi="ar-SA"/>
                    </w:rPr>
                  </w:pPr>
                  <w:r>
                    <w:rPr>
                      <w:rFonts w:hint="default" w:ascii="Times New Roman" w:hAnsi="Times New Roman" w:cs="Times New Roman" w:eastAsiaTheme="minorEastAsia"/>
                      <w:color w:val="auto"/>
                      <w:szCs w:val="21"/>
                      <w:highlight w:val="none"/>
                      <w:lang w:val="zh-CN"/>
                    </w:rPr>
                    <w:t>/</w:t>
                  </w:r>
                </w:p>
              </w:tc>
              <w:tc>
                <w:tcPr>
                  <w:tcW w:w="219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eastAsia" w:cs="Times New Roman" w:eastAsiaTheme="minorEastAsia"/>
                      <w:color w:val="auto"/>
                      <w:szCs w:val="21"/>
                      <w:highlight w:val="none"/>
                      <w:lang w:val="en-US" w:eastAsia="zh-CN"/>
                    </w:rPr>
                    <w:t>达标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80" w:hRule="atLeast"/>
                <w:jc w:val="center"/>
              </w:trPr>
              <w:tc>
                <w:tcPr>
                  <w:tcW w:w="1054"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eastAsia="zh-CN"/>
                    </w:rPr>
                  </w:pPr>
                  <w:r>
                    <w:rPr>
                      <w:rFonts w:hint="default" w:ascii="Times New Roman" w:hAnsi="Times New Roman" w:cs="Times New Roman" w:eastAsiaTheme="minorEastAsia"/>
                      <w:color w:val="auto"/>
                      <w:szCs w:val="21"/>
                      <w:highlight w:val="none"/>
                      <w:lang w:val="en-US" w:eastAsia="zh-CN"/>
                    </w:rPr>
                    <w:t>北侧</w:t>
                  </w:r>
                </w:p>
              </w:tc>
              <w:tc>
                <w:tcPr>
                  <w:tcW w:w="1378"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eastAsia" w:cs="Times New Roman" w:eastAsiaTheme="minorEastAsia"/>
                      <w:color w:val="auto"/>
                      <w:szCs w:val="21"/>
                      <w:highlight w:val="none"/>
                      <w:lang w:val="en-US" w:eastAsia="zh-CN"/>
                    </w:rPr>
                    <w:t>52.99</w:t>
                  </w:r>
                </w:p>
              </w:tc>
              <w:tc>
                <w:tcPr>
                  <w:tcW w:w="1380"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default" w:ascii="Times New Roman" w:hAnsi="Times New Roman" w:cs="Times New Roman" w:eastAsiaTheme="minorEastAsia"/>
                      <w:color w:val="auto"/>
                      <w:szCs w:val="21"/>
                      <w:highlight w:val="none"/>
                      <w:lang w:val="zh-CN"/>
                    </w:rPr>
                    <w:t>/</w:t>
                  </w:r>
                </w:p>
              </w:tc>
              <w:tc>
                <w:tcPr>
                  <w:tcW w:w="1471"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65</w:t>
                  </w:r>
                </w:p>
              </w:tc>
              <w:tc>
                <w:tcPr>
                  <w:tcW w:w="104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kern w:val="2"/>
                      <w:sz w:val="21"/>
                      <w:szCs w:val="21"/>
                      <w:highlight w:val="none"/>
                      <w:lang w:val="zh-CN" w:eastAsia="zh-CN" w:bidi="ar-SA"/>
                    </w:rPr>
                  </w:pPr>
                  <w:r>
                    <w:rPr>
                      <w:rFonts w:hint="default" w:ascii="Times New Roman" w:hAnsi="Times New Roman" w:cs="Times New Roman" w:eastAsiaTheme="minorEastAsia"/>
                      <w:color w:val="auto"/>
                      <w:szCs w:val="21"/>
                      <w:highlight w:val="none"/>
                      <w:lang w:val="zh-CN"/>
                    </w:rPr>
                    <w:t>/</w:t>
                  </w:r>
                </w:p>
              </w:tc>
              <w:tc>
                <w:tcPr>
                  <w:tcW w:w="2197" w:type="dxa"/>
                  <w:tcBorders>
                    <w:tl2br w:val="nil"/>
                    <w:tr2bl w:val="nil"/>
                  </w:tcBorders>
                  <w:shd w:val="clear" w:color="auto" w:fill="auto"/>
                  <w:vAlign w:val="center"/>
                </w:tcPr>
                <w:p>
                  <w:pPr>
                    <w:adjustRightInd w:val="0"/>
                    <w:snapToGrid w:val="0"/>
                    <w:contextualSpacing/>
                    <w:jc w:val="center"/>
                    <w:rPr>
                      <w:rFonts w:hint="default" w:ascii="Times New Roman" w:hAnsi="Times New Roman" w:cs="Times New Roman" w:eastAsiaTheme="minorEastAsia"/>
                      <w:color w:val="auto"/>
                      <w:szCs w:val="21"/>
                      <w:highlight w:val="none"/>
                      <w:lang w:val="zh-CN"/>
                    </w:rPr>
                  </w:pPr>
                  <w:r>
                    <w:rPr>
                      <w:rFonts w:hint="eastAsia" w:cs="Times New Roman" w:eastAsiaTheme="minorEastAsia"/>
                      <w:color w:val="auto"/>
                      <w:szCs w:val="21"/>
                      <w:highlight w:val="none"/>
                      <w:lang w:val="en-US" w:eastAsia="zh-CN"/>
                    </w:rPr>
                    <w:t>达标</w:t>
                  </w:r>
                </w:p>
              </w:tc>
            </w:tr>
          </w:tbl>
          <w:p>
            <w:pPr>
              <w:adjustRightInd w:val="0"/>
              <w:snapToGrid w:val="0"/>
              <w:spacing w:line="360" w:lineRule="auto"/>
              <w:rPr>
                <w:rFonts w:hint="default" w:ascii="Times New Roman" w:hAnsi="Times New Roman" w:eastAsia="宋体" w:cs="Times New Roman"/>
                <w:snapToGrid w:val="0"/>
                <w:color w:val="auto"/>
                <w:sz w:val="21"/>
                <w:szCs w:val="21"/>
                <w:highlight w:val="none"/>
                <w:lang w:val="en-US" w:eastAsia="zh-CN"/>
              </w:rPr>
            </w:pPr>
            <w:r>
              <w:rPr>
                <w:rFonts w:hint="eastAsia"/>
                <w:color w:val="auto"/>
                <w:lang w:val="en-US" w:eastAsia="zh-CN"/>
              </w:rPr>
              <w:t>注：对全厂噪声源进行预测，计算项目及改扩建后全厂贡献值。</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default" w:ascii="Times New Roman" w:hAnsi="Times New Roman" w:cs="Times New Roman" w:eastAsiaTheme="minorEastAsia"/>
                <w:snapToGrid w:val="0"/>
                <w:color w:val="auto"/>
                <w:sz w:val="24"/>
                <w:szCs w:val="24"/>
                <w:highlight w:val="none"/>
                <w:lang w:val="en-US" w:eastAsia="zh-CN"/>
              </w:rPr>
              <w:t>综上所述，项目采取合理布局、厂房隔声、距离衰减等降噪措施后，厂界噪声可确保达标，建设单位采用的工业布局和噪声污染防治措施可行，对周围环境影响较小。</w:t>
            </w:r>
          </w:p>
          <w:p>
            <w:pPr>
              <w:adjustRightInd w:val="0"/>
              <w:snapToGrid w:val="0"/>
              <w:spacing w:line="360" w:lineRule="auto"/>
              <w:ind w:firstLine="482" w:firstLineChars="200"/>
              <w:rPr>
                <w:rFonts w:hint="default" w:ascii="Times New Roman" w:hAnsi="Times New Roman" w:cs="Times New Roman" w:eastAsiaTheme="minorEastAsia"/>
                <w:b/>
                <w:bCs/>
                <w:snapToGrid w:val="0"/>
                <w:color w:val="auto"/>
                <w:sz w:val="24"/>
                <w:szCs w:val="24"/>
                <w:highlight w:val="none"/>
                <w:lang w:val="en-US" w:eastAsia="zh-CN"/>
              </w:rPr>
            </w:pPr>
            <w:r>
              <w:rPr>
                <w:rFonts w:hint="default" w:ascii="Times New Roman" w:hAnsi="Times New Roman" w:cs="Times New Roman" w:eastAsiaTheme="minorEastAsia"/>
                <w:b/>
                <w:bCs/>
                <w:snapToGrid w:val="0"/>
                <w:color w:val="auto"/>
                <w:sz w:val="24"/>
                <w:szCs w:val="24"/>
                <w:highlight w:val="none"/>
                <w:lang w:val="en-US" w:eastAsia="zh-CN"/>
              </w:rPr>
              <w:t>3、噪声污染源监测计划</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default" w:ascii="Times New Roman" w:hAnsi="Times New Roman" w:cs="Times New Roman" w:eastAsiaTheme="minorEastAsia"/>
                <w:snapToGrid w:val="0"/>
                <w:color w:val="auto"/>
                <w:sz w:val="24"/>
                <w:szCs w:val="24"/>
                <w:highlight w:val="none"/>
                <w:lang w:val="en-US" w:eastAsia="zh-CN"/>
              </w:rPr>
              <w:t>①自行监测计划</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default" w:ascii="Times New Roman" w:hAnsi="Times New Roman" w:cs="Times New Roman" w:eastAsiaTheme="minorEastAsia"/>
                <w:snapToGrid w:val="0"/>
                <w:color w:val="auto"/>
                <w:sz w:val="24"/>
                <w:szCs w:val="24"/>
                <w:highlight w:val="none"/>
                <w:lang w:val="en-US" w:eastAsia="zh-CN"/>
              </w:rPr>
              <w:t>根据《排污单位自行监测技术指南总则》（HJ819-2017），厂界噪声最低监测频次为季度，厂界噪声监测频次为一季度开展一次，并在噪声监测点附近醒目处设置环境保护图形标志牌。</w:t>
            </w:r>
          </w:p>
          <w:p>
            <w:pPr>
              <w:spacing w:line="240" w:lineRule="auto"/>
              <w:jc w:val="center"/>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表</w:t>
            </w:r>
            <w:r>
              <w:rPr>
                <w:rFonts w:ascii="Times New Roman" w:hAnsi="Times New Roman" w:eastAsia="宋体" w:cs="Times New Roman"/>
                <w:b/>
                <w:bCs/>
                <w:color w:val="auto"/>
                <w:sz w:val="24"/>
                <w:szCs w:val="24"/>
                <w:highlight w:val="none"/>
              </w:rPr>
              <w:t>4.3</w:t>
            </w: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4</w:t>
            </w:r>
            <w:r>
              <w:rPr>
                <w:rFonts w:hint="eastAsia" w:ascii="Times New Roman" w:hAnsi="Times New Roman" w:eastAsia="宋体" w:cs="Times New Roman"/>
                <w:b/>
                <w:color w:val="auto"/>
                <w:sz w:val="24"/>
                <w:szCs w:val="21"/>
                <w:highlight w:val="none"/>
              </w:rPr>
              <w:t>噪声污染源监测计划</w:t>
            </w:r>
          </w:p>
          <w:tbl>
            <w:tblPr>
              <w:tblStyle w:val="25"/>
              <w:tblW w:w="852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308"/>
              <w:gridCol w:w="2014"/>
              <w:gridCol w:w="2553"/>
              <w:gridCol w:w="264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38" w:hRule="atLeast"/>
                <w:jc w:val="center"/>
              </w:trPr>
              <w:tc>
                <w:tcPr>
                  <w:tcW w:w="1308"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类别</w:t>
                  </w:r>
                </w:p>
              </w:tc>
              <w:tc>
                <w:tcPr>
                  <w:tcW w:w="2014"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监测点位</w:t>
                  </w:r>
                </w:p>
              </w:tc>
              <w:tc>
                <w:tcPr>
                  <w:tcW w:w="2553"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监测项目</w:t>
                  </w:r>
                </w:p>
              </w:tc>
              <w:tc>
                <w:tcPr>
                  <w:tcW w:w="2649"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监测频率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8" w:hRule="atLeast"/>
                <w:jc w:val="center"/>
              </w:trPr>
              <w:tc>
                <w:tcPr>
                  <w:tcW w:w="1308" w:type="dxa"/>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噪声</w:t>
                  </w:r>
                </w:p>
              </w:tc>
              <w:tc>
                <w:tcPr>
                  <w:tcW w:w="2014" w:type="dxa"/>
                  <w:tcBorders>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厂界四周外</w:t>
                  </w:r>
                  <w:r>
                    <w:rPr>
                      <w:rFonts w:hint="eastAsia" w:ascii="Times New Roman" w:hAnsi="Times New Roman" w:eastAsia="宋体" w:cs="Times New Roman"/>
                      <w:color w:val="auto"/>
                      <w:sz w:val="21"/>
                      <w:szCs w:val="21"/>
                      <w:highlight w:val="none"/>
                    </w:rPr>
                    <w:t>1m处</w:t>
                  </w:r>
                </w:p>
              </w:tc>
              <w:tc>
                <w:tcPr>
                  <w:tcW w:w="2553" w:type="dxa"/>
                  <w:tcBorders>
                    <w:lef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昼间</w:t>
                  </w:r>
                  <w:r>
                    <w:rPr>
                      <w:rFonts w:hint="eastAsia" w:ascii="Times New Roman" w:hAnsi="Times New Roman" w:eastAsia="宋体" w:cs="Times New Roman"/>
                      <w:color w:val="auto"/>
                      <w:sz w:val="21"/>
                      <w:szCs w:val="21"/>
                      <w:highlight w:val="none"/>
                    </w:rPr>
                    <w:t>等效连续A声级</w:t>
                  </w:r>
                </w:p>
              </w:tc>
              <w:tc>
                <w:tcPr>
                  <w:tcW w:w="2649" w:type="dxa"/>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一</w:t>
                  </w:r>
                  <w:r>
                    <w:rPr>
                      <w:rFonts w:hint="eastAsia" w:ascii="Times New Roman" w:hAnsi="Times New Roman" w:eastAsia="宋体" w:cs="Times New Roman"/>
                      <w:color w:val="auto"/>
                      <w:sz w:val="21"/>
                      <w:szCs w:val="21"/>
                      <w:highlight w:val="none"/>
                    </w:rPr>
                    <w:t>季</w:t>
                  </w:r>
                  <w:r>
                    <w:rPr>
                      <w:rFonts w:ascii="Times New Roman" w:hAnsi="Times New Roman" w:eastAsia="宋体" w:cs="Times New Roman"/>
                      <w:color w:val="auto"/>
                      <w:sz w:val="21"/>
                      <w:szCs w:val="21"/>
                      <w:highlight w:val="none"/>
                    </w:rPr>
                    <w:t>一次</w:t>
                  </w:r>
                </w:p>
              </w:tc>
            </w:tr>
          </w:tbl>
          <w:p>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②“三同时”验收监测计划</w:t>
            </w:r>
          </w:p>
          <w:p>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根据《建设项目竣工环境保护验收技术指南污染影响类》，本项目噪声监测要求见表4</w:t>
            </w:r>
            <w:r>
              <w:rPr>
                <w:rFonts w:ascii="Times New Roman" w:hAnsi="Times New Roman" w:eastAsia="宋体" w:cs="Times New Roman"/>
                <w:color w:val="auto"/>
                <w:sz w:val="24"/>
                <w:szCs w:val="24"/>
                <w:highlight w:val="none"/>
              </w:rPr>
              <w:t>.2.3</w:t>
            </w: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rPr>
              <w:t>。</w:t>
            </w:r>
          </w:p>
          <w:p>
            <w:pPr>
              <w:spacing w:line="240" w:lineRule="auto"/>
              <w:jc w:val="center"/>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表</w:t>
            </w:r>
            <w:r>
              <w:rPr>
                <w:rFonts w:ascii="Times New Roman" w:hAnsi="Times New Roman" w:eastAsia="宋体" w:cs="Times New Roman"/>
                <w:b/>
                <w:bCs/>
                <w:color w:val="auto"/>
                <w:sz w:val="24"/>
                <w:szCs w:val="24"/>
                <w:highlight w:val="none"/>
              </w:rPr>
              <w:t>4.3</w:t>
            </w: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5</w:t>
            </w:r>
            <w:r>
              <w:rPr>
                <w:rFonts w:hint="eastAsia" w:ascii="Times New Roman" w:hAnsi="Times New Roman" w:eastAsia="宋体" w:cs="Times New Roman"/>
                <w:b/>
                <w:color w:val="auto"/>
                <w:sz w:val="24"/>
                <w:szCs w:val="21"/>
                <w:highlight w:val="none"/>
              </w:rPr>
              <w:t>噪声监测要求</w:t>
            </w:r>
          </w:p>
          <w:tbl>
            <w:tblPr>
              <w:tblStyle w:val="25"/>
              <w:tblW w:w="852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238"/>
              <w:gridCol w:w="1994"/>
              <w:gridCol w:w="1944"/>
              <w:gridCol w:w="3348"/>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06" w:hRule="atLeast"/>
                <w:jc w:val="center"/>
              </w:trPr>
              <w:tc>
                <w:tcPr>
                  <w:tcW w:w="1238"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类别</w:t>
                  </w:r>
                </w:p>
              </w:tc>
              <w:tc>
                <w:tcPr>
                  <w:tcW w:w="1994"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监测点位</w:t>
                  </w:r>
                </w:p>
              </w:tc>
              <w:tc>
                <w:tcPr>
                  <w:tcW w:w="1944"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监测项目</w:t>
                  </w:r>
                </w:p>
              </w:tc>
              <w:tc>
                <w:tcPr>
                  <w:tcW w:w="3348" w:type="dxa"/>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监测频率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439" w:hRule="atLeast"/>
                <w:jc w:val="center"/>
              </w:trPr>
              <w:tc>
                <w:tcPr>
                  <w:tcW w:w="1238"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厂界</w:t>
                  </w:r>
                  <w:r>
                    <w:rPr>
                      <w:rFonts w:ascii="Times New Roman" w:hAnsi="Times New Roman" w:eastAsia="宋体" w:cs="Times New Roman"/>
                      <w:color w:val="auto"/>
                      <w:sz w:val="21"/>
                      <w:szCs w:val="21"/>
                      <w:highlight w:val="none"/>
                    </w:rPr>
                    <w:t>噪声</w:t>
                  </w:r>
                </w:p>
              </w:tc>
              <w:tc>
                <w:tcPr>
                  <w:tcW w:w="1994" w:type="dxa"/>
                  <w:tcBorders>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厂界四周外</w:t>
                  </w:r>
                  <w:r>
                    <w:rPr>
                      <w:rFonts w:hint="eastAsia" w:ascii="Times New Roman" w:hAnsi="Times New Roman" w:eastAsia="宋体" w:cs="Times New Roman"/>
                      <w:color w:val="auto"/>
                      <w:sz w:val="21"/>
                      <w:szCs w:val="21"/>
                      <w:highlight w:val="none"/>
                    </w:rPr>
                    <w:t>1m处</w:t>
                  </w:r>
                </w:p>
              </w:tc>
              <w:tc>
                <w:tcPr>
                  <w:tcW w:w="1944" w:type="dxa"/>
                  <w:tcBorders>
                    <w:lef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等效连续A声级</w:t>
                  </w:r>
                </w:p>
              </w:tc>
              <w:tc>
                <w:tcPr>
                  <w:tcW w:w="3348"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连续监测2天，每天昼</w:t>
                  </w:r>
                  <w:r>
                    <w:rPr>
                      <w:rFonts w:hint="eastAsia" w:cs="Times New Roman"/>
                      <w:color w:val="auto"/>
                      <w:sz w:val="21"/>
                      <w:szCs w:val="21"/>
                      <w:highlight w:val="none"/>
                      <w:lang w:val="en-US" w:eastAsia="zh-CN"/>
                    </w:rPr>
                    <w:t>间</w:t>
                  </w:r>
                  <w:r>
                    <w:rPr>
                      <w:rFonts w:hint="eastAsia" w:ascii="Times New Roman" w:hAnsi="Times New Roman" w:eastAsia="宋体" w:cs="Times New Roman"/>
                      <w:color w:val="auto"/>
                      <w:sz w:val="21"/>
                      <w:szCs w:val="21"/>
                      <w:highlight w:val="none"/>
                    </w:rPr>
                    <w:t>1次</w:t>
                  </w:r>
                </w:p>
              </w:tc>
            </w:tr>
          </w:tbl>
          <w:p>
            <w:pPr>
              <w:spacing w:line="360" w:lineRule="auto"/>
              <w:ind w:firstLine="482" w:firstLineChars="200"/>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4</w:t>
            </w:r>
            <w:r>
              <w:rPr>
                <w:rFonts w:hint="eastAsia" w:ascii="Times New Roman" w:hAnsi="Times New Roman" w:eastAsia="宋体" w:cs="Times New Roman"/>
                <w:b/>
                <w:bCs/>
                <w:color w:val="auto"/>
                <w:sz w:val="24"/>
                <w:szCs w:val="24"/>
                <w:highlight w:val="none"/>
              </w:rPr>
              <w:t>、噪声防治措施</w:t>
            </w:r>
          </w:p>
          <w:p>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建设项目设备噪声均具有连续稳定噪声的特点，由于生产是连续进行的</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基于以上特点，建设项目噪声防治从声源、声的传播途径等方面着手，前者主要采用低噪声设备，选用低噪声工艺，低噪声传动以及对气体机械降低空气动力性噪声的控制：包括选用低噪声电机、风机、进气口、出气口安装消声器等。后者则在总图布置时对高、低噪声尽量集中而分别布置，利用车间、仓库厂房、设置围墙和安装使用噪声控制的设备机材料，可获得良好降噪效果，具体防治措施如下：</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（1）控制设备噪声</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在设备选型时选用先进的低噪声设备</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在满足工艺设计的前提下，尽量选用满足国际标准的低噪声、低振动型号的设备，降低噪声源强；在噪声源集中的厂房设隔音操作室。</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（2）设备减振、隔声</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对各类风机的进、出口处安装阻性消声器，并在机组与地基之间安置减震器，在风机与排气筒之间设置软连接，对风机采取配套的通风散热装置设置消声器，可降噪约2</w:t>
            </w:r>
            <w:r>
              <w:rPr>
                <w:rFonts w:hint="eastAsia" w:cs="Times New Roman"/>
                <w:color w:val="auto"/>
                <w:sz w:val="24"/>
                <w:szCs w:val="24"/>
                <w:highlight w:val="none"/>
                <w:lang w:val="en-US" w:eastAsia="zh-CN"/>
              </w:rPr>
              <w:t>5</w:t>
            </w:r>
            <w:r>
              <w:rPr>
                <w:rFonts w:hint="eastAsia" w:ascii="Times New Roman" w:hAnsi="Times New Roman" w:eastAsia="宋体" w:cs="Times New Roman"/>
                <w:color w:val="auto"/>
                <w:sz w:val="24"/>
                <w:szCs w:val="24"/>
                <w:highlight w:val="none"/>
              </w:rPr>
              <w:t>dB</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A</w:t>
            </w:r>
            <w:r>
              <w:rPr>
                <w:rFonts w:hint="eastAsia" w:cs="Times New Roman"/>
                <w:color w:val="auto"/>
                <w:sz w:val="24"/>
                <w:szCs w:val="24"/>
                <w:highlight w:val="none"/>
                <w:lang w:eastAsia="zh-CN"/>
              </w:rPr>
              <w:t>）</w:t>
            </w:r>
            <w:r>
              <w:rPr>
                <w:rFonts w:hint="eastAsia" w:ascii="Times New Roman" w:hAnsi="Times New Roman" w:eastAsia="宋体" w:cs="Times New Roman"/>
                <w:color w:val="auto"/>
                <w:sz w:val="24"/>
                <w:szCs w:val="24"/>
                <w:highlight w:val="none"/>
              </w:rPr>
              <w:t>左右</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rPr>
              <w:t>3</w:t>
            </w:r>
            <w:r>
              <w:rPr>
                <w:rFonts w:hint="eastAsia" w:ascii="Times New Roman" w:hAnsi="Times New Roman" w:eastAsia="宋体" w:cs="Times New Roman"/>
                <w:color w:val="auto"/>
                <w:sz w:val="24"/>
                <w:szCs w:val="24"/>
                <w:highlight w:val="none"/>
              </w:rPr>
              <w:t>）强化生产管理</w:t>
            </w:r>
          </w:p>
          <w:p>
            <w:pPr>
              <w:spacing w:line="360" w:lineRule="auto"/>
              <w:ind w:firstLine="480" w:firstLineChars="20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确保各类</w:t>
            </w:r>
            <w:r>
              <w:rPr>
                <w:rFonts w:hint="eastAsia" w:cs="Times New Roman"/>
                <w:color w:val="auto"/>
                <w:sz w:val="24"/>
                <w:szCs w:val="24"/>
                <w:highlight w:val="none"/>
                <w:lang w:eastAsia="zh-CN"/>
              </w:rPr>
              <w:t>防治措施</w:t>
            </w:r>
            <w:r>
              <w:rPr>
                <w:rFonts w:hint="eastAsia" w:ascii="Times New Roman" w:hAnsi="Times New Roman" w:eastAsia="宋体" w:cs="Times New Roman"/>
                <w:color w:val="auto"/>
                <w:sz w:val="24"/>
                <w:szCs w:val="24"/>
                <w:highlight w:val="none"/>
              </w:rPr>
              <w:t>有效运行，各设备均保持良好运行状态，防止突发噪声。</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w:t>
            </w:r>
            <w:r>
              <w:rPr>
                <w:rFonts w:ascii="Times New Roman" w:hAnsi="Times New Roman" w:eastAsia="宋体" w:cs="Times New Roman"/>
                <w:color w:val="auto"/>
                <w:sz w:val="24"/>
                <w:szCs w:val="24"/>
                <w:highlight w:val="none"/>
              </w:rPr>
              <w:t>4</w:t>
            </w:r>
            <w:r>
              <w:rPr>
                <w:rFonts w:hint="eastAsia" w:ascii="Times New Roman" w:hAnsi="Times New Roman" w:eastAsia="宋体" w:cs="Times New Roman"/>
                <w:color w:val="auto"/>
                <w:sz w:val="24"/>
                <w:szCs w:val="24"/>
                <w:highlight w:val="none"/>
              </w:rPr>
              <w:t>）合理布局</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在厂区总图布置中尽可能将噪声较集中的主厂房布置在厂区中央，其它噪声源亦尽可能远离厂界，以减轻对外界环境的影响。</w:t>
            </w:r>
          </w:p>
          <w:p>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t>5</w:t>
            </w:r>
            <w:r>
              <w:rPr>
                <w:rFonts w:hint="eastAsia" w:ascii="Times New Roman" w:hAnsi="Times New Roman" w:eastAsia="宋体" w:cs="Times New Roman"/>
                <w:b/>
                <w:bCs/>
                <w:color w:val="auto"/>
                <w:sz w:val="24"/>
                <w:szCs w:val="21"/>
                <w:highlight w:val="none"/>
              </w:rPr>
              <w:t>、噪声环境影响分析结论</w:t>
            </w:r>
          </w:p>
          <w:p>
            <w:pPr>
              <w:adjustRightInd w:val="0"/>
              <w:snapToGrid w:val="0"/>
              <w:spacing w:line="360" w:lineRule="auto"/>
              <w:ind w:firstLine="480" w:firstLineChars="200"/>
              <w:rPr>
                <w:rFonts w:hint="default" w:ascii="Times New Roman" w:hAnsi="Times New Roman" w:cs="Times New Roman" w:eastAsiaTheme="minorEastAsia"/>
                <w:snapToGrid w:val="0"/>
                <w:color w:val="auto"/>
                <w:sz w:val="24"/>
                <w:szCs w:val="24"/>
                <w:highlight w:val="none"/>
                <w:lang w:val="en-US" w:eastAsia="zh-CN"/>
              </w:rPr>
            </w:pPr>
            <w:r>
              <w:rPr>
                <w:rFonts w:hint="eastAsia" w:ascii="Times New Roman" w:hAnsi="Times New Roman" w:eastAsia="宋体" w:cs="Times New Roman"/>
                <w:color w:val="auto"/>
                <w:sz w:val="24"/>
                <w:szCs w:val="21"/>
                <w:highlight w:val="none"/>
              </w:rPr>
              <w:t>根据厂界噪声预测结果，本项目</w:t>
            </w:r>
            <w:r>
              <w:rPr>
                <w:rFonts w:hint="eastAsia" w:ascii="Times New Roman" w:hAnsi="Times New Roman" w:eastAsia="宋体" w:cs="Times New Roman"/>
                <w:color w:val="auto"/>
                <w:sz w:val="24"/>
                <w:szCs w:val="21"/>
                <w:highlight w:val="none"/>
                <w:lang w:val="en-US" w:eastAsia="zh-CN"/>
              </w:rPr>
              <w:t>昼间</w:t>
            </w:r>
            <w:r>
              <w:rPr>
                <w:rFonts w:hint="eastAsia" w:ascii="Times New Roman" w:hAnsi="Times New Roman" w:eastAsia="宋体" w:cs="Times New Roman"/>
                <w:color w:val="auto"/>
                <w:sz w:val="24"/>
                <w:szCs w:val="21"/>
                <w:highlight w:val="none"/>
              </w:rPr>
              <w:t>噪声排放对各厂界影响值较小，厂界噪声排放符合《工业企业厂界环境噪声排放标准》（</w:t>
            </w:r>
            <w:r>
              <w:rPr>
                <w:rFonts w:ascii="Times New Roman" w:hAnsi="Times New Roman" w:eastAsia="宋体" w:cs="Times New Roman"/>
                <w:color w:val="auto"/>
                <w:sz w:val="24"/>
                <w:szCs w:val="21"/>
                <w:highlight w:val="none"/>
              </w:rPr>
              <w:t>GB12348-2008</w:t>
            </w: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3</w:t>
            </w:r>
            <w:r>
              <w:rPr>
                <w:rFonts w:hint="eastAsia" w:ascii="Times New Roman" w:hAnsi="Times New Roman" w:eastAsia="宋体" w:cs="Times New Roman"/>
                <w:color w:val="auto"/>
                <w:sz w:val="24"/>
                <w:szCs w:val="21"/>
                <w:highlight w:val="none"/>
              </w:rPr>
              <w:t>类标准中的排放限值。因此本项目的设备噪声排放对周围环境的影响较小，不会降低当地声环境功能级别。</w:t>
            </w:r>
          </w:p>
          <w:p>
            <w:pPr>
              <w:pageBreakBefore w:val="0"/>
              <w:widowControl w:val="0"/>
              <w:kinsoku/>
              <w:wordWrap/>
              <w:overflowPunct/>
              <w:topLinePunct w:val="0"/>
              <w:autoSpaceDE/>
              <w:autoSpaceDN/>
              <w:bidi w:val="0"/>
              <w:adjustRightInd/>
              <w:snapToGrid/>
              <w:spacing w:line="360" w:lineRule="auto"/>
              <w:ind w:firstLine="482" w:firstLineChars="200"/>
              <w:textAlignment w:val="auto"/>
              <w:rPr>
                <w:rFonts w:hint="default" w:ascii="Times New Roman" w:hAnsi="Times New Roman" w:eastAsia="宋体" w:cs="Times New Roman"/>
                <w:b/>
                <w:bCs/>
                <w:color w:val="auto"/>
                <w:kern w:val="2"/>
                <w:sz w:val="24"/>
                <w:szCs w:val="21"/>
                <w:highlight w:val="none"/>
                <w:lang w:val="en-US" w:eastAsia="zh-CN" w:bidi="ar-SA"/>
              </w:rPr>
            </w:pPr>
            <w:r>
              <w:rPr>
                <w:rFonts w:hint="eastAsia" w:cs="Times New Roman"/>
                <w:b/>
                <w:bCs/>
                <w:color w:val="auto"/>
                <w:kern w:val="2"/>
                <w:sz w:val="24"/>
                <w:szCs w:val="21"/>
                <w:highlight w:val="none"/>
                <w:lang w:val="en-US" w:eastAsia="zh-CN" w:bidi="ar-SA"/>
              </w:rPr>
              <w:t>四、固废环境影响分析</w:t>
            </w:r>
          </w:p>
          <w:p>
            <w:pPr>
              <w:pStyle w:val="5"/>
              <w:pageBreakBefore w:val="0"/>
              <w:widowControl w:val="0"/>
              <w:kinsoku/>
              <w:wordWrap/>
              <w:overflowPunct/>
              <w:topLinePunct w:val="0"/>
              <w:autoSpaceDE/>
              <w:autoSpaceDN/>
              <w:bidi w:val="0"/>
              <w:adjustRightInd/>
              <w:snapToGrid/>
              <w:spacing w:before="0" w:after="0" w:line="360" w:lineRule="auto"/>
              <w:ind w:firstLine="482" w:firstLineChars="200"/>
              <w:textAlignment w:val="auto"/>
              <w:rPr>
                <w:rFonts w:hint="eastAsia" w:cs="Times New Roman"/>
                <w:b/>
                <w:bCs/>
                <w:color w:val="auto"/>
                <w:kern w:val="2"/>
                <w:sz w:val="24"/>
                <w:szCs w:val="21"/>
                <w:highlight w:val="none"/>
                <w:lang w:val="en-US" w:eastAsia="zh-CN" w:bidi="ar-SA"/>
              </w:rPr>
            </w:pPr>
            <w:r>
              <w:rPr>
                <w:rFonts w:hint="eastAsia" w:cs="Times New Roman"/>
                <w:b/>
                <w:bCs/>
                <w:color w:val="auto"/>
                <w:kern w:val="2"/>
                <w:sz w:val="24"/>
                <w:szCs w:val="21"/>
                <w:highlight w:val="none"/>
                <w:lang w:val="en-US" w:eastAsia="zh-CN" w:bidi="ar-SA"/>
              </w:rPr>
              <w:t>1、固废源强分析</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eastAsia" w:ascii="Times New Roman" w:hAnsi="Times New Roman" w:eastAsia="宋体" w:cs="Times New Roman"/>
                <w:b w:val="0"/>
                <w:bCs w:val="0"/>
                <w:color w:val="auto"/>
                <w:kern w:val="2"/>
                <w:sz w:val="24"/>
                <w:szCs w:val="21"/>
                <w:highlight w:val="none"/>
                <w:lang w:val="en-US" w:eastAsia="zh-CN" w:bidi="ar-SA"/>
              </w:rPr>
              <w:t>（1）固体废物产生</w:t>
            </w:r>
          </w:p>
          <w:p>
            <w:pPr>
              <w:autoSpaceDE w:val="0"/>
              <w:autoSpaceDN w:val="0"/>
              <w:adjustRightInd w:val="0"/>
              <w:snapToGrid w:val="0"/>
              <w:spacing w:line="360" w:lineRule="auto"/>
              <w:ind w:firstLine="480"/>
              <w:jc w:val="left"/>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①废海绵S1-1、S2-2</w:t>
            </w:r>
          </w:p>
          <w:p>
            <w:pPr>
              <w:autoSpaceDE w:val="0"/>
              <w:autoSpaceDN w:val="0"/>
              <w:adjustRightInd w:val="0"/>
              <w:snapToGrid w:val="0"/>
              <w:spacing w:line="360" w:lineRule="auto"/>
              <w:ind w:firstLine="480"/>
              <w:jc w:val="left"/>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本项目在海绵切割冲孔过程会产生废海绵，根据企业提供资料，项目废海绵产生量为24t/a，外售处置。</w:t>
            </w:r>
          </w:p>
          <w:p>
            <w:pPr>
              <w:autoSpaceDE w:val="0"/>
              <w:autoSpaceDN w:val="0"/>
              <w:adjustRightInd w:val="0"/>
              <w:snapToGrid w:val="0"/>
              <w:spacing w:line="360" w:lineRule="auto"/>
              <w:ind w:firstLine="480"/>
              <w:jc w:val="left"/>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②含胶废含棉S1-2</w:t>
            </w:r>
          </w:p>
          <w:p>
            <w:pPr>
              <w:autoSpaceDE w:val="0"/>
              <w:autoSpaceDN w:val="0"/>
              <w:adjustRightInd w:val="0"/>
              <w:snapToGrid w:val="0"/>
              <w:spacing w:line="360" w:lineRule="auto"/>
              <w:ind w:firstLine="480"/>
              <w:jc w:val="left"/>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本项目在滚筒刷在磨头敲盖过程会有废含胶海绵产生，根据企业提供资料，废含胶海绵产生量为1t/a，委托有资质单位处置。</w:t>
            </w:r>
          </w:p>
          <w:p>
            <w:pPr>
              <w:autoSpaceDE w:val="0"/>
              <w:autoSpaceDN w:val="0"/>
              <w:adjustRightInd w:val="0"/>
              <w:snapToGrid w:val="0"/>
              <w:spacing w:line="360" w:lineRule="auto"/>
              <w:ind w:firstLine="480"/>
              <w:jc w:val="left"/>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③废PVC板材S2-1</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本项目板刷生产过程中PVC板切割过程会有废PVC板材产生，根据企业提供资料，废PVC板材产生量约0.4t/a，外售处置。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④废料S2-3</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本项目板刷生产过程中植绒后需要切块，过程会产生废料，根据企业提供资料，废料产生量约1t/a，委托有资质单位处置。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⑤废边角料S2-4、S3-2</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本项目在板刷注塑后修整过程会产生废边角料，这部分废料回用，本项目在漆刷生产过程中冲压工序会产生部分废边角料，根据企业提供资料废边角料产生量约2t/a，外售处置。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⑥混丝废料S3-1</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本项目油漆刷生产过程中混丝工序会产生部分混丝废料，根据企业提供资料，混丝废料产生量约1t/a，外售处置。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⑦漆渣</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本项目油漆刷浸漆晾干过程会有少量浸渍漆低落，形成漆渣，根据前文物料平衡，产生的漆渣约0.45t/a，收集后委托有资质单位处置。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⑧废漆桶</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本项目浸漆过程会有废漆桶产生，根据企业提供资料，废漆桶产生量约0.9t/a</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⑨</w:t>
            </w:r>
            <w:r>
              <w:rPr>
                <w:rFonts w:hint="eastAsia" w:ascii="Times New Roman" w:hAnsi="Times New Roman" w:eastAsia="宋体" w:cs="Times New Roman"/>
                <w:b w:val="0"/>
                <w:bCs w:val="0"/>
                <w:color w:val="auto"/>
                <w:kern w:val="2"/>
                <w:sz w:val="24"/>
                <w:szCs w:val="21"/>
                <w:highlight w:val="none"/>
                <w:lang w:val="en-US" w:eastAsia="zh-CN" w:bidi="ar-SA"/>
              </w:rPr>
              <w:t>废活性炭</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本项目废弃处理设施二级活性炭吸附饱和后需更换活性炭，会产生废活性炭，根据上文计算，废活性炭产量约15.58t/a，委托有资质单位处置。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⑩除尘灰</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本项目废气处理设施布袋除尘器会产生除尘灰，根据上文计算，除尘产生量约13.365t/a，外售处置。</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⑪废机油和机油桶</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本项目设备维修是会产生少量废机油和机油桶，根据企业提供资料，废机油和机油桶产生量约0.1t/a。</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⑫废胶桶</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本项目生产过程中会有废胶桶产生，根据企业提供资料，废胶桶产生量约2.5t/a。</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eastAsia" w:cs="Times New Roman"/>
                <w:b w:val="0"/>
                <w:bCs w:val="0"/>
                <w:color w:val="auto"/>
                <w:kern w:val="2"/>
                <w:sz w:val="24"/>
                <w:szCs w:val="21"/>
                <w:highlight w:val="none"/>
                <w:lang w:val="en-US" w:eastAsia="zh-CN" w:bidi="ar-SA"/>
              </w:rPr>
              <w:t>⑬</w:t>
            </w:r>
            <w:r>
              <w:rPr>
                <w:rFonts w:hint="eastAsia" w:ascii="Times New Roman" w:hAnsi="Times New Roman" w:eastAsia="宋体" w:cs="Times New Roman"/>
                <w:b w:val="0"/>
                <w:bCs w:val="0"/>
                <w:color w:val="auto"/>
                <w:kern w:val="2"/>
                <w:sz w:val="24"/>
                <w:szCs w:val="21"/>
                <w:highlight w:val="none"/>
                <w:lang w:val="en-US" w:eastAsia="zh-CN" w:bidi="ar-SA"/>
              </w:rPr>
              <w:t>生活垃圾</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default" w:ascii="Times New Roman" w:hAnsi="Times New Roman" w:eastAsia="宋体" w:cs="Times New Roman"/>
                <w:b w:val="0"/>
                <w:bCs w:val="0"/>
                <w:color w:val="auto"/>
                <w:kern w:val="2"/>
                <w:sz w:val="24"/>
                <w:szCs w:val="21"/>
                <w:highlight w:val="none"/>
                <w:lang w:val="en-US" w:eastAsia="zh-CN" w:bidi="ar-SA"/>
              </w:rPr>
              <w:t>本项目新增职工</w:t>
            </w:r>
            <w:r>
              <w:rPr>
                <w:rFonts w:hint="eastAsia" w:cs="Times New Roman"/>
                <w:b w:val="0"/>
                <w:bCs w:val="0"/>
                <w:color w:val="auto"/>
                <w:kern w:val="2"/>
                <w:sz w:val="24"/>
                <w:szCs w:val="21"/>
                <w:highlight w:val="none"/>
                <w:lang w:val="en-US" w:eastAsia="zh-CN" w:bidi="ar-SA"/>
              </w:rPr>
              <w:t>30</w:t>
            </w:r>
            <w:r>
              <w:rPr>
                <w:rFonts w:hint="default" w:ascii="Times New Roman" w:hAnsi="Times New Roman" w:eastAsia="宋体" w:cs="Times New Roman"/>
                <w:b w:val="0"/>
                <w:bCs w:val="0"/>
                <w:color w:val="auto"/>
                <w:kern w:val="2"/>
                <w:sz w:val="24"/>
                <w:szCs w:val="21"/>
                <w:highlight w:val="none"/>
                <w:lang w:val="en-US" w:eastAsia="zh-CN" w:bidi="ar-SA"/>
              </w:rPr>
              <w:t>人，全年工作天数以300天计，生活垃圾产生量按0.5kg/人•d计，约新增职工生活垃圾</w:t>
            </w:r>
            <w:r>
              <w:rPr>
                <w:rFonts w:hint="eastAsia" w:cs="Times New Roman"/>
                <w:b w:val="0"/>
                <w:bCs w:val="0"/>
                <w:color w:val="auto"/>
                <w:kern w:val="2"/>
                <w:sz w:val="24"/>
                <w:szCs w:val="21"/>
                <w:highlight w:val="none"/>
                <w:lang w:val="en-US" w:eastAsia="zh-CN" w:bidi="ar-SA"/>
              </w:rPr>
              <w:t>4.5</w:t>
            </w:r>
            <w:r>
              <w:rPr>
                <w:rFonts w:hint="default" w:ascii="Times New Roman" w:hAnsi="Times New Roman" w:eastAsia="宋体" w:cs="Times New Roman"/>
                <w:b w:val="0"/>
                <w:bCs w:val="0"/>
                <w:color w:val="auto"/>
                <w:kern w:val="2"/>
                <w:sz w:val="24"/>
                <w:szCs w:val="21"/>
                <w:highlight w:val="none"/>
                <w:lang w:val="en-US" w:eastAsia="zh-CN" w:bidi="ar-SA"/>
              </w:rPr>
              <w:t>t/a，由环卫部门统一清运。</w:t>
            </w:r>
          </w:p>
          <w:p>
            <w:pPr>
              <w:adjustRightInd w:val="0"/>
              <w:snapToGrid w:val="0"/>
              <w:spacing w:line="360" w:lineRule="auto"/>
              <w:ind w:firstLine="480"/>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（2）固体废物属性判定</w:t>
            </w:r>
          </w:p>
          <w:p>
            <w:pPr>
              <w:pStyle w:val="5"/>
              <w:pageBreakBefore w:val="0"/>
              <w:widowControl w:val="0"/>
              <w:kinsoku/>
              <w:wordWrap/>
              <w:overflowPunct/>
              <w:topLinePunct w:val="0"/>
              <w:autoSpaceDE/>
              <w:autoSpaceDN/>
              <w:bidi w:val="0"/>
              <w:adjustRightInd/>
              <w:snapToGrid/>
              <w:spacing w:before="0" w:after="0" w:line="360" w:lineRule="auto"/>
              <w:ind w:firstLine="480" w:firstLineChars="200"/>
              <w:textAlignment w:val="auto"/>
              <w:rPr>
                <w:rFonts w:hint="default" w:ascii="Times New Roman" w:hAnsi="Times New Roman" w:eastAsia="宋体" w:cs="Times New Roman"/>
                <w:b w:val="0"/>
                <w:bCs w:val="0"/>
                <w:color w:val="auto"/>
                <w:kern w:val="2"/>
                <w:sz w:val="24"/>
                <w:szCs w:val="21"/>
                <w:highlight w:val="none"/>
                <w:lang w:val="en-US" w:eastAsia="zh-CN" w:bidi="ar-SA"/>
              </w:rPr>
            </w:pPr>
            <w:r>
              <w:rPr>
                <w:rFonts w:hint="default" w:ascii="Times New Roman" w:hAnsi="Times New Roman" w:eastAsia="宋体" w:cs="Times New Roman"/>
                <w:b w:val="0"/>
                <w:bCs w:val="0"/>
                <w:color w:val="auto"/>
                <w:kern w:val="2"/>
                <w:sz w:val="24"/>
                <w:szCs w:val="21"/>
                <w:highlight w:val="none"/>
                <w:lang w:val="en-US" w:eastAsia="zh-CN" w:bidi="ar-SA"/>
              </w:rPr>
              <w:t>根据《固体废物鉴别标准通则》（GB34330-2017）判定厂内生产过程中产生的副产物是否属于固体废物，判定结果见表4.4-1，项目固体废物分析结果汇总见表4.4-</w:t>
            </w:r>
            <w:r>
              <w:rPr>
                <w:rFonts w:hint="eastAsia" w:cs="Times New Roman"/>
                <w:b w:val="0"/>
                <w:bCs w:val="0"/>
                <w:color w:val="auto"/>
                <w:kern w:val="2"/>
                <w:sz w:val="24"/>
                <w:szCs w:val="21"/>
                <w:highlight w:val="none"/>
                <w:lang w:val="en-US" w:eastAsia="zh-CN" w:bidi="ar-SA"/>
              </w:rPr>
              <w:t>3</w:t>
            </w:r>
            <w:r>
              <w:rPr>
                <w:rFonts w:hint="default" w:ascii="Times New Roman" w:hAnsi="Times New Roman" w:eastAsia="宋体" w:cs="Times New Roman"/>
                <w:b w:val="0"/>
                <w:bCs w:val="0"/>
                <w:color w:val="auto"/>
                <w:kern w:val="2"/>
                <w:sz w:val="24"/>
                <w:szCs w:val="21"/>
                <w:highlight w:val="none"/>
                <w:lang w:val="en-US" w:eastAsia="zh-CN" w:bidi="ar-SA"/>
              </w:rPr>
              <w:t>。</w:t>
            </w:r>
          </w:p>
          <w:p>
            <w:pPr>
              <w:jc w:val="center"/>
              <w:rPr>
                <w:rFonts w:hint="default" w:ascii="Times New Roman" w:hAnsi="Times New Roman" w:cs="Times New Roman"/>
                <w:b/>
                <w:bCs/>
                <w:color w:val="auto"/>
                <w:sz w:val="24"/>
                <w:szCs w:val="32"/>
                <w:highlight w:val="none"/>
                <w:lang w:val="en-US" w:eastAsia="zh-CN"/>
              </w:rPr>
            </w:pPr>
            <w:r>
              <w:rPr>
                <w:rFonts w:hint="default" w:ascii="Times New Roman" w:hAnsi="Times New Roman" w:cs="Times New Roman"/>
                <w:b/>
                <w:bCs/>
                <w:color w:val="auto"/>
                <w:sz w:val="24"/>
                <w:szCs w:val="32"/>
                <w:highlight w:val="none"/>
                <w:lang w:val="en-US" w:eastAsia="zh-CN"/>
              </w:rPr>
              <w:t>表4.4-1本项目副产物产生情况汇总</w:t>
            </w:r>
          </w:p>
          <w:tbl>
            <w:tblPr>
              <w:tblStyle w:val="25"/>
              <w:tblW w:w="8518"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55"/>
              <w:gridCol w:w="1243"/>
              <w:gridCol w:w="1120"/>
              <w:gridCol w:w="704"/>
              <w:gridCol w:w="1231"/>
              <w:gridCol w:w="902"/>
              <w:gridCol w:w="720"/>
              <w:gridCol w:w="723"/>
              <w:gridCol w:w="142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序号</w:t>
                  </w:r>
                </w:p>
              </w:tc>
              <w:tc>
                <w:tcPr>
                  <w:tcW w:w="1243"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副产物名称</w:t>
                  </w:r>
                </w:p>
              </w:tc>
              <w:tc>
                <w:tcPr>
                  <w:tcW w:w="1120"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产生工序</w:t>
                  </w:r>
                </w:p>
              </w:tc>
              <w:tc>
                <w:tcPr>
                  <w:tcW w:w="704"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形态</w:t>
                  </w:r>
                </w:p>
              </w:tc>
              <w:tc>
                <w:tcPr>
                  <w:tcW w:w="1231"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主要成分</w:t>
                  </w:r>
                </w:p>
              </w:tc>
              <w:tc>
                <w:tcPr>
                  <w:tcW w:w="902"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预测产生量</w:t>
                  </w:r>
                </w:p>
              </w:tc>
              <w:tc>
                <w:tcPr>
                  <w:tcW w:w="2863" w:type="dxa"/>
                  <w:gridSpan w:val="3"/>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种类判定</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1243"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1120"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704"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1231"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902" w:type="dxa"/>
                  <w:vMerge w:val="continue"/>
                  <w:tcBorders>
                    <w:tl2br w:val="nil"/>
                    <w:tr2bl w:val="nil"/>
                  </w:tcBorders>
                  <w:vAlign w:val="center"/>
                </w:tcPr>
                <w:p>
                  <w:pPr>
                    <w:widowControl/>
                    <w:jc w:val="center"/>
                    <w:rPr>
                      <w:rFonts w:hint="default" w:ascii="Times New Roman" w:hAnsi="Times New Roman" w:cs="Times New Roman"/>
                      <w:color w:val="auto"/>
                      <w:szCs w:val="21"/>
                      <w:highlight w:val="none"/>
                    </w:rPr>
                  </w:pP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固体废物</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副产品</w:t>
                  </w:r>
                </w:p>
              </w:tc>
              <w:tc>
                <w:tcPr>
                  <w:tcW w:w="14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判定依据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1</w:t>
                  </w:r>
                </w:p>
              </w:tc>
              <w:tc>
                <w:tcPr>
                  <w:tcW w:w="1243" w:type="dxa"/>
                  <w:tcBorders>
                    <w:tl2br w:val="nil"/>
                    <w:tr2bl w:val="nil"/>
                  </w:tcBorders>
                  <w:vAlign w:val="center"/>
                </w:tcPr>
                <w:p>
                  <w:pPr>
                    <w:autoSpaceDE w:val="0"/>
                    <w:autoSpaceDN w:val="0"/>
                    <w:adjustRightInd w:val="0"/>
                    <w:snapToGrid w:val="0"/>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val="en-US" w:eastAsia="zh-CN"/>
                    </w:rPr>
                    <w:t>废海绵</w:t>
                  </w:r>
                </w:p>
              </w:tc>
              <w:tc>
                <w:tcPr>
                  <w:tcW w:w="1120"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切割、冲孔</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autoSpaceDE w:val="0"/>
                    <w:autoSpaceDN w:val="0"/>
                    <w:adjustRightInd w:val="0"/>
                    <w:snapToGrid w:val="0"/>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废海绵</w:t>
                  </w:r>
                </w:p>
              </w:tc>
              <w:tc>
                <w:tcPr>
                  <w:tcW w:w="902"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24</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restart"/>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固体废物鉴别标准通则</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2</w:t>
                  </w:r>
                </w:p>
              </w:tc>
              <w:tc>
                <w:tcPr>
                  <w:tcW w:w="1243"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废含胶海绵</w:t>
                  </w:r>
                </w:p>
              </w:tc>
              <w:tc>
                <w:tcPr>
                  <w:tcW w:w="1120"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磨头、敲盖</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val="en-US" w:eastAsia="zh-CN"/>
                    </w:rPr>
                    <w:t>废含胶海绵</w:t>
                  </w:r>
                </w:p>
              </w:tc>
              <w:tc>
                <w:tcPr>
                  <w:tcW w:w="902"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3</w:t>
                  </w:r>
                </w:p>
              </w:tc>
              <w:tc>
                <w:tcPr>
                  <w:tcW w:w="1243"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废PVC板材</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切割</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PVC</w:t>
                  </w:r>
                </w:p>
              </w:tc>
              <w:tc>
                <w:tcPr>
                  <w:tcW w:w="902"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0.4</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4</w:t>
                  </w:r>
                </w:p>
              </w:tc>
              <w:tc>
                <w:tcPr>
                  <w:tcW w:w="1243" w:type="dxa"/>
                  <w:tcBorders>
                    <w:tl2br w:val="nil"/>
                    <w:tr2bl w:val="nil"/>
                  </w:tcBorders>
                  <w:vAlign w:val="center"/>
                </w:tcPr>
                <w:p>
                  <w:pPr>
                    <w:widowControl/>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废料</w:t>
                  </w:r>
                </w:p>
              </w:tc>
              <w:tc>
                <w:tcPr>
                  <w:tcW w:w="1120"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val="en-US" w:eastAsia="zh-CN"/>
                    </w:rPr>
                    <w:t>切块</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val="en-US" w:eastAsia="zh-CN"/>
                    </w:rPr>
                    <w:t>含胶海绵</w:t>
                  </w:r>
                </w:p>
              </w:tc>
              <w:tc>
                <w:tcPr>
                  <w:tcW w:w="902"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5</w:t>
                  </w:r>
                </w:p>
              </w:tc>
              <w:tc>
                <w:tcPr>
                  <w:tcW w:w="1243" w:type="dxa"/>
                  <w:tcBorders>
                    <w:tl2br w:val="nil"/>
                    <w:tr2bl w:val="nil"/>
                  </w:tcBorders>
                  <w:vAlign w:val="center"/>
                </w:tcPr>
                <w:p>
                  <w:pPr>
                    <w:widowControl/>
                    <w:jc w:val="center"/>
                    <w:rPr>
                      <w:rFonts w:hint="eastAsia" w:ascii="Times New Roman" w:hAnsi="Times New Roman" w:cs="Times New Roman" w:eastAsiaTheme="minorEastAsia"/>
                      <w:color w:val="auto"/>
                      <w:szCs w:val="21"/>
                      <w:highlight w:val="none"/>
                      <w:lang w:eastAsia="zh-CN"/>
                    </w:rPr>
                  </w:pPr>
                  <w:r>
                    <w:rPr>
                      <w:rFonts w:hint="eastAsia" w:cs="Times New Roman" w:eastAsiaTheme="minorEastAsia"/>
                      <w:color w:val="auto"/>
                      <w:szCs w:val="21"/>
                      <w:highlight w:val="none"/>
                      <w:lang w:val="en-US" w:eastAsia="zh-CN"/>
                    </w:rPr>
                    <w:t>废边角料</w:t>
                  </w:r>
                </w:p>
              </w:tc>
              <w:tc>
                <w:tcPr>
                  <w:tcW w:w="1120"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冲压</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废铁皮</w:t>
                  </w:r>
                </w:p>
              </w:tc>
              <w:tc>
                <w:tcPr>
                  <w:tcW w:w="902"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2</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eastAsia" w:cs="Times New Roman"/>
                      <w:color w:val="auto"/>
                      <w:szCs w:val="21"/>
                      <w:highlight w:val="none"/>
                      <w:lang w:val="en-US" w:eastAsia="zh-CN"/>
                    </w:rPr>
                    <w:t>6</w:t>
                  </w:r>
                </w:p>
              </w:tc>
              <w:tc>
                <w:tcPr>
                  <w:tcW w:w="1243" w:type="dxa"/>
                  <w:tcBorders>
                    <w:tl2br w:val="nil"/>
                    <w:tr2bl w:val="nil"/>
                  </w:tcBorders>
                  <w:vAlign w:val="center"/>
                </w:tcPr>
                <w:p>
                  <w:pPr>
                    <w:widowControl/>
                    <w:jc w:val="center"/>
                    <w:rPr>
                      <w:rFonts w:hint="eastAsia" w:ascii="Times New Roman" w:hAnsi="Times New Roman" w:cs="Times New Roman" w:eastAsiaTheme="minorEastAsia"/>
                      <w:color w:val="auto"/>
                      <w:szCs w:val="21"/>
                      <w:highlight w:val="none"/>
                      <w:lang w:eastAsia="zh-CN"/>
                    </w:rPr>
                  </w:pPr>
                  <w:r>
                    <w:rPr>
                      <w:rFonts w:hint="eastAsia" w:cs="Times New Roman" w:eastAsiaTheme="minorEastAsia"/>
                      <w:color w:val="auto"/>
                      <w:szCs w:val="21"/>
                      <w:highlight w:val="none"/>
                      <w:lang w:val="en-US" w:eastAsia="zh-CN"/>
                    </w:rPr>
                    <w:t>混丝废料</w:t>
                  </w:r>
                </w:p>
              </w:tc>
              <w:tc>
                <w:tcPr>
                  <w:tcW w:w="1120"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eastAsia="zh-CN"/>
                    </w:rPr>
                  </w:pPr>
                  <w:r>
                    <w:rPr>
                      <w:rFonts w:hint="eastAsia" w:cs="Times New Roman"/>
                      <w:color w:val="auto"/>
                      <w:szCs w:val="21"/>
                      <w:highlight w:val="none"/>
                      <w:lang w:val="en-US" w:eastAsia="zh-CN"/>
                    </w:rPr>
                    <w:t>混丝</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废毛丝</w:t>
                  </w:r>
                </w:p>
              </w:tc>
              <w:tc>
                <w:tcPr>
                  <w:tcW w:w="902"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7</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漆渣</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浸漆</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eastAsiaTheme="minorEastAsia"/>
                      <w:color w:val="auto"/>
                      <w:szCs w:val="21"/>
                      <w:highlight w:val="none"/>
                      <w:lang w:val="en-US" w:eastAsia="zh-CN"/>
                    </w:rPr>
                    <w:t>漆渣</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0.45</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8</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1120"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浸漆</w:t>
                  </w:r>
                </w:p>
              </w:tc>
              <w:tc>
                <w:tcPr>
                  <w:tcW w:w="704" w:type="dxa"/>
                  <w:tcBorders>
                    <w:tl2br w:val="nil"/>
                    <w:tr2bl w:val="nil"/>
                  </w:tcBorders>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0.9</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9</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废活性炭</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废气处理</w:t>
                  </w:r>
                </w:p>
              </w:tc>
              <w:tc>
                <w:tcPr>
                  <w:tcW w:w="704" w:type="dxa"/>
                  <w:tcBorders>
                    <w:tl2br w:val="nil"/>
                    <w:tr2bl w:val="nil"/>
                  </w:tcBorders>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1231" w:type="dxa"/>
                  <w:tcBorders>
                    <w:tl2br w:val="nil"/>
                    <w:tr2bl w:val="nil"/>
                  </w:tcBorders>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废活性炭</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15.58</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10</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除尘灰</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废气处理</w:t>
                  </w:r>
                </w:p>
              </w:tc>
              <w:tc>
                <w:tcPr>
                  <w:tcW w:w="704" w:type="dxa"/>
                  <w:tcBorders>
                    <w:tl2br w:val="nil"/>
                    <w:tr2bl w:val="nil"/>
                  </w:tcBorders>
                  <w:vAlign w:val="center"/>
                </w:tcPr>
                <w:p>
                  <w:pPr>
                    <w:widowControl/>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固态</w:t>
                  </w:r>
                </w:p>
              </w:tc>
              <w:tc>
                <w:tcPr>
                  <w:tcW w:w="1231" w:type="dxa"/>
                  <w:tcBorders>
                    <w:tl2br w:val="nil"/>
                    <w:tr2bl w:val="nil"/>
                  </w:tcBorders>
                  <w:vAlign w:val="center"/>
                </w:tcPr>
                <w:p>
                  <w:pPr>
                    <w:widowControl/>
                    <w:jc w:val="center"/>
                    <w:rPr>
                      <w:rFonts w:hint="default"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粉尘</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13.365</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11</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生活垃圾</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员工生活</w:t>
                  </w:r>
                </w:p>
              </w:tc>
              <w:tc>
                <w:tcPr>
                  <w:tcW w:w="704"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固态</w:t>
                  </w:r>
                </w:p>
              </w:tc>
              <w:tc>
                <w:tcPr>
                  <w:tcW w:w="1231"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瓜果纸屑</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4.5</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12</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废机油和机油桶</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设备维修</w:t>
                  </w:r>
                </w:p>
              </w:tc>
              <w:tc>
                <w:tcPr>
                  <w:tcW w:w="704"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液态</w:t>
                  </w:r>
                </w:p>
              </w:tc>
              <w:tc>
                <w:tcPr>
                  <w:tcW w:w="1231"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矿物油</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0.1</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455"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13</w:t>
                  </w:r>
                </w:p>
              </w:tc>
              <w:tc>
                <w:tcPr>
                  <w:tcW w:w="1243" w:type="dxa"/>
                  <w:tcBorders>
                    <w:tl2br w:val="nil"/>
                    <w:tr2bl w:val="nil"/>
                  </w:tcBorders>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废胶桶</w:t>
                  </w:r>
                </w:p>
              </w:tc>
              <w:tc>
                <w:tcPr>
                  <w:tcW w:w="1120"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生产</w:t>
                  </w:r>
                </w:p>
              </w:tc>
              <w:tc>
                <w:tcPr>
                  <w:tcW w:w="704"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固态</w:t>
                  </w:r>
                </w:p>
              </w:tc>
              <w:tc>
                <w:tcPr>
                  <w:tcW w:w="1231"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废胶桶</w:t>
                  </w:r>
                </w:p>
              </w:tc>
              <w:tc>
                <w:tcPr>
                  <w:tcW w:w="902"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2.5</w:t>
                  </w:r>
                </w:p>
              </w:tc>
              <w:tc>
                <w:tcPr>
                  <w:tcW w:w="720"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723" w:type="dxa"/>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w:t>
                  </w:r>
                </w:p>
              </w:tc>
              <w:tc>
                <w:tcPr>
                  <w:tcW w:w="1420" w:type="dxa"/>
                  <w:vMerge w:val="continue"/>
                  <w:tcBorders>
                    <w:tl2br w:val="nil"/>
                    <w:tr2bl w:val="nil"/>
                  </w:tcBorders>
                  <w:vAlign w:val="center"/>
                </w:tcPr>
                <w:p>
                  <w:pPr>
                    <w:autoSpaceDE w:val="0"/>
                    <w:autoSpaceDN w:val="0"/>
                    <w:adjustRightInd w:val="0"/>
                    <w:snapToGrid w:val="0"/>
                    <w:jc w:val="center"/>
                    <w:rPr>
                      <w:rFonts w:hint="default" w:ascii="Times New Roman" w:hAnsi="Times New Roman" w:cs="Times New Roman"/>
                      <w:color w:val="auto"/>
                      <w:szCs w:val="21"/>
                      <w:highlight w:val="none"/>
                    </w:rPr>
                  </w:pPr>
                </w:p>
              </w:tc>
            </w:tr>
          </w:tbl>
          <w:p>
            <w:pPr>
              <w:tabs>
                <w:tab w:val="left" w:pos="3233"/>
              </w:tabs>
              <w:spacing w:line="360" w:lineRule="auto"/>
              <w:ind w:firstLine="480"/>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（3）危险废物属性判定</w:t>
            </w:r>
          </w:p>
          <w:p>
            <w:pPr>
              <w:spacing w:line="360" w:lineRule="auto"/>
              <w:ind w:firstLine="480"/>
              <w:rPr>
                <w:rFonts w:ascii="Times New Roman" w:hAnsi="Times New Roman" w:eastAsia="宋体" w:cs="Times New Roman"/>
                <w:b/>
                <w:color w:val="auto"/>
                <w:sz w:val="24"/>
                <w:szCs w:val="21"/>
                <w:highlight w:val="none"/>
              </w:rPr>
            </w:pPr>
            <w:r>
              <w:rPr>
                <w:rFonts w:hint="eastAsia" w:ascii="Times New Roman" w:hAnsi="Times New Roman" w:eastAsia="宋体" w:cs="Times New Roman"/>
                <w:color w:val="auto"/>
                <w:sz w:val="24"/>
                <w:szCs w:val="21"/>
                <w:highlight w:val="none"/>
              </w:rPr>
              <w:t>根据《一般固体废物分类与代码》（GBT39198-2020）、《国家危险废物名录》（202</w:t>
            </w:r>
            <w:r>
              <w:rPr>
                <w:rFonts w:hint="eastAsia" w:cs="Times New Roman"/>
                <w:color w:val="auto"/>
                <w:sz w:val="24"/>
                <w:szCs w:val="21"/>
                <w:highlight w:val="none"/>
                <w:lang w:val="en-US" w:eastAsia="zh-CN"/>
              </w:rPr>
              <w:t>5</w:t>
            </w:r>
            <w:r>
              <w:rPr>
                <w:rFonts w:hint="eastAsia" w:ascii="Times New Roman" w:hAnsi="Times New Roman" w:eastAsia="宋体" w:cs="Times New Roman"/>
                <w:color w:val="auto"/>
                <w:sz w:val="24"/>
                <w:szCs w:val="21"/>
                <w:highlight w:val="none"/>
              </w:rPr>
              <w:t>年版）及《危险废物鉴别标准》，对本项目产生的固体废物是否属于危险废物进行判定，判定结果见下表。</w:t>
            </w:r>
          </w:p>
          <w:p>
            <w:pPr>
              <w:jc w:val="center"/>
              <w:rPr>
                <w:rFonts w:hint="default"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w:t>
            </w:r>
            <w:r>
              <w:rPr>
                <w:rFonts w:hint="default" w:ascii="Times New Roman" w:hAnsi="Times New Roman" w:cs="Times New Roman"/>
                <w:b/>
                <w:bCs/>
                <w:color w:val="auto"/>
                <w:sz w:val="24"/>
                <w:szCs w:val="32"/>
                <w:highlight w:val="none"/>
                <w:lang w:val="en-US" w:eastAsia="zh-CN"/>
              </w:rPr>
              <w:t>4.4</w:t>
            </w:r>
            <w:r>
              <w:rPr>
                <w:rFonts w:hint="eastAsia" w:ascii="Times New Roman" w:hAnsi="Times New Roman" w:cs="Times New Roman"/>
                <w:b/>
                <w:bCs/>
                <w:color w:val="auto"/>
                <w:sz w:val="24"/>
                <w:szCs w:val="32"/>
                <w:highlight w:val="none"/>
                <w:lang w:val="en-US" w:eastAsia="zh-CN"/>
              </w:rPr>
              <w:t>-</w:t>
            </w:r>
            <w:r>
              <w:rPr>
                <w:rFonts w:hint="default" w:ascii="Times New Roman" w:hAnsi="Times New Roman" w:cs="Times New Roman"/>
                <w:b/>
                <w:bCs/>
                <w:color w:val="auto"/>
                <w:sz w:val="24"/>
                <w:szCs w:val="32"/>
                <w:highlight w:val="none"/>
                <w:lang w:val="en-US" w:eastAsia="zh-CN"/>
              </w:rPr>
              <w:t>2</w:t>
            </w:r>
            <w:r>
              <w:rPr>
                <w:rFonts w:hint="eastAsia" w:ascii="Times New Roman" w:hAnsi="Times New Roman" w:cs="Times New Roman"/>
                <w:b/>
                <w:bCs/>
                <w:color w:val="auto"/>
                <w:sz w:val="24"/>
                <w:szCs w:val="32"/>
                <w:highlight w:val="none"/>
                <w:lang w:val="en-US" w:eastAsia="zh-CN"/>
              </w:rPr>
              <w:t>本项目危险废物判定表</w:t>
            </w:r>
          </w:p>
          <w:tbl>
            <w:tblPr>
              <w:tblStyle w:val="25"/>
              <w:tblW w:w="8602"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24"/>
              <w:gridCol w:w="885"/>
              <w:gridCol w:w="450"/>
              <w:gridCol w:w="810"/>
              <w:gridCol w:w="735"/>
              <w:gridCol w:w="705"/>
              <w:gridCol w:w="1020"/>
              <w:gridCol w:w="645"/>
              <w:gridCol w:w="795"/>
              <w:gridCol w:w="1350"/>
              <w:gridCol w:w="78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序号</w:t>
                  </w:r>
                </w:p>
              </w:tc>
              <w:tc>
                <w:tcPr>
                  <w:tcW w:w="885"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固废名称</w:t>
                  </w:r>
                </w:p>
              </w:tc>
              <w:tc>
                <w:tcPr>
                  <w:tcW w:w="450"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属性</w:t>
                  </w:r>
                </w:p>
              </w:tc>
              <w:tc>
                <w:tcPr>
                  <w:tcW w:w="810"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产生</w:t>
                  </w:r>
                </w:p>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工序</w:t>
                  </w:r>
                </w:p>
              </w:tc>
              <w:tc>
                <w:tcPr>
                  <w:tcW w:w="735"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形态</w:t>
                  </w:r>
                </w:p>
              </w:tc>
              <w:tc>
                <w:tcPr>
                  <w:tcW w:w="705"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主要成分</w:t>
                  </w:r>
                </w:p>
              </w:tc>
              <w:tc>
                <w:tcPr>
                  <w:tcW w:w="1020"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危险特性鉴别方法</w:t>
                  </w:r>
                </w:p>
              </w:tc>
              <w:tc>
                <w:tcPr>
                  <w:tcW w:w="645"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危险特性</w:t>
                  </w:r>
                </w:p>
              </w:tc>
              <w:tc>
                <w:tcPr>
                  <w:tcW w:w="795"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废物类别</w:t>
                  </w:r>
                </w:p>
              </w:tc>
              <w:tc>
                <w:tcPr>
                  <w:tcW w:w="1350"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废物代码</w:t>
                  </w:r>
                </w:p>
              </w:tc>
              <w:tc>
                <w:tcPr>
                  <w:tcW w:w="783" w:type="dxa"/>
                  <w:noWrap w:val="0"/>
                  <w:vAlign w:val="center"/>
                </w:tcPr>
                <w:p>
                  <w:pPr>
                    <w:spacing w:line="240" w:lineRule="auto"/>
                    <w:jc w:val="center"/>
                    <w:rPr>
                      <w:rFonts w:hint="default" w:ascii="Times New Roman" w:hAnsi="Times New Roman" w:eastAsia="宋体" w:cs="Times New Roman"/>
                      <w:b/>
                      <w:bCs/>
                      <w:color w:val="auto"/>
                      <w:sz w:val="21"/>
                      <w:szCs w:val="21"/>
                      <w:highlight w:val="none"/>
                      <w:lang w:val="en-US" w:eastAsia="zh-CN"/>
                    </w:rPr>
                  </w:pPr>
                  <w:r>
                    <w:rPr>
                      <w:rFonts w:hint="default" w:ascii="Times New Roman" w:hAnsi="Times New Roman" w:eastAsia="宋体" w:cs="Times New Roman"/>
                      <w:b/>
                      <w:bCs/>
                      <w:color w:val="auto"/>
                      <w:sz w:val="21"/>
                      <w:szCs w:val="21"/>
                      <w:highlight w:val="none"/>
                      <w:lang w:val="en-US" w:eastAsia="zh-CN"/>
                    </w:rPr>
                    <w:t>产生量</w:t>
                  </w:r>
                  <w:r>
                    <w:rPr>
                      <w:rFonts w:hint="eastAsia" w:cs="Times New Roman"/>
                      <w:b/>
                      <w:bCs/>
                      <w:color w:val="auto"/>
                      <w:sz w:val="21"/>
                      <w:szCs w:val="21"/>
                      <w:highlight w:val="none"/>
                      <w:lang w:val="en-US" w:eastAsia="zh-CN"/>
                    </w:rPr>
                    <w:t>（</w:t>
                  </w:r>
                  <w:r>
                    <w:rPr>
                      <w:rFonts w:hint="default" w:ascii="Times New Roman" w:hAnsi="Times New Roman" w:eastAsia="宋体" w:cs="Times New Roman"/>
                      <w:b/>
                      <w:bCs/>
                      <w:color w:val="auto"/>
                      <w:sz w:val="21"/>
                      <w:szCs w:val="21"/>
                      <w:highlight w:val="none"/>
                      <w:lang w:val="en-US" w:eastAsia="zh-CN"/>
                    </w:rPr>
                    <w:t>t/a</w:t>
                  </w:r>
                  <w:r>
                    <w:rPr>
                      <w:rFonts w:hint="eastAsia" w:cs="Times New Roman"/>
                      <w:b/>
                      <w:bCs/>
                      <w:color w:val="auto"/>
                      <w:sz w:val="21"/>
                      <w:szCs w:val="21"/>
                      <w:highlight w:val="none"/>
                      <w:lang w:val="en-US" w:eastAsia="zh-CN"/>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885" w:type="dxa"/>
                  <w:noWrap w:val="0"/>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废海绵</w:t>
                  </w:r>
                </w:p>
              </w:tc>
              <w:tc>
                <w:tcPr>
                  <w:tcW w:w="450" w:type="dxa"/>
                  <w:vMerge w:val="restart"/>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一般固废</w:t>
                  </w:r>
                </w:p>
              </w:tc>
              <w:tc>
                <w:tcPr>
                  <w:tcW w:w="810"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切割、冲孔</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废海绵</w:t>
                  </w:r>
                </w:p>
              </w:tc>
              <w:tc>
                <w:tcPr>
                  <w:tcW w:w="1020" w:type="dxa"/>
                  <w:vMerge w:val="restart"/>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《一般固体废物分类与代码》（GBT39198-2020）、《国家危险废物名录》（202</w:t>
                  </w:r>
                  <w:r>
                    <w:rPr>
                      <w:rFonts w:hint="eastAsia" w:cs="Times New Roman"/>
                      <w:color w:val="auto"/>
                      <w:sz w:val="21"/>
                      <w:szCs w:val="21"/>
                      <w:highlight w:val="none"/>
                      <w:lang w:val="en-US" w:eastAsia="zh-CN"/>
                    </w:rPr>
                    <w:t>5</w:t>
                  </w:r>
                  <w:r>
                    <w:rPr>
                      <w:rFonts w:hint="default" w:ascii="Times New Roman" w:hAnsi="Times New Roman" w:eastAsia="宋体" w:cs="Times New Roman"/>
                      <w:color w:val="auto"/>
                      <w:sz w:val="21"/>
                      <w:szCs w:val="21"/>
                      <w:highlight w:val="none"/>
                      <w:lang w:val="en-US" w:eastAsia="zh-CN"/>
                    </w:rPr>
                    <w:t>年版）</w:t>
                  </w:r>
                </w:p>
              </w:tc>
              <w:tc>
                <w:tcPr>
                  <w:tcW w:w="645"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795"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350"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900-099-S17</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88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废PVC板材</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切割</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PVC</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795"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SW17</w:t>
                  </w:r>
                </w:p>
              </w:tc>
              <w:tc>
                <w:tcPr>
                  <w:tcW w:w="1350"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900-003-S17</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w:t>
                  </w:r>
                </w:p>
              </w:tc>
              <w:tc>
                <w:tcPr>
                  <w:tcW w:w="885" w:type="dxa"/>
                  <w:noWrap w:val="0"/>
                  <w:vAlign w:val="center"/>
                </w:tcPr>
                <w:p>
                  <w:pPr>
                    <w:widowControl/>
                    <w:jc w:val="center"/>
                    <w:rPr>
                      <w:rFonts w:hint="eastAsia" w:ascii="Times New Roman" w:hAnsi="Times New Roman"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废边角料</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冲压</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废铁皮</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795" w:type="dxa"/>
                  <w:noWrap w:val="0"/>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350"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900-001-S17</w:t>
                  </w:r>
                </w:p>
              </w:tc>
              <w:tc>
                <w:tcPr>
                  <w:tcW w:w="783"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4</w:t>
                  </w:r>
                </w:p>
              </w:tc>
              <w:tc>
                <w:tcPr>
                  <w:tcW w:w="885" w:type="dxa"/>
                  <w:noWrap w:val="0"/>
                  <w:vAlign w:val="center"/>
                </w:tcPr>
                <w:p>
                  <w:pPr>
                    <w:widowControl/>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混丝废料</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混丝</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废丝</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795" w:type="dxa"/>
                  <w:noWrap w:val="0"/>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350" w:type="dxa"/>
                  <w:noWrap w:val="0"/>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900-099-S17</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5</w:t>
                  </w:r>
                </w:p>
              </w:tc>
              <w:tc>
                <w:tcPr>
                  <w:tcW w:w="885" w:type="dxa"/>
                  <w:noWrap w:val="0"/>
                  <w:vAlign w:val="center"/>
                </w:tcPr>
                <w:p>
                  <w:pPr>
                    <w:widowControl/>
                    <w:jc w:val="center"/>
                    <w:rPr>
                      <w:rFonts w:hint="eastAsia"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除尘灰</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废气处理</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粉尘</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795"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SW59</w:t>
                  </w:r>
                </w:p>
              </w:tc>
              <w:tc>
                <w:tcPr>
                  <w:tcW w:w="1350"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900-099-S59</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13.365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6</w:t>
                  </w:r>
                </w:p>
              </w:tc>
              <w:tc>
                <w:tcPr>
                  <w:tcW w:w="885" w:type="dxa"/>
                  <w:noWrap w:val="0"/>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生活垃圾</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员工生活</w:t>
                  </w:r>
                </w:p>
              </w:tc>
              <w:tc>
                <w:tcPr>
                  <w:tcW w:w="735"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瓜果纸屑</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SW61</w:t>
                  </w:r>
                </w:p>
              </w:tc>
              <w:tc>
                <w:tcPr>
                  <w:tcW w:w="1350" w:type="dxa"/>
                  <w:noWrap w:val="0"/>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900-002-S61</w:t>
                  </w:r>
                </w:p>
              </w:tc>
              <w:tc>
                <w:tcPr>
                  <w:tcW w:w="783" w:type="dxa"/>
                  <w:noWrap w:val="0"/>
                  <w:vAlign w:val="center"/>
                </w:tcPr>
                <w:p>
                  <w:pPr>
                    <w:spacing w:line="240" w:lineRule="auto"/>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885" w:type="dxa"/>
                  <w:noWrap w:val="0"/>
                  <w:vAlign w:val="center"/>
                </w:tcPr>
                <w:p>
                  <w:pPr>
                    <w:widowControl/>
                    <w:jc w:val="center"/>
                    <w:rPr>
                      <w:rFonts w:hint="eastAsia" w:cs="Times New Roman" w:eastAsiaTheme="minorEastAsia"/>
                      <w:color w:val="auto"/>
                      <w:szCs w:val="21"/>
                      <w:highlight w:val="none"/>
                      <w:lang w:val="en-US" w:eastAsia="zh-CN"/>
                    </w:rPr>
                  </w:pPr>
                  <w:r>
                    <w:rPr>
                      <w:rFonts w:hint="eastAsia" w:cs="Times New Roman"/>
                      <w:color w:val="auto"/>
                      <w:szCs w:val="21"/>
                      <w:highlight w:val="none"/>
                      <w:lang w:val="en-US" w:eastAsia="zh-CN"/>
                    </w:rPr>
                    <w:t>废含胶海绵</w:t>
                  </w:r>
                </w:p>
              </w:tc>
              <w:tc>
                <w:tcPr>
                  <w:tcW w:w="450" w:type="dxa"/>
                  <w:vMerge w:val="restart"/>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危险固废</w:t>
                  </w:r>
                </w:p>
              </w:tc>
              <w:tc>
                <w:tcPr>
                  <w:tcW w:w="810" w:type="dxa"/>
                  <w:noWrap w:val="0"/>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切块</w:t>
                  </w:r>
                </w:p>
              </w:tc>
              <w:tc>
                <w:tcPr>
                  <w:tcW w:w="735" w:type="dxa"/>
                  <w:noWrap w:val="0"/>
                  <w:vAlign w:val="center"/>
                </w:tcPr>
                <w:p>
                  <w:pPr>
                    <w:widowControl/>
                    <w:jc w:val="center"/>
                    <w:rPr>
                      <w:rFonts w:hint="eastAsia" w:cs="Times New Roman"/>
                      <w:color w:val="auto"/>
                      <w:szCs w:val="21"/>
                      <w:highlight w:val="none"/>
                      <w:lang w:val="en-US" w:eastAsia="zh-CN"/>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含胶海绵</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eastAsia" w:cs="Times New Roman"/>
                      <w:color w:val="auto"/>
                      <w:sz w:val="21"/>
                      <w:szCs w:val="21"/>
                      <w:highlight w:val="none"/>
                      <w:lang w:val="en-US" w:eastAsia="zh-CN"/>
                    </w:rPr>
                  </w:pPr>
                  <w:r>
                    <w:rPr>
                      <w:rFonts w:hint="eastAsia" w:cs="Times New Roman"/>
                      <w:b w:val="0"/>
                      <w:bCs/>
                      <w:color w:val="auto"/>
                      <w:kern w:val="2"/>
                      <w:sz w:val="21"/>
                      <w:szCs w:val="21"/>
                      <w:highlight w:val="none"/>
                      <w:vertAlign w:val="baseline"/>
                      <w:lang w:val="en-US" w:eastAsia="zh-CN" w:bidi="ar-SA"/>
                    </w:rPr>
                    <w:t>T</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783" w:type="dxa"/>
                  <w:noWrap w:val="0"/>
                  <w:vAlign w:val="center"/>
                </w:tcPr>
                <w:p>
                  <w:pPr>
                    <w:spacing w:line="240" w:lineRule="auto"/>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w:t>
                  </w:r>
                </w:p>
              </w:tc>
              <w:tc>
                <w:tcPr>
                  <w:tcW w:w="885" w:type="dxa"/>
                  <w:noWrap w:val="0"/>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废料</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磨头、敲盖</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含胶海绵</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b w:val="0"/>
                      <w:bCs/>
                      <w:color w:val="auto"/>
                      <w:kern w:val="2"/>
                      <w:sz w:val="21"/>
                      <w:szCs w:val="21"/>
                      <w:highlight w:val="none"/>
                      <w:vertAlign w:val="baseline"/>
                      <w:lang w:val="en-US" w:eastAsia="zh-CN" w:bidi="ar-SA"/>
                    </w:rPr>
                    <w:t>T</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885" w:type="dxa"/>
                  <w:noWrap w:val="0"/>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漆渣</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浸漆</w:t>
                  </w:r>
                </w:p>
              </w:tc>
              <w:tc>
                <w:tcPr>
                  <w:tcW w:w="735" w:type="dxa"/>
                  <w:noWrap w:val="0"/>
                  <w:vAlign w:val="center"/>
                </w:tcPr>
                <w:p>
                  <w:pPr>
                    <w:widowControl/>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液态</w:t>
                  </w:r>
                </w:p>
              </w:tc>
              <w:tc>
                <w:tcPr>
                  <w:tcW w:w="705" w:type="dxa"/>
                  <w:noWrap w:val="0"/>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漆渣</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olor w:val="auto"/>
                      <w:sz w:val="21"/>
                      <w:highlight w:val="none"/>
                      <w:lang w:val="en-US" w:eastAsia="zh-CN"/>
                    </w:rPr>
                    <w:t>T，I</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color w:val="auto"/>
                      <w:szCs w:val="21"/>
                      <w:highlight w:val="none"/>
                      <w:lang w:val="en-US" w:eastAsia="zh-CN"/>
                    </w:rPr>
                    <w:t>HW12</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900-252-12</w:t>
                  </w:r>
                </w:p>
              </w:tc>
              <w:tc>
                <w:tcPr>
                  <w:tcW w:w="783" w:type="dxa"/>
                  <w:noWrap w:val="0"/>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885" w:type="dxa"/>
                  <w:noWrap w:val="0"/>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浸漆</w:t>
                  </w:r>
                </w:p>
              </w:tc>
              <w:tc>
                <w:tcPr>
                  <w:tcW w:w="735" w:type="dxa"/>
                  <w:noWrap w:val="0"/>
                  <w:vAlign w:val="center"/>
                </w:tcPr>
                <w:p>
                  <w:pPr>
                    <w:widowControl/>
                    <w:jc w:val="center"/>
                    <w:rPr>
                      <w:rFonts w:hint="default" w:ascii="Times New Roman" w:hAnsi="Times New Roman" w:cs="Times New Roman"/>
                      <w:color w:val="auto"/>
                      <w:szCs w:val="21"/>
                      <w:highlight w:val="none"/>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eastAsia" w:cs="Times New Roman"/>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cs="Times New Roman"/>
                      <w:b w:val="0"/>
                      <w:bCs/>
                      <w:color w:val="auto"/>
                      <w:kern w:val="2"/>
                      <w:sz w:val="21"/>
                      <w:szCs w:val="21"/>
                      <w:highlight w:val="none"/>
                      <w:vertAlign w:val="baseline"/>
                      <w:lang w:val="en-US" w:eastAsia="zh-CN" w:bidi="ar-SA"/>
                    </w:rPr>
                  </w:pPr>
                  <w:r>
                    <w:rPr>
                      <w:rFonts w:hint="eastAsia" w:cs="Times New Roman"/>
                      <w:b w:val="0"/>
                      <w:bCs/>
                      <w:color w:val="auto"/>
                      <w:kern w:val="2"/>
                      <w:sz w:val="21"/>
                      <w:szCs w:val="21"/>
                      <w:highlight w:val="none"/>
                      <w:vertAlign w:val="baseline"/>
                      <w:lang w:val="en-US" w:eastAsia="zh-CN" w:bidi="ar-SA"/>
                    </w:rPr>
                    <w:t>T</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783" w:type="dxa"/>
                  <w:noWrap w:val="0"/>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0.9</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885" w:type="dxa"/>
                  <w:noWrap w:val="0"/>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废活性炭</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废气处理</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rPr>
                    <w:t>固态</w:t>
                  </w:r>
                </w:p>
              </w:tc>
              <w:tc>
                <w:tcPr>
                  <w:tcW w:w="70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废活性炭</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T</w:t>
                  </w:r>
                </w:p>
              </w:tc>
              <w:tc>
                <w:tcPr>
                  <w:tcW w:w="795"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HW49</w:t>
                  </w:r>
                </w:p>
              </w:tc>
              <w:tc>
                <w:tcPr>
                  <w:tcW w:w="1350"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900-039-49</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15.58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885" w:type="dxa"/>
                  <w:noWrap w:val="0"/>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废机油和机油桶</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设备维修</w:t>
                  </w:r>
                </w:p>
              </w:tc>
              <w:tc>
                <w:tcPr>
                  <w:tcW w:w="735" w:type="dxa"/>
                  <w:noWrap w:val="0"/>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液态</w:t>
                  </w:r>
                </w:p>
              </w:tc>
              <w:tc>
                <w:tcPr>
                  <w:tcW w:w="705" w:type="dxa"/>
                  <w:noWrap w:val="0"/>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矿物油</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default"/>
                      <w:color w:val="auto"/>
                      <w:sz w:val="21"/>
                      <w:highlight w:val="none"/>
                      <w:lang w:val="en-US" w:eastAsia="zh-CN"/>
                    </w:rPr>
                  </w:pPr>
                  <w:r>
                    <w:rPr>
                      <w:rFonts w:hint="eastAsia"/>
                      <w:color w:val="auto"/>
                      <w:sz w:val="21"/>
                      <w:highlight w:val="none"/>
                      <w:lang w:val="en-US" w:eastAsia="zh-CN"/>
                    </w:rPr>
                    <w:t>T，I</w:t>
                  </w:r>
                </w:p>
              </w:tc>
              <w:tc>
                <w:tcPr>
                  <w:tcW w:w="795"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HW08</w:t>
                  </w:r>
                </w:p>
              </w:tc>
              <w:tc>
                <w:tcPr>
                  <w:tcW w:w="1350" w:type="dxa"/>
                  <w:noWrap w:val="0"/>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900-249-08</w:t>
                  </w:r>
                </w:p>
              </w:tc>
              <w:tc>
                <w:tcPr>
                  <w:tcW w:w="783" w:type="dxa"/>
                  <w:noWrap w:val="0"/>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jc w:val="center"/>
              </w:trPr>
              <w:tc>
                <w:tcPr>
                  <w:tcW w:w="424" w:type="dxa"/>
                  <w:noWrap w:val="0"/>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885" w:type="dxa"/>
                  <w:noWrap w:val="0"/>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废胶桶</w:t>
                  </w:r>
                </w:p>
              </w:tc>
              <w:tc>
                <w:tcPr>
                  <w:tcW w:w="45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810" w:type="dxa"/>
                  <w:noWrap w:val="0"/>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上胶、灌胶</w:t>
                  </w:r>
                </w:p>
              </w:tc>
              <w:tc>
                <w:tcPr>
                  <w:tcW w:w="735" w:type="dxa"/>
                  <w:noWrap w:val="0"/>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固态</w:t>
                  </w:r>
                </w:p>
              </w:tc>
              <w:tc>
                <w:tcPr>
                  <w:tcW w:w="705" w:type="dxa"/>
                  <w:noWrap w:val="0"/>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废胶桶</w:t>
                  </w:r>
                </w:p>
              </w:tc>
              <w:tc>
                <w:tcPr>
                  <w:tcW w:w="1020" w:type="dxa"/>
                  <w:vMerge w:val="continue"/>
                  <w:noWrap w:val="0"/>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p>
              </w:tc>
              <w:tc>
                <w:tcPr>
                  <w:tcW w:w="645" w:type="dxa"/>
                  <w:noWrap w:val="0"/>
                  <w:vAlign w:val="center"/>
                </w:tcPr>
                <w:p>
                  <w:pPr>
                    <w:spacing w:line="240" w:lineRule="auto"/>
                    <w:jc w:val="center"/>
                    <w:rPr>
                      <w:rFonts w:hint="eastAsia"/>
                      <w:color w:val="auto"/>
                      <w:sz w:val="21"/>
                      <w:highlight w:val="none"/>
                      <w:lang w:val="en-US" w:eastAsia="zh-CN"/>
                    </w:rPr>
                  </w:pPr>
                  <w:r>
                    <w:rPr>
                      <w:rFonts w:hint="eastAsia" w:cs="Times New Roman"/>
                      <w:color w:val="auto"/>
                      <w:kern w:val="2"/>
                      <w:sz w:val="21"/>
                      <w:szCs w:val="21"/>
                      <w:highlight w:val="none"/>
                      <w:lang w:val="en-US" w:eastAsia="zh-CN" w:bidi="ar-SA"/>
                    </w:rPr>
                    <w:t>T</w:t>
                  </w:r>
                </w:p>
              </w:tc>
              <w:tc>
                <w:tcPr>
                  <w:tcW w:w="795" w:type="dxa"/>
                  <w:noWrap w:val="0"/>
                  <w:vAlign w:val="center"/>
                </w:tcPr>
                <w:p>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color w:val="auto"/>
                      <w:kern w:val="2"/>
                      <w:sz w:val="21"/>
                      <w:szCs w:val="21"/>
                      <w:highlight w:val="none"/>
                      <w:lang w:val="en-US" w:eastAsia="zh-CN" w:bidi="ar-SA"/>
                    </w:rPr>
                    <w:t>HW49</w:t>
                  </w:r>
                </w:p>
              </w:tc>
              <w:tc>
                <w:tcPr>
                  <w:tcW w:w="1350" w:type="dxa"/>
                  <w:noWrap w:val="0"/>
                  <w:vAlign w:val="center"/>
                </w:tcPr>
                <w:p>
                  <w:pPr>
                    <w:spacing w:line="240" w:lineRule="auto"/>
                    <w:jc w:val="center"/>
                    <w:rPr>
                      <w:rFonts w:hint="eastAsia" w:ascii="Times New Roman" w:hAnsi="Times New Roman" w:eastAsia="宋体" w:cs="Times New Roman"/>
                      <w:b w:val="0"/>
                      <w:bCs/>
                      <w:color w:val="auto"/>
                      <w:kern w:val="2"/>
                      <w:sz w:val="21"/>
                      <w:szCs w:val="21"/>
                      <w:highlight w:val="none"/>
                      <w:vertAlign w:val="baseline"/>
                      <w:lang w:val="en-US" w:eastAsia="zh-CN" w:bidi="ar-SA"/>
                    </w:rPr>
                  </w:pPr>
                  <w:r>
                    <w:rPr>
                      <w:rFonts w:hint="eastAsia" w:cs="Times New Roman"/>
                      <w:color w:val="auto"/>
                      <w:kern w:val="2"/>
                      <w:sz w:val="21"/>
                      <w:szCs w:val="21"/>
                      <w:highlight w:val="none"/>
                      <w:lang w:val="en-US" w:eastAsia="zh-CN" w:bidi="ar-SA"/>
                    </w:rPr>
                    <w:t>900-039-49</w:t>
                  </w:r>
                </w:p>
              </w:tc>
              <w:tc>
                <w:tcPr>
                  <w:tcW w:w="783" w:type="dxa"/>
                  <w:noWrap w:val="0"/>
                  <w:vAlign w:val="center"/>
                </w:tcPr>
                <w:p>
                  <w:pPr>
                    <w:spacing w:line="240" w:lineRule="auto"/>
                    <w:jc w:val="center"/>
                    <w:rPr>
                      <w:rFonts w:hint="default"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r>
          </w:tbl>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本项目营运期固体废弃物情况见表</w:t>
            </w:r>
            <w:r>
              <w:rPr>
                <w:rFonts w:ascii="Times New Roman" w:hAnsi="Times New Roman" w:eastAsia="宋体" w:cs="Times New Roman"/>
                <w:color w:val="auto"/>
                <w:sz w:val="24"/>
                <w:szCs w:val="21"/>
                <w:highlight w:val="none"/>
              </w:rPr>
              <w:t>4.</w:t>
            </w:r>
            <w:r>
              <w:rPr>
                <w:rFonts w:hint="eastAsia" w:ascii="Times New Roman" w:hAnsi="Times New Roman" w:eastAsia="宋体" w:cs="Times New Roman"/>
                <w:color w:val="auto"/>
                <w:sz w:val="24"/>
                <w:szCs w:val="21"/>
                <w:highlight w:val="none"/>
                <w:lang w:val="en-US" w:eastAsia="zh-CN"/>
              </w:rPr>
              <w:t>4-3</w:t>
            </w:r>
            <w:r>
              <w:rPr>
                <w:rFonts w:hint="eastAsia" w:ascii="Times New Roman" w:hAnsi="Times New Roman" w:eastAsia="宋体" w:cs="Times New Roman"/>
                <w:color w:val="auto"/>
                <w:sz w:val="24"/>
                <w:szCs w:val="21"/>
                <w:highlight w:val="none"/>
              </w:rPr>
              <w:t>：</w:t>
            </w:r>
          </w:p>
          <w:p>
            <w:pPr>
              <w:jc w:val="center"/>
              <w:rPr>
                <w:rFonts w:hint="eastAsia" w:ascii="Times New Roman" w:hAnsi="Times New Roman" w:cs="Times New Roman"/>
                <w:b/>
                <w:bCs/>
                <w:color w:val="auto"/>
                <w:sz w:val="24"/>
                <w:szCs w:val="32"/>
                <w:highlight w:val="none"/>
                <w:lang w:val="en-US" w:eastAsia="zh-CN"/>
              </w:rPr>
            </w:pPr>
            <w:bookmarkStart w:id="114" w:name="_Hlk74029201"/>
            <w:r>
              <w:rPr>
                <w:rFonts w:hint="eastAsia" w:ascii="Times New Roman" w:hAnsi="Times New Roman" w:cs="Times New Roman"/>
                <w:b/>
                <w:bCs/>
                <w:color w:val="auto"/>
                <w:sz w:val="24"/>
                <w:szCs w:val="32"/>
                <w:highlight w:val="none"/>
                <w:lang w:val="en-US" w:eastAsia="zh-CN"/>
              </w:rPr>
              <w:t>表4.4-3本项目固体废弃物情况</w:t>
            </w:r>
          </w:p>
          <w:tbl>
            <w:tblPr>
              <w:tblStyle w:val="25"/>
              <w:tblW w:w="852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521"/>
              <w:gridCol w:w="1097"/>
              <w:gridCol w:w="1125"/>
              <w:gridCol w:w="843"/>
              <w:gridCol w:w="1562"/>
              <w:gridCol w:w="1006"/>
              <w:gridCol w:w="237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bookmarkStart w:id="115" w:name="_Hlk101836041"/>
                  <w:r>
                    <w:rPr>
                      <w:rFonts w:hint="eastAsia" w:ascii="Times New Roman" w:hAnsi="Times New Roman" w:eastAsia="宋体" w:cs="Times New Roman"/>
                      <w:b/>
                      <w:bCs/>
                      <w:color w:val="auto"/>
                      <w:sz w:val="21"/>
                      <w:szCs w:val="21"/>
                      <w:highlight w:val="none"/>
                    </w:rPr>
                    <w:t>序号</w:t>
                  </w:r>
                </w:p>
              </w:tc>
              <w:tc>
                <w:tcPr>
                  <w:tcW w:w="1097"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种类</w:t>
                  </w:r>
                </w:p>
              </w:tc>
              <w:tc>
                <w:tcPr>
                  <w:tcW w:w="1125"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产生源</w:t>
                  </w:r>
                </w:p>
              </w:tc>
              <w:tc>
                <w:tcPr>
                  <w:tcW w:w="843"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废物类别</w:t>
                  </w:r>
                </w:p>
              </w:tc>
              <w:tc>
                <w:tcPr>
                  <w:tcW w:w="1562"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废物代码</w:t>
                  </w:r>
                </w:p>
              </w:tc>
              <w:tc>
                <w:tcPr>
                  <w:tcW w:w="1006"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产生量（t/a）</w:t>
                  </w:r>
                </w:p>
              </w:tc>
              <w:tc>
                <w:tcPr>
                  <w:tcW w:w="2370" w:type="dxa"/>
                  <w:shd w:val="clear" w:color="auto" w:fill="auto"/>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处置措施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1</w:t>
                  </w:r>
                </w:p>
              </w:tc>
              <w:tc>
                <w:tcPr>
                  <w:tcW w:w="1097" w:type="dxa"/>
                  <w:shd w:val="clear" w:color="auto" w:fill="auto"/>
                  <w:vAlign w:val="center"/>
                </w:tcPr>
                <w:p>
                  <w:pPr>
                    <w:autoSpaceDE w:val="0"/>
                    <w:autoSpaceDN w:val="0"/>
                    <w:adjustRightInd w:val="0"/>
                    <w:snapToGrid w:val="0"/>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废海绵</w:t>
                  </w:r>
                </w:p>
              </w:tc>
              <w:tc>
                <w:tcPr>
                  <w:tcW w:w="1125"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切割、冲孔</w:t>
                  </w:r>
                </w:p>
              </w:tc>
              <w:tc>
                <w:tcPr>
                  <w:tcW w:w="843"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562"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900-099-S17</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w:t>
                  </w:r>
                </w:p>
              </w:tc>
              <w:tc>
                <w:tcPr>
                  <w:tcW w:w="2370" w:type="dxa"/>
                  <w:shd w:val="clear" w:color="auto" w:fill="auto"/>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收集后外售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2</w:t>
                  </w:r>
                </w:p>
              </w:tc>
              <w:tc>
                <w:tcPr>
                  <w:tcW w:w="1097"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废PVC板材</w:t>
                  </w:r>
                </w:p>
              </w:tc>
              <w:tc>
                <w:tcPr>
                  <w:tcW w:w="1125"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切割</w:t>
                  </w:r>
                </w:p>
              </w:tc>
              <w:tc>
                <w:tcPr>
                  <w:tcW w:w="843"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SW17</w:t>
                  </w:r>
                </w:p>
              </w:tc>
              <w:tc>
                <w:tcPr>
                  <w:tcW w:w="1562"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900-003-S17</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c>
                <w:tcPr>
                  <w:tcW w:w="2370" w:type="dxa"/>
                  <w:shd w:val="clear" w:color="auto" w:fill="auto"/>
                  <w:vAlign w:val="center"/>
                </w:tcPr>
                <w:p>
                  <w:pPr>
                    <w:spacing w:line="240" w:lineRule="auto"/>
                    <w:jc w:val="center"/>
                    <w:rPr>
                      <w:rFonts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收集后外售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1097" w:type="dxa"/>
                  <w:shd w:val="clear" w:color="auto" w:fill="auto"/>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废边角料</w:t>
                  </w:r>
                </w:p>
              </w:tc>
              <w:tc>
                <w:tcPr>
                  <w:tcW w:w="1125" w:type="dxa"/>
                  <w:shd w:val="clear" w:color="auto" w:fill="auto"/>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冲压</w:t>
                  </w:r>
                </w:p>
              </w:tc>
              <w:tc>
                <w:tcPr>
                  <w:tcW w:w="843"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562"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900-001-S17</w:t>
                  </w:r>
                </w:p>
              </w:tc>
              <w:tc>
                <w:tcPr>
                  <w:tcW w:w="1006"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收集后外售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1097" w:type="dxa"/>
                  <w:shd w:val="clear" w:color="auto" w:fill="auto"/>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混丝废料</w:t>
                  </w:r>
                </w:p>
              </w:tc>
              <w:tc>
                <w:tcPr>
                  <w:tcW w:w="1125" w:type="dxa"/>
                  <w:shd w:val="clear" w:color="auto" w:fill="auto"/>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混丝</w:t>
                  </w:r>
                </w:p>
              </w:tc>
              <w:tc>
                <w:tcPr>
                  <w:tcW w:w="843"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sz w:val="21"/>
                      <w:szCs w:val="21"/>
                      <w:highlight w:val="none"/>
                      <w:lang w:val="en-US" w:eastAsia="zh-CN"/>
                    </w:rPr>
                    <w:t>SW17</w:t>
                  </w:r>
                </w:p>
              </w:tc>
              <w:tc>
                <w:tcPr>
                  <w:tcW w:w="1562"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900-099-S17</w:t>
                  </w:r>
                </w:p>
              </w:tc>
              <w:tc>
                <w:tcPr>
                  <w:tcW w:w="1006"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cs="Times New Roman"/>
                      <w:color w:val="auto"/>
                      <w:sz w:val="21"/>
                      <w:szCs w:val="21"/>
                      <w:highlight w:val="none"/>
                      <w:lang w:val="en-US" w:eastAsia="zh-CN"/>
                    </w:rPr>
                    <w:t>收集后外售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1097" w:type="dxa"/>
                  <w:shd w:val="clear" w:color="auto" w:fill="auto"/>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除尘灰</w:t>
                  </w:r>
                </w:p>
              </w:tc>
              <w:tc>
                <w:tcPr>
                  <w:tcW w:w="1125" w:type="dxa"/>
                  <w:shd w:val="clear" w:color="auto" w:fill="auto"/>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废气处理</w:t>
                  </w:r>
                </w:p>
              </w:tc>
              <w:tc>
                <w:tcPr>
                  <w:tcW w:w="843"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SW59</w:t>
                  </w:r>
                </w:p>
              </w:tc>
              <w:tc>
                <w:tcPr>
                  <w:tcW w:w="1562"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4"/>
                      <w:highlight w:val="none"/>
                      <w:lang w:val="en-US" w:eastAsia="zh-CN" w:bidi="ar-SA"/>
                    </w:rPr>
                    <w:t>900-099-S59</w:t>
                  </w:r>
                </w:p>
              </w:tc>
              <w:tc>
                <w:tcPr>
                  <w:tcW w:w="1006" w:type="dxa"/>
                  <w:shd w:val="clear" w:color="auto" w:fill="auto"/>
                  <w:vAlign w:val="center"/>
                </w:tcPr>
                <w:p>
                  <w:pPr>
                    <w:spacing w:line="240" w:lineRule="auto"/>
                    <w:jc w:val="center"/>
                    <w:rPr>
                      <w:rFonts w:hint="default" w:cs="Times New Roman"/>
                      <w:color w:val="auto"/>
                      <w:szCs w:val="21"/>
                      <w:highlight w:val="none"/>
                      <w:lang w:val="en-US" w:eastAsia="zh-CN"/>
                    </w:rPr>
                  </w:pPr>
                  <w:r>
                    <w:rPr>
                      <w:rFonts w:hint="eastAsia" w:cs="Times New Roman"/>
                      <w:color w:val="auto"/>
                      <w:kern w:val="2"/>
                      <w:sz w:val="21"/>
                      <w:szCs w:val="21"/>
                      <w:highlight w:val="none"/>
                      <w:lang w:val="en-US" w:eastAsia="zh-CN" w:bidi="ar-SA"/>
                    </w:rPr>
                    <w:t>13.365</w:t>
                  </w:r>
                </w:p>
              </w:tc>
              <w:tc>
                <w:tcPr>
                  <w:tcW w:w="2370" w:type="dxa"/>
                  <w:shd w:val="clear" w:color="auto" w:fill="auto"/>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收集后外售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6</w:t>
                  </w:r>
                </w:p>
              </w:tc>
              <w:tc>
                <w:tcPr>
                  <w:tcW w:w="1097" w:type="dxa"/>
                  <w:shd w:val="clear" w:color="auto" w:fill="auto"/>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生活垃圾</w:t>
                  </w:r>
                </w:p>
              </w:tc>
              <w:tc>
                <w:tcPr>
                  <w:tcW w:w="1125"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员工生活</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SW61</w:t>
                  </w:r>
                </w:p>
              </w:tc>
              <w:tc>
                <w:tcPr>
                  <w:tcW w:w="1562"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cs="Times New Roman"/>
                      <w:b w:val="0"/>
                      <w:bCs/>
                      <w:color w:val="auto"/>
                      <w:kern w:val="2"/>
                      <w:sz w:val="21"/>
                      <w:szCs w:val="21"/>
                      <w:highlight w:val="none"/>
                      <w:vertAlign w:val="baseline"/>
                      <w:lang w:val="en-US" w:eastAsia="zh-CN" w:bidi="ar-SA"/>
                    </w:rPr>
                    <w:t>900-002-S61</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4.5</w:t>
                  </w:r>
                </w:p>
              </w:tc>
              <w:tc>
                <w:tcPr>
                  <w:tcW w:w="2370" w:type="dxa"/>
                  <w:shd w:val="clear" w:color="auto" w:fill="auto"/>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环卫清运</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7</w:t>
                  </w:r>
                </w:p>
              </w:tc>
              <w:tc>
                <w:tcPr>
                  <w:tcW w:w="1097" w:type="dxa"/>
                  <w:shd w:val="clear" w:color="auto" w:fill="auto"/>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color w:val="auto"/>
                      <w:szCs w:val="21"/>
                      <w:highlight w:val="none"/>
                      <w:lang w:val="en-US" w:eastAsia="zh-CN"/>
                    </w:rPr>
                    <w:t>废含胶海绵</w:t>
                  </w:r>
                </w:p>
              </w:tc>
              <w:tc>
                <w:tcPr>
                  <w:tcW w:w="1125"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切块</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56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4"/>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w:t>
                  </w:r>
                </w:p>
              </w:tc>
              <w:tc>
                <w:tcPr>
                  <w:tcW w:w="2370" w:type="dxa"/>
                  <w:shd w:val="clear" w:color="auto" w:fill="auto"/>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8</w:t>
                  </w:r>
                </w:p>
              </w:tc>
              <w:tc>
                <w:tcPr>
                  <w:tcW w:w="1097" w:type="dxa"/>
                  <w:shd w:val="clear" w:color="auto" w:fill="auto"/>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废料</w:t>
                  </w:r>
                </w:p>
              </w:tc>
              <w:tc>
                <w:tcPr>
                  <w:tcW w:w="1125" w:type="dxa"/>
                  <w:shd w:val="clear" w:color="auto" w:fill="auto"/>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磨头、敲盖</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56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2370" w:type="dxa"/>
                  <w:shd w:val="clear" w:color="auto" w:fill="auto"/>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1097" w:type="dxa"/>
                  <w:shd w:val="clear" w:color="auto" w:fill="auto"/>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漆渣</w:t>
                  </w:r>
                </w:p>
              </w:tc>
              <w:tc>
                <w:tcPr>
                  <w:tcW w:w="1125" w:type="dxa"/>
                  <w:shd w:val="clear" w:color="auto" w:fill="auto"/>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浸漆</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HW12</w:t>
                  </w:r>
                </w:p>
              </w:tc>
              <w:tc>
                <w:tcPr>
                  <w:tcW w:w="156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cs="Times New Roman"/>
                      <w:b w:val="0"/>
                      <w:bCs/>
                      <w:color w:val="auto"/>
                      <w:kern w:val="2"/>
                      <w:sz w:val="21"/>
                      <w:szCs w:val="21"/>
                      <w:highlight w:val="none"/>
                      <w:vertAlign w:val="baseline"/>
                      <w:lang w:val="en-US" w:eastAsia="zh-CN" w:bidi="ar-SA"/>
                    </w:rPr>
                    <w:t>900-252-12</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1097" w:type="dxa"/>
                  <w:shd w:val="clear" w:color="auto" w:fill="auto"/>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1125" w:type="dxa"/>
                  <w:shd w:val="clear" w:color="auto" w:fill="auto"/>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浸漆</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56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0.9</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1097" w:type="dxa"/>
                  <w:shd w:val="clear" w:color="auto" w:fill="auto"/>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废活性炭</w:t>
                  </w:r>
                </w:p>
              </w:tc>
              <w:tc>
                <w:tcPr>
                  <w:tcW w:w="1125" w:type="dxa"/>
                  <w:shd w:val="clear" w:color="auto" w:fill="auto"/>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废气处理</w:t>
                  </w:r>
                </w:p>
              </w:tc>
              <w:tc>
                <w:tcPr>
                  <w:tcW w:w="843"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1"/>
                      <w:highlight w:val="none"/>
                      <w:lang w:val="en-US" w:eastAsia="zh-CN" w:bidi="ar-SA"/>
                    </w:rPr>
                    <w:t>HW49</w:t>
                  </w:r>
                </w:p>
              </w:tc>
              <w:tc>
                <w:tcPr>
                  <w:tcW w:w="1562" w:type="dxa"/>
                  <w:shd w:val="clear" w:color="auto" w:fill="auto"/>
                  <w:vAlign w:val="center"/>
                </w:tcPr>
                <w:p>
                  <w:pPr>
                    <w:spacing w:line="240" w:lineRule="auto"/>
                    <w:jc w:val="center"/>
                    <w:rPr>
                      <w:rFonts w:hint="eastAsia" w:ascii="Times New Roman" w:hAnsi="Times New Roman" w:eastAsia="宋体" w:cs="Times New Roman"/>
                      <w:color w:val="auto"/>
                      <w:kern w:val="2"/>
                      <w:sz w:val="21"/>
                      <w:szCs w:val="24"/>
                      <w:highlight w:val="none"/>
                      <w:lang w:val="en-US" w:eastAsia="zh-CN" w:bidi="ar-SA"/>
                    </w:rPr>
                  </w:pPr>
                  <w:r>
                    <w:rPr>
                      <w:rFonts w:hint="eastAsia" w:cs="Times New Roman"/>
                      <w:color w:val="auto"/>
                      <w:kern w:val="2"/>
                      <w:sz w:val="21"/>
                      <w:szCs w:val="21"/>
                      <w:highlight w:val="none"/>
                      <w:lang w:val="en-US" w:eastAsia="zh-CN" w:bidi="ar-SA"/>
                    </w:rPr>
                    <w:t>900-039-49</w:t>
                  </w:r>
                </w:p>
              </w:tc>
              <w:tc>
                <w:tcPr>
                  <w:tcW w:w="1006" w:type="dxa"/>
                  <w:shd w:val="clear" w:color="auto" w:fill="auto"/>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15.58</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1097" w:type="dxa"/>
                  <w:shd w:val="clear" w:color="auto" w:fill="auto"/>
                  <w:vAlign w:val="center"/>
                </w:tcPr>
                <w:p>
                  <w:pPr>
                    <w:widowControl/>
                    <w:jc w:val="center"/>
                    <w:rPr>
                      <w:rFonts w:hint="eastAsia"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废机油和机油桶</w:t>
                  </w:r>
                </w:p>
              </w:tc>
              <w:tc>
                <w:tcPr>
                  <w:tcW w:w="1125" w:type="dxa"/>
                  <w:shd w:val="clear" w:color="auto" w:fill="auto"/>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设备维修</w:t>
                  </w:r>
                </w:p>
              </w:tc>
              <w:tc>
                <w:tcPr>
                  <w:tcW w:w="843"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olor w:val="auto"/>
                      <w:sz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HW08</w:t>
                  </w:r>
                </w:p>
              </w:tc>
              <w:tc>
                <w:tcPr>
                  <w:tcW w:w="1562" w:type="dxa"/>
                  <w:shd w:val="clear" w:color="auto" w:fill="auto"/>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olor w:val="auto"/>
                      <w:sz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900-249-08</w:t>
                  </w:r>
                </w:p>
              </w:tc>
              <w:tc>
                <w:tcPr>
                  <w:tcW w:w="1006" w:type="dxa"/>
                  <w:shd w:val="clear" w:color="auto" w:fill="auto"/>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0.1</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21" w:type="dxa"/>
                  <w:shd w:val="clear" w:color="auto" w:fill="auto"/>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1097" w:type="dxa"/>
                  <w:shd w:val="clear" w:color="auto" w:fill="auto"/>
                  <w:vAlign w:val="center"/>
                </w:tcPr>
                <w:p>
                  <w:pPr>
                    <w:widowControl/>
                    <w:jc w:val="center"/>
                    <w:rPr>
                      <w:rFonts w:hint="default" w:cs="Times New Roman" w:eastAsiaTheme="minorEastAsia"/>
                      <w:color w:val="auto"/>
                      <w:szCs w:val="21"/>
                      <w:highlight w:val="none"/>
                      <w:lang w:val="en-US" w:eastAsia="zh-CN"/>
                    </w:rPr>
                  </w:pPr>
                  <w:r>
                    <w:rPr>
                      <w:rFonts w:hint="eastAsia" w:cs="Times New Roman" w:eastAsiaTheme="minorEastAsia"/>
                      <w:color w:val="auto"/>
                      <w:szCs w:val="21"/>
                      <w:highlight w:val="none"/>
                      <w:lang w:val="en-US" w:eastAsia="zh-CN"/>
                    </w:rPr>
                    <w:t>废胶桶</w:t>
                  </w:r>
                </w:p>
              </w:tc>
              <w:tc>
                <w:tcPr>
                  <w:tcW w:w="1125" w:type="dxa"/>
                  <w:shd w:val="clear" w:color="auto" w:fill="auto"/>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上胶、灌胶</w:t>
                  </w:r>
                </w:p>
              </w:tc>
              <w:tc>
                <w:tcPr>
                  <w:tcW w:w="843" w:type="dxa"/>
                  <w:shd w:val="clear" w:color="auto" w:fill="auto"/>
                  <w:vAlign w:val="center"/>
                </w:tcPr>
                <w:p>
                  <w:pPr>
                    <w:spacing w:line="240" w:lineRule="auto"/>
                    <w:jc w:val="center"/>
                    <w:rPr>
                      <w:rFonts w:hint="default"/>
                      <w:color w:val="auto"/>
                      <w:sz w:val="21"/>
                      <w:highlight w:val="none"/>
                      <w:lang w:val="en-US" w:eastAsia="zh-CN"/>
                    </w:rPr>
                  </w:pPr>
                  <w:r>
                    <w:rPr>
                      <w:rFonts w:hint="eastAsia" w:cs="Times New Roman"/>
                      <w:color w:val="auto"/>
                      <w:kern w:val="2"/>
                      <w:sz w:val="21"/>
                      <w:szCs w:val="21"/>
                      <w:highlight w:val="none"/>
                      <w:lang w:val="en-US" w:eastAsia="zh-CN" w:bidi="ar-SA"/>
                    </w:rPr>
                    <w:t>HW49</w:t>
                  </w:r>
                </w:p>
              </w:tc>
              <w:tc>
                <w:tcPr>
                  <w:tcW w:w="1562" w:type="dxa"/>
                  <w:shd w:val="clear" w:color="auto" w:fill="auto"/>
                  <w:vAlign w:val="center"/>
                </w:tcPr>
                <w:p>
                  <w:pPr>
                    <w:spacing w:line="240" w:lineRule="auto"/>
                    <w:jc w:val="center"/>
                    <w:rPr>
                      <w:rFonts w:hint="eastAsia"/>
                      <w:color w:val="auto"/>
                      <w:sz w:val="21"/>
                      <w:highlight w:val="none"/>
                      <w:lang w:val="en-US" w:eastAsia="zh-CN"/>
                    </w:rPr>
                  </w:pPr>
                  <w:r>
                    <w:rPr>
                      <w:rFonts w:hint="eastAsia" w:cs="Times New Roman"/>
                      <w:color w:val="auto"/>
                      <w:kern w:val="2"/>
                      <w:sz w:val="21"/>
                      <w:szCs w:val="21"/>
                      <w:highlight w:val="none"/>
                      <w:lang w:val="en-US" w:eastAsia="zh-CN" w:bidi="ar-SA"/>
                    </w:rPr>
                    <w:t>900-039-49</w:t>
                  </w:r>
                </w:p>
              </w:tc>
              <w:tc>
                <w:tcPr>
                  <w:tcW w:w="1006" w:type="dxa"/>
                  <w:shd w:val="clear" w:color="auto" w:fill="auto"/>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2.5</w:t>
                  </w:r>
                </w:p>
              </w:tc>
              <w:tc>
                <w:tcPr>
                  <w:tcW w:w="2370" w:type="dxa"/>
                  <w:shd w:val="clear" w:color="auto" w:fill="auto"/>
                  <w:vAlign w:val="center"/>
                </w:tcPr>
                <w:p>
                  <w:pPr>
                    <w:spacing w:line="240" w:lineRule="auto"/>
                    <w:jc w:val="center"/>
                    <w:rPr>
                      <w:rFonts w:hint="eastAsia"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委托有资质单位处置</w:t>
                  </w:r>
                </w:p>
              </w:tc>
            </w:tr>
            <w:bookmarkEnd w:id="114"/>
            <w:bookmarkEnd w:id="115"/>
          </w:tbl>
          <w:p>
            <w:pPr>
              <w:adjustRightInd w:val="0"/>
              <w:snapToGrid w:val="0"/>
              <w:spacing w:line="360" w:lineRule="auto"/>
              <w:ind w:firstLine="482" w:firstLineChars="200"/>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2、固体废物影响分析</w:t>
            </w:r>
          </w:p>
          <w:p>
            <w:pPr>
              <w:adjustRightInd w:val="0"/>
              <w:snapToGrid w:val="0"/>
              <w:spacing w:line="360" w:lineRule="auto"/>
              <w:ind w:firstLine="482"/>
              <w:rPr>
                <w:rFonts w:ascii="Times New Roman" w:hAnsi="Times New Roman" w:eastAsia="宋体" w:cs="Times New Roman"/>
                <w:b/>
                <w:color w:val="auto"/>
                <w:sz w:val="24"/>
                <w:szCs w:val="21"/>
                <w:highlight w:val="none"/>
              </w:rPr>
            </w:pPr>
            <w:r>
              <w:rPr>
                <w:rFonts w:hint="eastAsia" w:ascii="Times New Roman" w:hAnsi="Times New Roman" w:eastAsia="宋体" w:cs="Times New Roman"/>
                <w:b/>
                <w:bCs/>
                <w:color w:val="auto"/>
                <w:sz w:val="24"/>
                <w:szCs w:val="21"/>
                <w:highlight w:val="none"/>
              </w:rPr>
              <w:t>（</w:t>
            </w:r>
            <w:r>
              <w:rPr>
                <w:rFonts w:ascii="Times New Roman" w:hAnsi="Times New Roman" w:eastAsia="宋体" w:cs="Times New Roman"/>
                <w:b/>
                <w:bCs/>
                <w:color w:val="auto"/>
                <w:sz w:val="24"/>
                <w:szCs w:val="21"/>
                <w:highlight w:val="none"/>
              </w:rPr>
              <w:t>1</w:t>
            </w:r>
            <w:r>
              <w:rPr>
                <w:rFonts w:hint="eastAsia" w:ascii="Times New Roman" w:hAnsi="Times New Roman" w:eastAsia="宋体" w:cs="Times New Roman"/>
                <w:b/>
                <w:bCs/>
                <w:color w:val="auto"/>
                <w:sz w:val="24"/>
                <w:szCs w:val="21"/>
                <w:highlight w:val="none"/>
              </w:rPr>
              <w:t>）一般固废暂存场（设施）环境影响分析</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本项目产生一般固废</w:t>
            </w:r>
            <w:r>
              <w:rPr>
                <w:rFonts w:hint="eastAsia" w:ascii="Times New Roman" w:hAnsi="Times New Roman" w:eastAsia="宋体" w:cs="Times New Roman"/>
                <w:color w:val="auto"/>
                <w:sz w:val="24"/>
                <w:szCs w:val="21"/>
                <w:highlight w:val="none"/>
                <w:lang w:val="en-US" w:eastAsia="zh-CN"/>
              </w:rPr>
              <w:t>包括废包装材料</w:t>
            </w:r>
            <w:r>
              <w:rPr>
                <w:rFonts w:hint="eastAsia" w:ascii="Times New Roman" w:hAnsi="Times New Roman" w:eastAsia="宋体" w:cs="Times New Roman"/>
                <w:color w:val="auto"/>
                <w:sz w:val="24"/>
                <w:szCs w:val="21"/>
                <w:highlight w:val="none"/>
              </w:rPr>
              <w:t>收集后外售综合利用。</w:t>
            </w:r>
            <w:r>
              <w:rPr>
                <w:rFonts w:hint="eastAsia" w:ascii="Times New Roman" w:hAnsi="Times New Roman" w:eastAsia="宋体" w:cs="Times New Roman"/>
                <w:color w:val="auto"/>
                <w:sz w:val="24"/>
                <w:szCs w:val="21"/>
                <w:highlight w:val="none"/>
                <w:lang w:val="en-US" w:eastAsia="zh-CN"/>
              </w:rPr>
              <w:t>项目车间内设置一般固废暂存区，面积为</w:t>
            </w:r>
            <w:r>
              <w:rPr>
                <w:rFonts w:hint="eastAsia" w:cs="Times New Roman"/>
                <w:color w:val="auto"/>
                <w:sz w:val="24"/>
                <w:szCs w:val="21"/>
                <w:highlight w:val="none"/>
                <w:lang w:val="en-US" w:eastAsia="zh-CN"/>
              </w:rPr>
              <w:t>2</w:t>
            </w:r>
            <w:r>
              <w:rPr>
                <w:rFonts w:hint="eastAsia" w:ascii="Times New Roman" w:hAnsi="Times New Roman" w:eastAsia="宋体" w:cs="Times New Roman"/>
                <w:color w:val="auto"/>
                <w:sz w:val="24"/>
                <w:szCs w:val="21"/>
                <w:highlight w:val="none"/>
                <w:lang w:val="en-US" w:eastAsia="zh-CN"/>
              </w:rPr>
              <w:t>0</w:t>
            </w:r>
            <w:r>
              <w:rPr>
                <w:rFonts w:ascii="Times New Roman" w:hAnsi="Times New Roman" w:eastAsia="宋体" w:cs="Times New Roman"/>
                <w:color w:val="auto"/>
                <w:sz w:val="24"/>
                <w:szCs w:val="21"/>
                <w:highlight w:val="none"/>
              </w:rPr>
              <w:t>m</w:t>
            </w:r>
            <w:r>
              <w:rPr>
                <w:rFonts w:ascii="Times New Roman" w:hAnsi="Times New Roman" w:eastAsia="宋体" w:cs="Times New Roman"/>
                <w:color w:val="auto"/>
                <w:sz w:val="24"/>
                <w:szCs w:val="21"/>
                <w:highlight w:val="none"/>
                <w:vertAlign w:val="superscript"/>
              </w:rPr>
              <w:t>2</w:t>
            </w:r>
            <w:r>
              <w:rPr>
                <w:rFonts w:hint="eastAsia" w:ascii="Times New Roman" w:hAnsi="Times New Roman" w:eastAsia="宋体" w:cs="Times New Roman"/>
                <w:color w:val="auto"/>
                <w:sz w:val="24"/>
                <w:szCs w:val="21"/>
                <w:highlight w:val="none"/>
              </w:rPr>
              <w:t>。该暂存场所按照《一般工业固体废物贮存和填埋污染控制标准》（GB18599-2020）要求建设。</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①贮存场应制定运行计划，运行管理人员应定期参加企业的岗位培训。</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②贮存场运行企业应建立档案管理制度，并按照国家档案管理等法律法规进行整理与归档，永久保存。</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③贮存场的环境保护图形标志应符合GB15562.2的规定，并应定期检查和维护。</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④易产生扬尘的贮存场应采取分区作业、覆盖、洒水等有效抑尘措施防止扬尘污染。</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⑤不相容的一般工业固体废物应设置不同的分区进行贮存作业。</w:t>
            </w:r>
          </w:p>
          <w:p>
            <w:pPr>
              <w:adjustRightInd w:val="0"/>
              <w:snapToGrid w:val="0"/>
              <w:spacing w:line="360" w:lineRule="auto"/>
              <w:ind w:firstLine="480" w:firstLineChars="200"/>
              <w:rPr>
                <w:rFonts w:hint="default" w:ascii="Times New Roman" w:hAnsi="Times New Roman" w:eastAsia="宋体" w:cs="Times New Roman"/>
                <w:color w:val="auto"/>
                <w:kern w:val="0"/>
                <w:sz w:val="24"/>
                <w:szCs w:val="24"/>
                <w:highlight w:val="none"/>
              </w:rPr>
            </w:pPr>
            <w:r>
              <w:rPr>
                <w:rFonts w:hint="default" w:ascii="Times New Roman" w:hAnsi="Times New Roman" w:eastAsia="宋体" w:cs="Times New Roman"/>
                <w:color w:val="auto"/>
                <w:kern w:val="0"/>
                <w:sz w:val="24"/>
                <w:szCs w:val="24"/>
                <w:highlight w:val="none"/>
              </w:rPr>
              <w:t>⑥危险废物和生活垃圾不得进入一般工业固体废物贮存场。国家及地方有关法律法规、标准另有规定的除外。</w:t>
            </w:r>
          </w:p>
          <w:p>
            <w:pPr>
              <w:adjustRightInd w:val="0"/>
              <w:snapToGrid w:val="0"/>
              <w:spacing w:line="360" w:lineRule="auto"/>
              <w:ind w:firstLine="480"/>
              <w:jc w:val="left"/>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因此，项目一般固废的收集、贮存对环境的影响较小。</w:t>
            </w:r>
          </w:p>
          <w:p>
            <w:pPr>
              <w:adjustRightInd w:val="0"/>
              <w:snapToGrid w:val="0"/>
              <w:spacing w:line="360" w:lineRule="auto"/>
              <w:ind w:firstLine="482"/>
              <w:rPr>
                <w:rFonts w:ascii="Times New Roman" w:hAnsi="Times New Roman" w:eastAsia="宋体" w:cs="Times New Roman"/>
                <w:color w:val="auto"/>
                <w:sz w:val="24"/>
                <w:szCs w:val="21"/>
                <w:highlight w:val="none"/>
              </w:rPr>
            </w:pPr>
            <w:r>
              <w:rPr>
                <w:rFonts w:hint="eastAsia" w:ascii="Times New Roman" w:hAnsi="Times New Roman" w:eastAsia="宋体" w:cs="Times New Roman"/>
                <w:b/>
                <w:color w:val="auto"/>
                <w:sz w:val="24"/>
                <w:szCs w:val="21"/>
                <w:highlight w:val="none"/>
              </w:rPr>
              <w:t>（</w:t>
            </w:r>
            <w:r>
              <w:rPr>
                <w:rFonts w:ascii="Times New Roman" w:hAnsi="Times New Roman" w:eastAsia="宋体" w:cs="Times New Roman"/>
                <w:b/>
                <w:color w:val="auto"/>
                <w:sz w:val="24"/>
                <w:szCs w:val="21"/>
                <w:highlight w:val="none"/>
              </w:rPr>
              <w:t>2</w:t>
            </w:r>
            <w:r>
              <w:rPr>
                <w:rFonts w:hint="eastAsia" w:ascii="Times New Roman" w:hAnsi="Times New Roman" w:eastAsia="宋体" w:cs="Times New Roman"/>
                <w:b/>
                <w:color w:val="auto"/>
                <w:sz w:val="24"/>
                <w:szCs w:val="21"/>
                <w:highlight w:val="none"/>
              </w:rPr>
              <w:t>）危险废物暂存场所（设施）环境影响分析</w:t>
            </w:r>
          </w:p>
          <w:p>
            <w:pPr>
              <w:adjustRightInd w:val="0"/>
              <w:snapToGrid w:val="0"/>
              <w:spacing w:line="360" w:lineRule="auto"/>
              <w:ind w:firstLine="480" w:firstLineChars="200"/>
              <w:rPr>
                <w:rFonts w:hint="eastAsia" w:ascii="Times New Roman" w:hAnsi="Times New Roman"/>
                <w:b w:val="0"/>
                <w:bCs/>
                <w:color w:val="auto"/>
                <w:kern w:val="0"/>
                <w:sz w:val="24"/>
                <w:highlight w:val="none"/>
              </w:rPr>
            </w:pPr>
            <w:r>
              <w:rPr>
                <w:rFonts w:hint="eastAsia" w:ascii="Times New Roman" w:hAnsi="Times New Roman" w:eastAsia="宋体" w:cs="Times New Roman"/>
                <w:color w:val="auto"/>
                <w:sz w:val="24"/>
                <w:szCs w:val="21"/>
                <w:highlight w:val="none"/>
              </w:rPr>
              <w:t>本项目产生的危险固废为</w:t>
            </w:r>
            <w:r>
              <w:rPr>
                <w:rFonts w:hint="eastAsia" w:cs="Times New Roman"/>
                <w:color w:val="auto"/>
                <w:sz w:val="24"/>
                <w:szCs w:val="21"/>
                <w:highlight w:val="none"/>
                <w:lang w:val="en-US" w:eastAsia="zh-CN"/>
              </w:rPr>
              <w:t>废含胶海绵、废料、漆渣、废漆桶</w:t>
            </w:r>
            <w:r>
              <w:rPr>
                <w:rFonts w:hint="eastAsia" w:ascii="Times New Roman" w:hAnsi="Times New Roman" w:eastAsia="宋体" w:cs="Times New Roman"/>
                <w:color w:val="auto"/>
                <w:sz w:val="24"/>
                <w:szCs w:val="21"/>
                <w:highlight w:val="none"/>
                <w:lang w:val="en-US" w:eastAsia="zh-CN"/>
              </w:rPr>
              <w:t>、废活性炭</w:t>
            </w:r>
            <w:r>
              <w:rPr>
                <w:rFonts w:hint="eastAsia" w:cs="Times New Roman"/>
                <w:color w:val="auto"/>
                <w:sz w:val="24"/>
                <w:szCs w:val="21"/>
                <w:highlight w:val="none"/>
                <w:lang w:val="en-US" w:eastAsia="zh-CN"/>
              </w:rPr>
              <w:t>、废机油和机油桶、废胶桶</w:t>
            </w:r>
            <w:r>
              <w:rPr>
                <w:rFonts w:hint="eastAsia" w:ascii="Times New Roman" w:hAnsi="Times New Roman" w:eastAsia="宋体" w:cs="Times New Roman"/>
                <w:color w:val="auto"/>
                <w:sz w:val="24"/>
                <w:szCs w:val="21"/>
                <w:highlight w:val="none"/>
              </w:rPr>
              <w:t>，危险废物均在各产污环节点做到分类收集和贮存，避免混入生活垃圾中。在运出厂区之前暂存在专门的危废堆场内。项目</w:t>
            </w:r>
            <w:r>
              <w:rPr>
                <w:rFonts w:hint="eastAsia" w:ascii="Times New Roman" w:hAnsi="Times New Roman" w:eastAsia="宋体" w:cs="Times New Roman"/>
                <w:color w:val="auto"/>
                <w:sz w:val="24"/>
                <w:szCs w:val="21"/>
                <w:highlight w:val="none"/>
                <w:lang w:val="en-US" w:eastAsia="zh-CN"/>
              </w:rPr>
              <w:t>在车间内设置1处危废堆场</w:t>
            </w:r>
            <w:r>
              <w:rPr>
                <w:rFonts w:hint="eastAsia" w:ascii="Times New Roman" w:hAnsi="Times New Roman" w:eastAsia="宋体" w:cs="Times New Roman"/>
                <w:color w:val="auto"/>
                <w:sz w:val="24"/>
                <w:szCs w:val="21"/>
                <w:highlight w:val="none"/>
              </w:rPr>
              <w:t>，占地面积为</w:t>
            </w:r>
            <w:r>
              <w:rPr>
                <w:rFonts w:hint="eastAsia" w:cs="Times New Roman"/>
                <w:color w:val="auto"/>
                <w:sz w:val="24"/>
                <w:szCs w:val="21"/>
                <w:highlight w:val="none"/>
                <w:lang w:val="en-US" w:eastAsia="zh-CN"/>
              </w:rPr>
              <w:t>20</w:t>
            </w:r>
            <w:r>
              <w:rPr>
                <w:rFonts w:ascii="Times New Roman" w:hAnsi="Times New Roman" w:eastAsia="宋体" w:cs="Times New Roman"/>
                <w:color w:val="auto"/>
                <w:sz w:val="24"/>
                <w:szCs w:val="21"/>
                <w:highlight w:val="none"/>
              </w:rPr>
              <w:t>m</w:t>
            </w:r>
            <w:r>
              <w:rPr>
                <w:rFonts w:ascii="Times New Roman" w:hAnsi="Times New Roman" w:eastAsia="宋体" w:cs="Times New Roman"/>
                <w:color w:val="auto"/>
                <w:sz w:val="24"/>
                <w:szCs w:val="21"/>
                <w:highlight w:val="none"/>
                <w:vertAlign w:val="superscript"/>
              </w:rPr>
              <w:t>2</w:t>
            </w: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kern w:val="0"/>
                <w:sz w:val="24"/>
                <w:szCs w:val="24"/>
                <w:highlight w:val="none"/>
              </w:rPr>
              <w:t>危险废物暂存场地</w:t>
            </w:r>
            <w:r>
              <w:rPr>
                <w:rFonts w:hint="eastAsia" w:cs="Times New Roman"/>
                <w:color w:val="auto"/>
                <w:kern w:val="0"/>
                <w:sz w:val="24"/>
                <w:szCs w:val="24"/>
                <w:highlight w:val="none"/>
                <w:lang w:val="en-US" w:eastAsia="zh-CN"/>
              </w:rPr>
              <w:t>应满足</w:t>
            </w:r>
            <w:r>
              <w:rPr>
                <w:rFonts w:ascii="Times New Roman" w:hAnsi="Times New Roman" w:eastAsia="宋体" w:cs="Times New Roman"/>
                <w:color w:val="auto"/>
                <w:kern w:val="0"/>
                <w:sz w:val="24"/>
                <w:szCs w:val="24"/>
                <w:highlight w:val="none"/>
              </w:rPr>
              <w:t>《危险废物贮存污染控制标准》（</w:t>
            </w:r>
            <w:r>
              <w:rPr>
                <w:rFonts w:hint="eastAsia" w:ascii="Times New Roman" w:hAnsi="Times New Roman" w:eastAsia="宋体" w:cs="Times New Roman"/>
                <w:color w:val="auto"/>
                <w:kern w:val="0"/>
                <w:sz w:val="24"/>
                <w:szCs w:val="24"/>
                <w:highlight w:val="none"/>
                <w:lang w:eastAsia="zh-CN"/>
              </w:rPr>
              <w:t>GB18597-2023</w:t>
            </w:r>
            <w:r>
              <w:rPr>
                <w:rFonts w:ascii="Times New Roman" w:hAnsi="Times New Roman" w:eastAsia="宋体" w:cs="Times New Roman"/>
                <w:color w:val="auto"/>
                <w:kern w:val="0"/>
                <w:sz w:val="24"/>
                <w:szCs w:val="24"/>
                <w:highlight w:val="none"/>
              </w:rPr>
              <w:t>）</w:t>
            </w:r>
            <w:r>
              <w:rPr>
                <w:rFonts w:hint="eastAsia" w:cs="Times New Roman"/>
                <w:color w:val="auto"/>
                <w:kern w:val="0"/>
                <w:sz w:val="24"/>
                <w:szCs w:val="24"/>
                <w:highlight w:val="none"/>
                <w:lang w:eastAsia="zh-CN"/>
              </w:rPr>
              <w:t>、</w:t>
            </w:r>
            <w:r>
              <w:rPr>
                <w:rFonts w:hint="eastAsia" w:ascii="Times New Roman" w:hAnsi="Times New Roman"/>
                <w:b w:val="0"/>
                <w:bCs/>
                <w:color w:val="auto"/>
                <w:kern w:val="0"/>
                <w:sz w:val="24"/>
                <w:highlight w:val="none"/>
              </w:rPr>
              <w:t>省生态环境厅关于印发《江苏省固体废物全过程环境监管工作意见》的通知（苏环办[2024]16号）的相关要求。</w:t>
            </w:r>
          </w:p>
          <w:p>
            <w:pPr>
              <w:jc w:val="center"/>
              <w:rPr>
                <w:rFonts w:hint="default"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表4.4-4危废贮存设施污染防治措施</w:t>
            </w:r>
          </w:p>
          <w:tbl>
            <w:tblPr>
              <w:tblStyle w:val="26"/>
              <w:tblW w:w="8326" w:type="dxa"/>
              <w:tblInd w:w="5"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4246"/>
              <w:gridCol w:w="297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分类</w:t>
                  </w:r>
                </w:p>
              </w:tc>
              <w:tc>
                <w:tcPr>
                  <w:tcW w:w="4246" w:type="dxa"/>
                  <w:tcBorders>
                    <w:tl2br w:val="nil"/>
                    <w:tr2bl w:val="nil"/>
                  </w:tcBorders>
                  <w:vAlign w:val="center"/>
                </w:tcPr>
                <w:p>
                  <w:pPr>
                    <w:widowControl/>
                    <w:jc w:val="center"/>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具体要求</w:t>
                  </w:r>
                </w:p>
              </w:tc>
              <w:tc>
                <w:tcPr>
                  <w:tcW w:w="2973" w:type="dxa"/>
                  <w:tcBorders>
                    <w:tl2br w:val="nil"/>
                    <w:tr2bl w:val="nil"/>
                  </w:tcBorders>
                  <w:vAlign w:val="center"/>
                </w:tcPr>
                <w:p>
                  <w:pPr>
                    <w:widowControl/>
                    <w:jc w:val="center"/>
                    <w:rPr>
                      <w:rFonts w:hint="default" w:cs="Times New Roman"/>
                      <w:b/>
                      <w:bCs/>
                      <w:color w:val="auto"/>
                      <w:szCs w:val="21"/>
                      <w:highlight w:val="none"/>
                      <w:lang w:val="en-US" w:eastAsia="zh-CN"/>
                    </w:rPr>
                  </w:pPr>
                  <w:r>
                    <w:rPr>
                      <w:rFonts w:hint="eastAsia" w:cs="Times New Roman"/>
                      <w:b/>
                      <w:bCs/>
                      <w:color w:val="auto"/>
                      <w:szCs w:val="21"/>
                      <w:highlight w:val="none"/>
                      <w:lang w:val="en-US" w:eastAsia="zh-CN"/>
                    </w:rPr>
                    <w:t>本项目拟采取污染防治措施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一、一般要求</w:t>
                  </w:r>
                </w:p>
              </w:tc>
              <w:tc>
                <w:tcPr>
                  <w:tcW w:w="4246"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1、贮存设施应根据危险废物的形态、物理化学性质、包装形式和污染物迁移途径，采取必要的防风、防晒、防雨、防漏、防渗、防腐以及其他环境污染防治措施，不应露天堆放危险废物；</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2、贮存设施应根据危险废物的类别、数量、形态、物理化学性质和污染防治等要求设置必要的贮存分区，避免不相容的危险废物接触、混合；</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3、贮存设施或贮存分区内地面、墙面裙脚、堵截泄漏的围堰、接触危险废物的隔板和墙体等应采用坚固的材料建造，表面无裂缝；</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4、贮存设施地面与裙脚应采取表面防渗措施；表面防渗材料应与所接触的物料或污染物相容，可采用抗渗混凝土、高密度聚乙烯膜、钠基膨润土防水毯或其他防渗性能等效的材料。贮存的危险废物直接接触地面的，还应进行基础防渗，防渗层为至少1m厚黏土层（渗透系数不大于10-7cm/s），或至少2mm厚高密度聚乙烯膜等人工防渗材料（渗透系数不大于10-10cm/s），或其他防渗性能等效的材料；</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5、同一贮存设施宜采用相同的防渗、防腐工艺（包括防渗、防腐结构或材料），防渗、防腐材料应覆盖所有可能与废物及其渗滤液、渗漏液等接触的构筑物表面；采用不同防渗、防腐工艺应分别建设贮存分区；</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6、贮存设施应采取技术和管理措施防止无关人员进入；</w:t>
                  </w:r>
                </w:p>
              </w:tc>
              <w:tc>
                <w:tcPr>
                  <w:tcW w:w="2973"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1、本项目按照规定要求建设危废仓库贮存设施；</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2、本项目危险废物分类包装且各类危废分类分区贮存；</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3、本项目危废库应设置基础防渗层，渗透系数≤10</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-10cm/s，满足防渗要求；应对液体危险废物设置集液托盘或导流沟、收集池，以防泄漏物流至室外，污染土壤和地下</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4、本次评价包括危废仓库环境影响评价。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二、选址要求</w:t>
                  </w:r>
                </w:p>
              </w:tc>
              <w:tc>
                <w:tcPr>
                  <w:tcW w:w="4246"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1、贮存设施选址应满足生态环境保护法律法规、规划和“三线一单”生态环境分区管控的要求，建设项目应依法进行环境影响评价；</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2、集中贮存设施不应选在生态保护红线区域、永久基本农田和其他需要特别保护的区域内，不应建在溶洞区或易遭受洪水、滑坡、泥石流、潮汐等严重自然灾害影响的地区；</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3、贮存设施不应选在江河、湖泊、运河、渠道、水库及其最高水位线以下的滩地和岸坡，以及法律法规规定禁止贮存危险废物的其他地点；</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4、贮存设施场址的位置以及其与周围环境敏感目标的距离应依据环境影响评价文件确定；</w:t>
                  </w:r>
                </w:p>
              </w:tc>
              <w:tc>
                <w:tcPr>
                  <w:tcW w:w="2973" w:type="dxa"/>
                  <w:tcBorders>
                    <w:tl2br w:val="nil"/>
                    <w:tr2bl w:val="nil"/>
                  </w:tcBorders>
                  <w:vAlign w:val="center"/>
                </w:tcPr>
                <w:p>
                  <w:pPr>
                    <w:widowControl/>
                    <w:jc w:val="center"/>
                    <w:rPr>
                      <w:rFonts w:hint="default" w:cs="Times New Roman"/>
                      <w:color w:val="auto"/>
                      <w:szCs w:val="21"/>
                      <w:highlight w:val="none"/>
                      <w:lang w:val="en-US" w:eastAsia="zh-CN"/>
                    </w:rPr>
                  </w:pPr>
                  <w:r>
                    <w:rPr>
                      <w:rFonts w:hint="eastAsia" w:cs="Times New Roman"/>
                      <w:color w:val="auto"/>
                      <w:szCs w:val="21"/>
                      <w:highlight w:val="none"/>
                      <w:lang w:val="en-US" w:eastAsia="zh-CN"/>
                    </w:rPr>
                    <w:t>本项目位于江苏省如皋市城北街道起凤西路118号，不占用基本农田，不在江河、湖泊、运河、渠道、水库及其最高水位线以下的滩地和岸坡，以及法律法规规定禁止贮存危险废物的其他地点</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三、容器和包装物要求</w:t>
                  </w:r>
                </w:p>
              </w:tc>
              <w:tc>
                <w:tcPr>
                  <w:tcW w:w="4246"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1、容器和包装物材质、内衬应与盛装的危险废物相容；</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2、针对不同类别、形态、物理化学性质的危险废物，其容器和包装物应满足相应的防渗、防漏、防腐和强度等要求；</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3、硬质容器和包装物及其支护结构堆叠码放时不应有明显变形，无破损泄漏；</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4、柔性容器和包装物堆叠码放时应封口严密，无破损泄漏；</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5、使用容器盛装液态、半固态危险废物时，容器内部应留有适当的空间，以适应因温度变化等可能引发的收缩和膨胀，防止其导致容器渗漏或永久变形；6、容器和包装物外表面应保持清洁。</w:t>
                  </w:r>
                </w:p>
              </w:tc>
              <w:tc>
                <w:tcPr>
                  <w:tcW w:w="2973"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本项目拟根据各类危险废物的特性选择包装容器，且各类危废分类分区贮存，运行中定期检查，确保包装完好无损。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四、贮存过程要求</w:t>
                  </w:r>
                </w:p>
              </w:tc>
              <w:tc>
                <w:tcPr>
                  <w:tcW w:w="4246" w:type="dxa"/>
                  <w:tcBorders>
                    <w:tl2br w:val="nil"/>
                    <w:tr2bl w:val="nil"/>
                  </w:tcBorders>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1、在常温常压下不易水解、不易挥发的固态危险废物可分类堆放贮存，其他固态危险废物应装入容器或包装物内贮存；</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2、液态危险废物应装入容器内贮存，或直接采用贮存池、贮存罐区贮存；</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3、半固态危险废物应装入容器或包装袋内贮存，或直接采用贮存池贮存；</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4、具有热塑性的危险废物应装入容器或包装袋内进行贮存；</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5、易产生粉尘、VOCs、酸雾、有毒有害大气污染物和刺激性气味气体的危险废物应装入闭口容器或包装物内贮存；</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6、危险废物贮存过程中易产生粉尘等无组织排放的，应采取抑尘等有效措施。</w:t>
                  </w:r>
                </w:p>
              </w:tc>
              <w:tc>
                <w:tcPr>
                  <w:tcW w:w="2973"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本项目固态废物包装袋密封包装。</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107"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五、环境应急要求</w:t>
                  </w:r>
                </w:p>
              </w:tc>
              <w:tc>
                <w:tcPr>
                  <w:tcW w:w="4246"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1、贮存设施所有者或运营者应按照国家有关规定编制突发环境事件应急预案，定期开展必要的培训和环境应急演练，并做好培训、演练记录；</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2、贮存设施所有者或运营者应配备满足其突发环境事件应急要求的应急人员、装备和物资，并应设置应急照明系统；</w:t>
                  </w:r>
                </w:p>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3、相关部门发布自然灾害或恶劣天气预警后，贮存设施所有者或运营者应启动相应防控措施，若有必要可将危险废物转移至其他具有防护条件的地点贮存；</w:t>
                  </w:r>
                </w:p>
              </w:tc>
              <w:tc>
                <w:tcPr>
                  <w:tcW w:w="2973" w:type="dxa"/>
                  <w:tcBorders>
                    <w:tl2br w:val="nil"/>
                    <w:tr2bl w:val="nil"/>
                  </w:tcBorders>
                  <w:vAlign w:val="center"/>
                </w:tcPr>
                <w:p>
                  <w:pPr>
                    <w:widowControl/>
                    <w:jc w:val="center"/>
                    <w:rPr>
                      <w:rFonts w:hint="eastAsia" w:cs="Times New Roman"/>
                      <w:color w:val="auto"/>
                      <w:szCs w:val="21"/>
                      <w:highlight w:val="none"/>
                      <w:lang w:val="en-US" w:eastAsia="zh-CN"/>
                    </w:rPr>
                  </w:pPr>
                  <w:r>
                    <w:rPr>
                      <w:rFonts w:hint="eastAsia" w:cs="Times New Roman"/>
                      <w:color w:val="auto"/>
                      <w:szCs w:val="21"/>
                      <w:highlight w:val="none"/>
                      <w:lang w:val="en-US" w:eastAsia="zh-CN"/>
                    </w:rPr>
                    <w:t>将按要求配备环境应急物资，编制环境应急预案并报生态环境部备案</w:t>
                  </w:r>
                </w:p>
              </w:tc>
            </w:tr>
          </w:tbl>
          <w:p>
            <w:pPr>
              <w:adjustRightInd w:val="0"/>
              <w:snapToGrid w:val="0"/>
              <w:spacing w:line="360" w:lineRule="auto"/>
              <w:ind w:firstLine="480"/>
              <w:jc w:val="left"/>
              <w:rPr>
                <w:rFonts w:ascii="Times New Roman" w:hAnsi="Times New Roman" w:eastAsia="宋体" w:cs="Times New Roman"/>
                <w:color w:val="auto"/>
                <w:sz w:val="24"/>
                <w:szCs w:val="21"/>
                <w:highlight w:val="none"/>
              </w:rPr>
            </w:pPr>
          </w:p>
          <w:p>
            <w:pPr>
              <w:adjustRightInd w:val="0"/>
              <w:snapToGrid w:val="0"/>
              <w:spacing w:line="360" w:lineRule="auto"/>
              <w:ind w:firstLine="482"/>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w:t>
            </w:r>
            <w:r>
              <w:rPr>
                <w:rFonts w:ascii="Times New Roman" w:hAnsi="Times New Roman" w:eastAsia="宋体" w:cs="Times New Roman"/>
                <w:b/>
                <w:color w:val="auto"/>
                <w:sz w:val="24"/>
                <w:szCs w:val="21"/>
                <w:highlight w:val="none"/>
              </w:rPr>
              <w:t>3</w:t>
            </w:r>
            <w:r>
              <w:rPr>
                <w:rFonts w:hint="eastAsia" w:ascii="Times New Roman" w:hAnsi="Times New Roman" w:eastAsia="宋体" w:cs="Times New Roman"/>
                <w:b/>
                <w:color w:val="auto"/>
                <w:sz w:val="24"/>
                <w:szCs w:val="21"/>
                <w:highlight w:val="none"/>
              </w:rPr>
              <w:t>）运输过程的环境影响分析</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项目危险废物主要产生于生产、原材料包装</w:t>
            </w:r>
            <w:r>
              <w:rPr>
                <w:rFonts w:hint="eastAsia" w:cs="Times New Roman"/>
                <w:bCs/>
                <w:color w:val="auto"/>
                <w:sz w:val="24"/>
                <w:szCs w:val="21"/>
                <w:highlight w:val="none"/>
                <w:lang w:eastAsia="zh-CN"/>
              </w:rPr>
              <w:t>、</w:t>
            </w:r>
            <w:r>
              <w:rPr>
                <w:rFonts w:hint="eastAsia" w:cs="Times New Roman"/>
                <w:bCs/>
                <w:color w:val="auto"/>
                <w:sz w:val="24"/>
                <w:szCs w:val="21"/>
                <w:highlight w:val="none"/>
                <w:lang w:val="en-US" w:eastAsia="zh-CN"/>
              </w:rPr>
              <w:t>设备维修</w:t>
            </w:r>
            <w:r>
              <w:rPr>
                <w:rFonts w:hint="eastAsia" w:ascii="Times New Roman" w:hAnsi="Times New Roman" w:eastAsia="宋体" w:cs="Times New Roman"/>
                <w:bCs/>
                <w:color w:val="auto"/>
                <w:sz w:val="24"/>
                <w:szCs w:val="21"/>
                <w:highlight w:val="none"/>
              </w:rPr>
              <w:t>及废气处理工序，危险废物产生后放入专门盛装危险废物的容器中，由带有防漏托盘的拖车转运至危废堆场内，转运过程中由于人为操作失误造成的容器倒翻等情况时，因此，企业应加强培训和管理。此外本项目危险废物产生地点距离</w:t>
            </w:r>
            <w:r>
              <w:rPr>
                <w:rFonts w:hint="eastAsia" w:cs="Times New Roman"/>
                <w:bCs/>
                <w:color w:val="auto"/>
                <w:sz w:val="24"/>
                <w:szCs w:val="21"/>
                <w:highlight w:val="none"/>
                <w:lang w:eastAsia="zh-CN"/>
              </w:rPr>
              <w:t>危废堆场</w:t>
            </w:r>
            <w:r>
              <w:rPr>
                <w:rFonts w:hint="eastAsia" w:ascii="Times New Roman" w:hAnsi="Times New Roman" w:eastAsia="宋体" w:cs="Times New Roman"/>
                <w:bCs/>
                <w:color w:val="auto"/>
                <w:sz w:val="24"/>
                <w:szCs w:val="21"/>
                <w:highlight w:val="none"/>
              </w:rPr>
              <w:t>距离较近，因此，企业在加强管理的情况下，转运过程中出现散落、泄漏概率较小，对周围环境影响较小。</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项目产生的危险废物按照相应的包装要求进行包装，企业危险废物外运委托有资质的单位进行运输，严格执行《危险废物收集、贮存、运输技术规范》（</w:t>
            </w:r>
            <w:r>
              <w:rPr>
                <w:rFonts w:ascii="Times New Roman" w:hAnsi="Times New Roman" w:eastAsia="宋体" w:cs="Times New Roman"/>
                <w:bCs/>
                <w:color w:val="auto"/>
                <w:sz w:val="24"/>
                <w:szCs w:val="21"/>
                <w:highlight w:val="none"/>
              </w:rPr>
              <w:t>HJ2025-2012</w:t>
            </w:r>
            <w:r>
              <w:rPr>
                <w:rFonts w:hint="eastAsia" w:ascii="Times New Roman" w:hAnsi="Times New Roman" w:eastAsia="宋体" w:cs="Times New Roman"/>
                <w:bCs/>
                <w:color w:val="auto"/>
                <w:sz w:val="24"/>
                <w:szCs w:val="21"/>
                <w:highlight w:val="none"/>
              </w:rPr>
              <w:t>）和《</w:t>
            </w:r>
            <w:r>
              <w:rPr>
                <w:rFonts w:hint="eastAsia" w:ascii="Times New Roman" w:hAnsi="Times New Roman" w:eastAsia="宋体" w:cs="Times New Roman"/>
                <w:bCs/>
                <w:color w:val="auto"/>
                <w:sz w:val="24"/>
                <w:szCs w:val="21"/>
                <w:highlight w:val="none"/>
                <w:lang w:eastAsia="zh-CN"/>
              </w:rPr>
              <w:t>危险废物转移管理办法</w:t>
            </w:r>
            <w:r>
              <w:rPr>
                <w:rFonts w:hint="eastAsia" w:ascii="Times New Roman" w:hAnsi="Times New Roman" w:eastAsia="宋体" w:cs="Times New Roman"/>
                <w:bCs/>
                <w:color w:val="auto"/>
                <w:sz w:val="24"/>
                <w:szCs w:val="21"/>
                <w:highlight w:val="none"/>
              </w:rPr>
              <w:t>》，并制定好危险废物转移运输途中的污染防范及事故应急措施，严格按照要求办理有关手续。运输单位在运输本项目危险废物过程中应严格做好相应的防范措施，防止危险废物的</w:t>
            </w:r>
            <w:r>
              <w:rPr>
                <w:rFonts w:hint="eastAsia" w:cs="Times New Roman"/>
                <w:bCs/>
                <w:color w:val="auto"/>
                <w:sz w:val="24"/>
                <w:szCs w:val="21"/>
                <w:highlight w:val="none"/>
                <w:lang w:eastAsia="zh-CN"/>
              </w:rPr>
              <w:t>泄漏</w:t>
            </w:r>
            <w:r>
              <w:rPr>
                <w:rFonts w:hint="eastAsia" w:ascii="Times New Roman" w:hAnsi="Times New Roman" w:eastAsia="宋体" w:cs="Times New Roman"/>
                <w:bCs/>
                <w:color w:val="auto"/>
                <w:sz w:val="24"/>
                <w:szCs w:val="21"/>
                <w:highlight w:val="none"/>
              </w:rPr>
              <w:t>，或发生重大交通事故，具体措施如下：</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①采用专用车辆直接从企业将危险废物运送至处理处置单位厂内，运输过程严格遵守《中华人民共和国固体废物污染环境防治法》、《危险废物收集、贮存、运输技术规范》（</w:t>
            </w:r>
            <w:r>
              <w:rPr>
                <w:rFonts w:ascii="Times New Roman" w:hAnsi="Times New Roman" w:eastAsia="宋体" w:cs="Times New Roman"/>
                <w:bCs/>
                <w:color w:val="auto"/>
                <w:sz w:val="24"/>
                <w:szCs w:val="21"/>
                <w:highlight w:val="none"/>
              </w:rPr>
              <w:t>HJ2025-2012</w:t>
            </w:r>
            <w:r>
              <w:rPr>
                <w:rFonts w:hint="eastAsia" w:ascii="Times New Roman" w:hAnsi="Times New Roman" w:eastAsia="宋体" w:cs="Times New Roman"/>
                <w:bCs/>
                <w:color w:val="auto"/>
                <w:sz w:val="24"/>
                <w:szCs w:val="21"/>
                <w:highlight w:val="none"/>
              </w:rPr>
              <w:t>）等相关规定。</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②运输途中不设中转站临时贮存，避免危险废物在中转站卸载和装载时发生二次污染的风险，及时由危险废物的产生地直接运送到处理处置单位厂内。</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③在运输前应事先作出周密的运输计划，安排好运输车辆经过各路段的时间，尽量避免运输车辆在交通高峰期间通过市区。</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④危险废物运输者应制定事故应急和防止运输过程中发生泄漏、丢失、扬散的保障措施和配备必要的设备，在危险废物发生泄漏时可以及时将危险废物收集，减少散失。</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⑤运输途中经过敏感点时应减速慢行，若危险废物发生泄漏时应立即将采取措施，将危险废物收集，减少危险废物的散失，避免对敏感点造成较大影响。</w:t>
            </w:r>
          </w:p>
          <w:p>
            <w:pPr>
              <w:adjustRightInd w:val="0"/>
              <w:snapToGrid w:val="0"/>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通过上述分析可知，项目危险废物运输过程中在严格做好相应的防范措施后，对运输路线周围的环境及敏感点影响较小。</w:t>
            </w:r>
          </w:p>
          <w:p>
            <w:pPr>
              <w:adjustRightInd w:val="0"/>
              <w:snapToGrid w:val="0"/>
              <w:spacing w:line="360" w:lineRule="auto"/>
              <w:ind w:firstLine="482"/>
              <w:rPr>
                <w:rFonts w:ascii="Times New Roman" w:hAnsi="Times New Roman" w:eastAsia="宋体" w:cs="Times New Roman"/>
                <w:b/>
                <w:color w:val="auto"/>
                <w:sz w:val="24"/>
                <w:szCs w:val="21"/>
                <w:highlight w:val="none"/>
              </w:rPr>
            </w:pPr>
            <w:r>
              <w:rPr>
                <w:rFonts w:hint="eastAsia" w:ascii="Times New Roman" w:hAnsi="Times New Roman" w:eastAsia="宋体" w:cs="Times New Roman"/>
                <w:b/>
                <w:color w:val="auto"/>
                <w:sz w:val="24"/>
                <w:szCs w:val="21"/>
                <w:highlight w:val="none"/>
              </w:rPr>
              <w:t>（</w:t>
            </w:r>
            <w:r>
              <w:rPr>
                <w:rFonts w:ascii="Times New Roman" w:hAnsi="Times New Roman" w:eastAsia="宋体" w:cs="Times New Roman"/>
                <w:b/>
                <w:color w:val="auto"/>
                <w:sz w:val="24"/>
                <w:szCs w:val="21"/>
                <w:highlight w:val="none"/>
              </w:rPr>
              <w:t>4</w:t>
            </w:r>
            <w:r>
              <w:rPr>
                <w:rFonts w:hint="eastAsia" w:ascii="Times New Roman" w:hAnsi="Times New Roman" w:eastAsia="宋体" w:cs="Times New Roman"/>
                <w:b/>
                <w:color w:val="auto"/>
                <w:sz w:val="24"/>
                <w:szCs w:val="21"/>
                <w:highlight w:val="none"/>
              </w:rPr>
              <w:t>）委托利用或者处置的环境影响分析</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项目产生危险废物种类较多，代码包括</w:t>
            </w:r>
            <w:r>
              <w:rPr>
                <w:rFonts w:hint="eastAsia" w:ascii="Times New Roman" w:hAnsi="Times New Roman" w:eastAsia="宋体" w:cs="Times New Roman"/>
                <w:color w:val="auto"/>
                <w:sz w:val="24"/>
                <w:szCs w:val="21"/>
                <w:highlight w:val="none"/>
                <w:lang w:val="en-US" w:eastAsia="zh-CN"/>
              </w:rPr>
              <w:t>HW08</w:t>
            </w:r>
            <w:r>
              <w:rPr>
                <w:rFonts w:hint="eastAsia" w:cs="Times New Roman"/>
                <w:color w:val="auto"/>
                <w:sz w:val="24"/>
                <w:szCs w:val="21"/>
                <w:highlight w:val="none"/>
                <w:lang w:val="en-US" w:eastAsia="zh-CN"/>
              </w:rPr>
              <w:t>、HW12</w:t>
            </w:r>
            <w:r>
              <w:rPr>
                <w:rFonts w:hint="eastAsia" w:ascii="Times New Roman" w:hAnsi="Times New Roman" w:eastAsia="宋体" w:cs="Times New Roman"/>
                <w:color w:val="auto"/>
                <w:sz w:val="24"/>
                <w:szCs w:val="21"/>
                <w:highlight w:val="none"/>
                <w:lang w:val="en-US" w:eastAsia="zh-CN"/>
              </w:rPr>
              <w:t>、</w:t>
            </w:r>
            <w:r>
              <w:rPr>
                <w:rFonts w:ascii="Times New Roman" w:hAnsi="Times New Roman" w:eastAsia="宋体" w:cs="Times New Roman"/>
                <w:color w:val="auto"/>
                <w:sz w:val="24"/>
                <w:szCs w:val="21"/>
                <w:highlight w:val="none"/>
              </w:rPr>
              <w:t>HW49</w:t>
            </w:r>
            <w:r>
              <w:rPr>
                <w:rFonts w:hint="eastAsia" w:ascii="Times New Roman" w:hAnsi="Times New Roman" w:eastAsia="宋体" w:cs="Times New Roman"/>
                <w:color w:val="auto"/>
                <w:sz w:val="24"/>
                <w:szCs w:val="21"/>
                <w:highlight w:val="none"/>
              </w:rPr>
              <w:t>，分别委托具有相应的危险废物经营许可证类别和足够的利用处置能力的处置单位处理。项目危险废物处理严格落实危险固废转移台账管理，危废堆场采取严格的、科学的防渗措施，并落实与处置单位签订危废处置协议，能实现合理处置零排放，不会产生二次污染，对周边环境影响较小。</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综上，项目在合理处置固废后对环境影响不大。项目厂区内产生的固体废物通过以上方法处理处置后，对周围环境及人体不会造成影响，亦不会造成二次污染，所采取的治理措施是可行的，不会对周围的环境产生影响。固体废物处理处置前在厂内的堆放、贮存场所应按照国家固体废物贮存有关要求设置，在厂内存放时要有防水、防渗措施，危险废物在收集时，所有包装容器应足够安全，并经过周密检查，严防在装载、搬移或运输途中出现渗漏、溢出、抛洒或挥发等情况，避免其对周围环境产生污染。</w:t>
            </w:r>
          </w:p>
          <w:p>
            <w:pPr>
              <w:adjustRightInd w:val="0"/>
              <w:snapToGrid w:val="0"/>
              <w:spacing w:line="360" w:lineRule="auto"/>
              <w:ind w:firstLine="482"/>
              <w:rPr>
                <w:rFonts w:hint="eastAsia" w:ascii="Times New Roman" w:hAnsi="Times New Roman" w:eastAsia="宋体" w:cs="Times New Roman"/>
                <w:b/>
                <w:color w:val="auto"/>
                <w:sz w:val="24"/>
                <w:szCs w:val="21"/>
                <w:highlight w:val="none"/>
                <w:lang w:eastAsia="zh-CN"/>
              </w:rPr>
            </w:pP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5</w:t>
            </w:r>
            <w:r>
              <w:rPr>
                <w:rFonts w:hint="eastAsia" w:ascii="Times New Roman" w:hAnsi="Times New Roman" w:eastAsia="宋体" w:cs="Times New Roman"/>
                <w:b/>
                <w:color w:val="auto"/>
                <w:sz w:val="24"/>
                <w:szCs w:val="21"/>
                <w:highlight w:val="none"/>
              </w:rPr>
              <w:t>）污染防治措施及其经济、技术分析</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1）贮存场所（设施）污染防治措施</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①一般固废贮存场所（设施）污染防治措施</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建设项目一般工业固废，应按照相关要求分类收集贮存，暂存场所应满足《一般工业固体废物贮存和填埋污染控制标准》（GB18599-2020）、《环境保护图形标志—固体废物贮存（处置场）》（GB15562.2-1995）</w:t>
            </w:r>
            <w:r>
              <w:rPr>
                <w:rFonts w:hint="eastAsia" w:ascii="Times New Roman" w:hAnsi="Times New Roman" w:eastAsia="宋体" w:cs="Times New Roman"/>
                <w:color w:val="auto"/>
                <w:sz w:val="24"/>
                <w:szCs w:val="21"/>
                <w:highlight w:val="none"/>
                <w:lang w:val="en-US" w:eastAsia="zh-CN"/>
              </w:rPr>
              <w:t>修改单</w:t>
            </w:r>
            <w:r>
              <w:rPr>
                <w:rFonts w:hint="eastAsia" w:ascii="Times New Roman" w:hAnsi="Times New Roman" w:eastAsia="宋体" w:cs="Times New Roman"/>
                <w:color w:val="auto"/>
                <w:sz w:val="24"/>
                <w:szCs w:val="21"/>
                <w:highlight w:val="none"/>
              </w:rPr>
              <w:t>等规定要求。</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Ⅰ、贮存、处置场的建设类型，必须与将要堆放的一般工业固体废物的类别相一致。</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Ⅱ、为保障设施、设备正常运营，必要时应采取措施防止地基下沉，尤其是防止不均匀或局部下沉。</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Ⅲ、贮存、处置场的使用单位，应建立档案制度。应将入场的一般工业固体废物的种类和数量以及下列资料，详细记录在案，长期保存，供随时查阅。</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②危险废物贮存场所（设施）污染防治措施</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建设项目</w:t>
            </w:r>
            <w:r>
              <w:rPr>
                <w:rFonts w:hint="eastAsia" w:cs="Times New Roman"/>
                <w:color w:val="auto"/>
                <w:sz w:val="24"/>
                <w:szCs w:val="21"/>
                <w:highlight w:val="none"/>
                <w:lang w:val="en-US" w:eastAsia="zh-CN"/>
              </w:rPr>
              <w:t>现有20</w:t>
            </w:r>
            <w:r>
              <w:rPr>
                <w:rFonts w:hint="eastAsia" w:ascii="Times New Roman" w:hAnsi="Times New Roman" w:eastAsia="宋体" w:cs="Times New Roman"/>
                <w:color w:val="auto"/>
                <w:sz w:val="24"/>
                <w:szCs w:val="21"/>
                <w:highlight w:val="none"/>
              </w:rPr>
              <w:t>m</w:t>
            </w:r>
            <w:r>
              <w:rPr>
                <w:rFonts w:hint="eastAsia" w:ascii="Times New Roman" w:hAnsi="Times New Roman" w:eastAsia="宋体" w:cs="Times New Roman"/>
                <w:color w:val="auto"/>
                <w:sz w:val="24"/>
                <w:szCs w:val="21"/>
                <w:highlight w:val="none"/>
                <w:vertAlign w:val="superscript"/>
              </w:rPr>
              <w:t>2</w:t>
            </w:r>
            <w:r>
              <w:rPr>
                <w:rFonts w:hint="eastAsia" w:ascii="Times New Roman" w:hAnsi="Times New Roman" w:eastAsia="宋体" w:cs="Times New Roman"/>
                <w:color w:val="auto"/>
                <w:sz w:val="24"/>
                <w:szCs w:val="21"/>
                <w:highlight w:val="none"/>
              </w:rPr>
              <w:t>的危险废物贮存场所拟设置在生产车间，贮存场所贮存能力满足要求。</w:t>
            </w:r>
          </w:p>
          <w:p>
            <w:pPr>
              <w:jc w:val="center"/>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表4.4-5危险废物贮存基本情况表</w:t>
            </w:r>
          </w:p>
          <w:tbl>
            <w:tblPr>
              <w:tblStyle w:val="25"/>
              <w:tblW w:w="8298"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08"/>
              <w:gridCol w:w="1323"/>
              <w:gridCol w:w="1347"/>
              <w:gridCol w:w="1026"/>
              <w:gridCol w:w="1495"/>
              <w:gridCol w:w="1013"/>
              <w:gridCol w:w="947"/>
              <w:gridCol w:w="73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序号</w:t>
                  </w:r>
                </w:p>
              </w:tc>
              <w:tc>
                <w:tcPr>
                  <w:tcW w:w="1323"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贮存场所（设施）名称</w:t>
                  </w:r>
                </w:p>
              </w:tc>
              <w:tc>
                <w:tcPr>
                  <w:tcW w:w="1347"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危险废物名称</w:t>
                  </w:r>
                </w:p>
              </w:tc>
              <w:tc>
                <w:tcPr>
                  <w:tcW w:w="1026"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危险废物类别</w:t>
                  </w:r>
                </w:p>
              </w:tc>
              <w:tc>
                <w:tcPr>
                  <w:tcW w:w="1495"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危险废物代码</w:t>
                  </w:r>
                </w:p>
              </w:tc>
              <w:tc>
                <w:tcPr>
                  <w:tcW w:w="1013"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占地面积</w:t>
                  </w:r>
                </w:p>
              </w:tc>
              <w:tc>
                <w:tcPr>
                  <w:tcW w:w="947"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贮存方式</w:t>
                  </w:r>
                </w:p>
              </w:tc>
              <w:tc>
                <w:tcPr>
                  <w:tcW w:w="739" w:type="dxa"/>
                  <w:noWrap w:val="0"/>
                  <w:tcMar>
                    <w:left w:w="0" w:type="dxa"/>
                    <w:right w:w="0"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贮存</w:t>
                  </w:r>
                </w:p>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周期</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08"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1</w:t>
                  </w:r>
                </w:p>
              </w:tc>
              <w:tc>
                <w:tcPr>
                  <w:tcW w:w="1323" w:type="dxa"/>
                  <w:vMerge w:val="restart"/>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危废</w:t>
                  </w:r>
                </w:p>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仓库</w:t>
                  </w:r>
                </w:p>
              </w:tc>
              <w:tc>
                <w:tcPr>
                  <w:tcW w:w="1347"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color w:val="auto"/>
                      <w:szCs w:val="21"/>
                      <w:highlight w:val="none"/>
                      <w:lang w:val="en-US" w:eastAsia="zh-CN"/>
                    </w:rPr>
                    <w:t>废含胶海绵</w:t>
                  </w:r>
                </w:p>
              </w:tc>
              <w:tc>
                <w:tcPr>
                  <w:tcW w:w="1026"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495"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13" w:type="dxa"/>
                  <w:vMerge w:val="restart"/>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20m</w:t>
                  </w:r>
                  <w:r>
                    <w:rPr>
                      <w:rFonts w:hint="eastAsia" w:cs="Times New Roman"/>
                      <w:b w:val="0"/>
                      <w:bCs w:val="0"/>
                      <w:color w:val="auto"/>
                      <w:szCs w:val="21"/>
                      <w:highlight w:val="none"/>
                      <w:vertAlign w:val="superscript"/>
                      <w:lang w:val="en-US" w:eastAsia="zh-CN"/>
                    </w:rPr>
                    <w:t>2</w:t>
                  </w:r>
                </w:p>
              </w:tc>
              <w:tc>
                <w:tcPr>
                  <w:tcW w:w="947" w:type="dxa"/>
                  <w:vMerge w:val="restart"/>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密闭存储</w:t>
                  </w:r>
                </w:p>
              </w:tc>
              <w:tc>
                <w:tcPr>
                  <w:tcW w:w="739" w:type="dxa"/>
                  <w:vMerge w:val="restart"/>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季度</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2</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废料</w:t>
                  </w:r>
                </w:p>
              </w:tc>
              <w:tc>
                <w:tcPr>
                  <w:tcW w:w="1026"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495"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trPr>
              <w:tc>
                <w:tcPr>
                  <w:tcW w:w="408"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3</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漆渣</w:t>
                  </w:r>
                </w:p>
              </w:tc>
              <w:tc>
                <w:tcPr>
                  <w:tcW w:w="1026"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cs="Times New Roman"/>
                      <w:color w:val="auto"/>
                      <w:szCs w:val="21"/>
                      <w:highlight w:val="none"/>
                      <w:lang w:val="en-US" w:eastAsia="zh-CN"/>
                    </w:rPr>
                    <w:t>HW12</w:t>
                  </w:r>
                </w:p>
              </w:tc>
              <w:tc>
                <w:tcPr>
                  <w:tcW w:w="1495"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cs="Times New Roman"/>
                      <w:b w:val="0"/>
                      <w:bCs w:val="0"/>
                      <w:color w:val="auto"/>
                      <w:szCs w:val="21"/>
                      <w:highlight w:val="none"/>
                      <w:lang w:val="en-US" w:eastAsia="zh-CN"/>
                    </w:rPr>
                  </w:pPr>
                  <w:r>
                    <w:rPr>
                      <w:rFonts w:hint="eastAsia" w:cs="Times New Roman"/>
                      <w:b w:val="0"/>
                      <w:bCs/>
                      <w:color w:val="auto"/>
                      <w:kern w:val="2"/>
                      <w:sz w:val="21"/>
                      <w:szCs w:val="21"/>
                      <w:highlight w:val="none"/>
                      <w:vertAlign w:val="baseline"/>
                      <w:lang w:val="en-US" w:eastAsia="zh-CN" w:bidi="ar-SA"/>
                    </w:rPr>
                    <w:t>900-252-12</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4</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废漆桶</w:t>
                  </w:r>
                </w:p>
              </w:tc>
              <w:tc>
                <w:tcPr>
                  <w:tcW w:w="1026"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HW49</w:t>
                  </w:r>
                </w:p>
              </w:tc>
              <w:tc>
                <w:tcPr>
                  <w:tcW w:w="1495"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900-041-49</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5</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废活性炭</w:t>
                  </w:r>
                </w:p>
              </w:tc>
              <w:tc>
                <w:tcPr>
                  <w:tcW w:w="1026" w:type="dxa"/>
                  <w:noWrap w:val="0"/>
                  <w:tcMar>
                    <w:left w:w="0" w:type="dxa"/>
                    <w:right w:w="0" w:type="dxa"/>
                  </w:tcMar>
                  <w:vAlign w:val="center"/>
                </w:tcPr>
                <w:p>
                  <w:pPr>
                    <w:spacing w:line="240" w:lineRule="auto"/>
                    <w:jc w:val="center"/>
                    <w:rPr>
                      <w:rFonts w:hint="eastAsia" w:cs="Times New Roman"/>
                      <w:b w:val="0"/>
                      <w:bCs w:val="0"/>
                      <w:color w:val="auto"/>
                      <w:szCs w:val="21"/>
                      <w:highlight w:val="none"/>
                      <w:lang w:val="en-US" w:eastAsia="zh-CN"/>
                    </w:rPr>
                  </w:pPr>
                  <w:r>
                    <w:rPr>
                      <w:rFonts w:hint="eastAsia" w:cs="Times New Roman"/>
                      <w:color w:val="auto"/>
                      <w:kern w:val="2"/>
                      <w:sz w:val="21"/>
                      <w:szCs w:val="21"/>
                      <w:highlight w:val="none"/>
                      <w:lang w:val="en-US" w:eastAsia="zh-CN" w:bidi="ar-SA"/>
                    </w:rPr>
                    <w:t>HW49</w:t>
                  </w:r>
                </w:p>
              </w:tc>
              <w:tc>
                <w:tcPr>
                  <w:tcW w:w="1495" w:type="dxa"/>
                  <w:noWrap w:val="0"/>
                  <w:tcMar>
                    <w:left w:w="0" w:type="dxa"/>
                    <w:right w:w="0" w:type="dxa"/>
                  </w:tcMar>
                  <w:vAlign w:val="center"/>
                </w:tcPr>
                <w:p>
                  <w:pPr>
                    <w:spacing w:line="240" w:lineRule="auto"/>
                    <w:jc w:val="center"/>
                    <w:rPr>
                      <w:rFonts w:hint="eastAsia" w:cs="Times New Roman"/>
                      <w:b w:val="0"/>
                      <w:bCs w:val="0"/>
                      <w:color w:val="auto"/>
                      <w:szCs w:val="21"/>
                      <w:highlight w:val="none"/>
                      <w:lang w:val="en-US" w:eastAsia="zh-CN"/>
                    </w:rPr>
                  </w:pPr>
                  <w:r>
                    <w:rPr>
                      <w:rFonts w:hint="eastAsia" w:cs="Times New Roman"/>
                      <w:color w:val="auto"/>
                      <w:kern w:val="2"/>
                      <w:sz w:val="21"/>
                      <w:szCs w:val="21"/>
                      <w:highlight w:val="none"/>
                      <w:lang w:val="en-US" w:eastAsia="zh-CN" w:bidi="ar-SA"/>
                    </w:rPr>
                    <w:t>900-039-49</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6</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废机油和机油桶</w:t>
                  </w:r>
                </w:p>
              </w:tc>
              <w:tc>
                <w:tcPr>
                  <w:tcW w:w="1026"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HW08</w:t>
                  </w:r>
                </w:p>
              </w:tc>
              <w:tc>
                <w:tcPr>
                  <w:tcW w:w="1495" w:type="dxa"/>
                  <w:noWrap w:val="0"/>
                  <w:tcMar>
                    <w:left w:w="0" w:type="dxa"/>
                    <w:right w:w="0" w:type="dxa"/>
                  </w:tcMar>
                  <w:vAlign w:val="center"/>
                </w:tcPr>
                <w:p>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cs="Times New Roman"/>
                      <w:b w:val="0"/>
                      <w:bCs w:val="0"/>
                      <w:color w:val="auto"/>
                      <w:szCs w:val="21"/>
                      <w:highlight w:val="none"/>
                      <w:lang w:val="en-US" w:eastAsia="zh-CN"/>
                    </w:rPr>
                  </w:pPr>
                  <w:r>
                    <w:rPr>
                      <w:rFonts w:hint="eastAsia" w:ascii="Times New Roman" w:hAnsi="Times New Roman" w:eastAsia="宋体" w:cs="Times New Roman"/>
                      <w:b w:val="0"/>
                      <w:bCs/>
                      <w:color w:val="auto"/>
                      <w:kern w:val="2"/>
                      <w:sz w:val="21"/>
                      <w:szCs w:val="21"/>
                      <w:highlight w:val="none"/>
                      <w:vertAlign w:val="baseline"/>
                      <w:lang w:val="en-US" w:eastAsia="zh-CN" w:bidi="ar-SA"/>
                    </w:rPr>
                    <w:t>900-249-08</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408" w:type="dxa"/>
                  <w:noWrap w:val="0"/>
                  <w:tcMar>
                    <w:left w:w="0" w:type="dxa"/>
                    <w:right w:w="0"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7</w:t>
                  </w:r>
                </w:p>
              </w:tc>
              <w:tc>
                <w:tcPr>
                  <w:tcW w:w="132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1347" w:type="dxa"/>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eastAsiaTheme="minorEastAsia"/>
                      <w:color w:val="auto"/>
                      <w:szCs w:val="21"/>
                      <w:highlight w:val="none"/>
                      <w:lang w:val="en-US" w:eastAsia="zh-CN"/>
                    </w:rPr>
                    <w:t>废胶桶</w:t>
                  </w:r>
                </w:p>
              </w:tc>
              <w:tc>
                <w:tcPr>
                  <w:tcW w:w="1026" w:type="dxa"/>
                  <w:noWrap w:val="0"/>
                  <w:tcMar>
                    <w:left w:w="0" w:type="dxa"/>
                    <w:right w:w="0" w:type="dxa"/>
                  </w:tcMar>
                  <w:vAlign w:val="center"/>
                </w:tcPr>
                <w:p>
                  <w:pPr>
                    <w:spacing w:line="240" w:lineRule="auto"/>
                    <w:jc w:val="center"/>
                    <w:rPr>
                      <w:rFonts w:hint="eastAsia" w:cs="Times New Roman"/>
                      <w:b w:val="0"/>
                      <w:bCs w:val="0"/>
                      <w:color w:val="auto"/>
                      <w:szCs w:val="21"/>
                      <w:highlight w:val="none"/>
                      <w:lang w:val="en-US" w:eastAsia="zh-CN"/>
                    </w:rPr>
                  </w:pPr>
                  <w:r>
                    <w:rPr>
                      <w:rFonts w:hint="eastAsia" w:cs="Times New Roman"/>
                      <w:color w:val="auto"/>
                      <w:kern w:val="2"/>
                      <w:sz w:val="21"/>
                      <w:szCs w:val="21"/>
                      <w:highlight w:val="none"/>
                      <w:lang w:val="en-US" w:eastAsia="zh-CN" w:bidi="ar-SA"/>
                    </w:rPr>
                    <w:t>HW49</w:t>
                  </w:r>
                </w:p>
              </w:tc>
              <w:tc>
                <w:tcPr>
                  <w:tcW w:w="1495" w:type="dxa"/>
                  <w:noWrap w:val="0"/>
                  <w:tcMar>
                    <w:left w:w="0" w:type="dxa"/>
                    <w:right w:w="0" w:type="dxa"/>
                  </w:tcMar>
                  <w:vAlign w:val="center"/>
                </w:tcPr>
                <w:p>
                  <w:pPr>
                    <w:spacing w:line="240" w:lineRule="auto"/>
                    <w:jc w:val="center"/>
                    <w:rPr>
                      <w:rFonts w:hint="eastAsia" w:cs="Times New Roman"/>
                      <w:b w:val="0"/>
                      <w:bCs w:val="0"/>
                      <w:color w:val="auto"/>
                      <w:szCs w:val="21"/>
                      <w:highlight w:val="none"/>
                      <w:lang w:val="en-US" w:eastAsia="zh-CN"/>
                    </w:rPr>
                  </w:pPr>
                  <w:r>
                    <w:rPr>
                      <w:rFonts w:hint="eastAsia" w:cs="Times New Roman"/>
                      <w:color w:val="auto"/>
                      <w:kern w:val="2"/>
                      <w:sz w:val="21"/>
                      <w:szCs w:val="21"/>
                      <w:highlight w:val="none"/>
                      <w:lang w:val="en-US" w:eastAsia="zh-CN" w:bidi="ar-SA"/>
                    </w:rPr>
                    <w:t>900-039-49</w:t>
                  </w:r>
                </w:p>
              </w:tc>
              <w:tc>
                <w:tcPr>
                  <w:tcW w:w="1013"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947" w:type="dxa"/>
                  <w:vMerge w:val="continue"/>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c>
                <w:tcPr>
                  <w:tcW w:w="739" w:type="dxa"/>
                  <w:vMerge w:val="continue"/>
                  <w:tcBorders>
                    <w:bottom w:val="single" w:color="auto" w:sz="2" w:space="0"/>
                  </w:tcBorders>
                  <w:noWrap w:val="0"/>
                  <w:tcMar>
                    <w:left w:w="0" w:type="dxa"/>
                    <w:right w:w="0" w:type="dxa"/>
                  </w:tcMar>
                  <w:vAlign w:val="center"/>
                </w:tcPr>
                <w:p>
                  <w:pPr>
                    <w:widowControl/>
                    <w:jc w:val="center"/>
                    <w:rPr>
                      <w:rFonts w:hint="eastAsia" w:cs="Times New Roman"/>
                      <w:b w:val="0"/>
                      <w:bCs w:val="0"/>
                      <w:color w:val="auto"/>
                      <w:szCs w:val="21"/>
                      <w:highlight w:val="none"/>
                      <w:lang w:val="en-US" w:eastAsia="zh-CN"/>
                    </w:rPr>
                  </w:pPr>
                </w:p>
              </w:tc>
            </w:tr>
          </w:tbl>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建设项目设置的危废暂存场所应满足如下要求：</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I、贮存物质相容性要求：在常温常压下不水解、不挥发的固体危险废物可在贮存场所内分别堆放，除此之外的其他危险废物必须存放于容器中，存放用容器也需符合(GB18597-20</w:t>
            </w:r>
            <w:r>
              <w:rPr>
                <w:rFonts w:hint="eastAsia" w:ascii="Times New Roman" w:hAnsi="Times New Roman" w:eastAsia="宋体" w:cs="Times New Roman"/>
                <w:color w:val="auto"/>
                <w:sz w:val="24"/>
                <w:szCs w:val="21"/>
                <w:highlight w:val="none"/>
                <w:lang w:val="en-US" w:eastAsia="zh-CN"/>
              </w:rPr>
              <w:t>23</w:t>
            </w:r>
            <w:r>
              <w:rPr>
                <w:rFonts w:hint="eastAsia" w:ascii="Times New Roman" w:hAnsi="Times New Roman" w:eastAsia="宋体" w:cs="Times New Roman"/>
                <w:color w:val="auto"/>
                <w:sz w:val="24"/>
                <w:szCs w:val="21"/>
                <w:highlight w:val="none"/>
              </w:rPr>
              <w:t>)标准的相关规定；禁止将不相容(相互反应)的危险废物在同一容器中存放；无法装入常用容器的危险废物可用防漏胶袋等盛装。</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II、包装容器要求：危险废物贮存容器应当使用符合标准的容器盛装危险废物，装载危险废物的容器及材质要满足相应的强度要求，完好无损，盛装危险废物的容器材质和衬里要与危险废物相容。</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III、危险废物贮存场所要求：建设项目危废仓库拟按照《危险废物贮存污染控制标准》（GB18597-20</w:t>
            </w:r>
            <w:r>
              <w:rPr>
                <w:rFonts w:hint="eastAsia" w:ascii="Times New Roman" w:hAnsi="Times New Roman" w:eastAsia="宋体" w:cs="Times New Roman"/>
                <w:color w:val="auto"/>
                <w:sz w:val="24"/>
                <w:szCs w:val="21"/>
                <w:highlight w:val="none"/>
                <w:lang w:val="en-US" w:eastAsia="zh-CN"/>
              </w:rPr>
              <w:t>23</w:t>
            </w:r>
            <w:r>
              <w:rPr>
                <w:rFonts w:hint="eastAsia" w:ascii="Times New Roman" w:hAnsi="Times New Roman" w:eastAsia="宋体" w:cs="Times New Roman"/>
                <w:color w:val="auto"/>
                <w:sz w:val="24"/>
                <w:szCs w:val="21"/>
                <w:highlight w:val="none"/>
              </w:rPr>
              <w:t>）的相关要求建设：地面设置防渗层，配备通讯设备、照明设施、安全防护服装及工具，并设有应急防护设施；在危险废物仓库出入口、设施内部、危险废物运输车辆通道等关键位置按照危险废物贮存设施视频监控布设要求设置视频监控，并与中控室联网。对危险废物的容器和包装物以及收集、贮存、运输、处置危险废物的设施、场所，拟设置危险废物识别标志。</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危废贮存过程必须分类存放、贮存，并必须要做到防雨、防渗、防漏、防扬散、防流失及其他防止污染环境的措施，不得随意露天堆放，地面进行耐腐蚀硬化处理，地基须防渗，地面表面无裂缝；不相容的危险废物需分类存放，并设置隔离间隔断；具备警示标识等方面内容。</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IV、危险废物暂存管理要求：危废暂存间设立危险废物进出入台账登记管理制度，记录每次运送流程和处置去向，严格执行危险废物电子联单制度，实行对危险废物从源头到终端处理的全过程监管，确保危险废物100%得到安全处置。</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2）固废暂存间环境保护图形标志</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根据《省生态环境厅关于</w:t>
            </w:r>
            <w:r>
              <w:rPr>
                <w:rFonts w:hint="eastAsia" w:ascii="Times New Roman" w:hAnsi="Times New Roman" w:eastAsia="宋体" w:cs="Times New Roman"/>
                <w:color w:val="auto"/>
                <w:sz w:val="24"/>
                <w:szCs w:val="21"/>
                <w:highlight w:val="none"/>
                <w:lang w:val="en-US" w:eastAsia="zh-CN"/>
              </w:rPr>
              <w:t>印发《江苏省固体废弃物全过程环境监管工作意见》的通知</w:t>
            </w:r>
            <w:r>
              <w:rPr>
                <w:rFonts w:hint="eastAsia" w:ascii="Times New Roman" w:hAnsi="Times New Roman" w:eastAsia="宋体" w:cs="Times New Roman"/>
                <w:color w:val="auto"/>
                <w:sz w:val="24"/>
                <w:szCs w:val="21"/>
                <w:highlight w:val="none"/>
              </w:rPr>
              <w:t>》（苏环办〔20</w:t>
            </w:r>
            <w:r>
              <w:rPr>
                <w:rFonts w:hint="eastAsia" w:ascii="Times New Roman" w:hAnsi="Times New Roman" w:eastAsia="宋体" w:cs="Times New Roman"/>
                <w:color w:val="auto"/>
                <w:sz w:val="24"/>
                <w:szCs w:val="21"/>
                <w:highlight w:val="none"/>
                <w:lang w:val="en-US" w:eastAsia="zh-CN"/>
              </w:rPr>
              <w:t>24</w:t>
            </w:r>
            <w:r>
              <w:rPr>
                <w:rFonts w:hint="eastAsia" w:ascii="Times New Roman" w:hAnsi="Times New Roman" w:eastAsia="宋体" w:cs="Times New Roman"/>
                <w:color w:val="auto"/>
                <w:sz w:val="24"/>
                <w:szCs w:val="21"/>
                <w:highlight w:val="none"/>
              </w:rPr>
              <w:t>〕</w:t>
            </w:r>
            <w:r>
              <w:rPr>
                <w:rFonts w:hint="eastAsia" w:ascii="Times New Roman" w:hAnsi="Times New Roman" w:eastAsia="宋体" w:cs="Times New Roman"/>
                <w:color w:val="auto"/>
                <w:sz w:val="24"/>
                <w:szCs w:val="21"/>
                <w:highlight w:val="none"/>
                <w:lang w:val="en-US" w:eastAsia="zh-CN"/>
              </w:rPr>
              <w:t>16</w:t>
            </w:r>
            <w:r>
              <w:rPr>
                <w:rFonts w:hint="eastAsia" w:ascii="Times New Roman" w:hAnsi="Times New Roman" w:eastAsia="宋体" w:cs="Times New Roman"/>
                <w:color w:val="auto"/>
                <w:sz w:val="24"/>
                <w:szCs w:val="21"/>
                <w:highlight w:val="none"/>
              </w:rPr>
              <w:t>号）设置环境保护图形标志。</w:t>
            </w:r>
          </w:p>
          <w:p>
            <w:pPr>
              <w:adjustRightInd w:val="0"/>
              <w:snapToGrid w:val="0"/>
              <w:spacing w:line="360" w:lineRule="auto"/>
              <w:ind w:firstLine="482"/>
              <w:rPr>
                <w:rFonts w:hint="eastAsia" w:ascii="Times New Roman" w:hAnsi="Times New Roman" w:eastAsia="宋体" w:cs="Times New Roman"/>
                <w:b/>
                <w:color w:val="auto"/>
                <w:sz w:val="24"/>
                <w:szCs w:val="21"/>
                <w:highlight w:val="none"/>
                <w:lang w:eastAsia="zh-CN"/>
              </w:rPr>
            </w:pP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6</w:t>
            </w:r>
            <w:r>
              <w:rPr>
                <w:rFonts w:hint="eastAsia" w:ascii="Times New Roman" w:hAnsi="Times New Roman" w:eastAsia="宋体" w:cs="Times New Roman"/>
                <w:b/>
                <w:color w:val="auto"/>
                <w:sz w:val="24"/>
                <w:szCs w:val="21"/>
                <w:highlight w:val="none"/>
              </w:rPr>
              <w:t>）危险废物运输过程的环境影响分析</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危险废物委托资质单位进行运输，在运输过程中要采用专用的车辆，密闭运输，严格禁止跑冒滴漏，杜绝在运输过程中造成环境的二次污染，在危险废物的运输中执行《危险废物转移联单管理办法》中有关的规定和要求。</w:t>
            </w:r>
          </w:p>
          <w:p>
            <w:pPr>
              <w:adjustRightInd w:val="0"/>
              <w:snapToGrid w:val="0"/>
              <w:spacing w:line="360" w:lineRule="auto"/>
              <w:ind w:firstLine="482"/>
              <w:rPr>
                <w:rFonts w:hint="eastAsia" w:ascii="Times New Roman" w:hAnsi="Times New Roman" w:eastAsia="宋体" w:cs="Times New Roman"/>
                <w:b/>
                <w:color w:val="auto"/>
                <w:sz w:val="24"/>
                <w:szCs w:val="21"/>
                <w:highlight w:val="none"/>
                <w:lang w:eastAsia="zh-CN"/>
              </w:rPr>
            </w:pPr>
            <w:r>
              <w:rPr>
                <w:rFonts w:hint="eastAsia" w:ascii="Times New Roman" w:hAnsi="Times New Roman" w:eastAsia="宋体" w:cs="Times New Roman"/>
                <w:b/>
                <w:color w:val="auto"/>
                <w:sz w:val="24"/>
                <w:szCs w:val="21"/>
                <w:highlight w:val="none"/>
              </w:rPr>
              <w:t>（</w:t>
            </w:r>
            <w:r>
              <w:rPr>
                <w:rFonts w:hint="eastAsia" w:cs="Times New Roman"/>
                <w:b/>
                <w:color w:val="auto"/>
                <w:sz w:val="24"/>
                <w:szCs w:val="21"/>
                <w:highlight w:val="none"/>
                <w:lang w:val="en-US" w:eastAsia="zh-CN"/>
              </w:rPr>
              <w:t>7</w:t>
            </w:r>
            <w:r>
              <w:rPr>
                <w:rFonts w:hint="eastAsia" w:ascii="Times New Roman" w:hAnsi="Times New Roman" w:eastAsia="宋体" w:cs="Times New Roman"/>
                <w:b/>
                <w:color w:val="auto"/>
                <w:sz w:val="24"/>
                <w:szCs w:val="21"/>
                <w:highlight w:val="none"/>
              </w:rPr>
              <w:t>）危险废物环境风险评价</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按照《建设项目环境风险评价技术导则》（HJ169-2018），本项目的危险废物具有有毒有害危险性，一旦储存不当可导致危险废物泄漏，并有可能进入雨、污管网，随雨水进入河流，进而造成地表水的污染。一旦储存不当或遭遇明火，可能会发生火灾事件，会对环境和社会造成不利影响，严重时会引发人员伤亡。厂区发生火灾事故在燃烧中产生含有一氧化碳等有毒气体，对大气环境产生不利影响。另厂区发生泄漏以及火灾、爆炸事故也可能会导致有毒有害物质渗透入土壤中，造成土壤、地下水污染。</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主要影响如下：</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1）对环境空气的影响：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本项目无液态危险废物，产生的危险废物均是以密封袋包装贮存，有效减少挥发性物质对环境空气的影响。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2）对地表水的影响：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危废暂存场所具有防雨、防漏、防渗措施，当事故发生时，不会产生废液进入厂区雨水系统，对周边地表水产生不良影响。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3）对地下水的影响：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危险废物暂存场所应按照《危险废物贮存污染控制标准（GB18597-20</w:t>
            </w:r>
            <w:r>
              <w:rPr>
                <w:rFonts w:hint="eastAsia" w:ascii="Times New Roman" w:hAnsi="Times New Roman" w:eastAsia="宋体" w:cs="Times New Roman"/>
                <w:color w:val="auto"/>
                <w:sz w:val="24"/>
                <w:szCs w:val="21"/>
                <w:highlight w:val="none"/>
                <w:lang w:val="en-US" w:eastAsia="zh-CN"/>
              </w:rPr>
              <w:t>23</w:t>
            </w:r>
            <w:r>
              <w:rPr>
                <w:rFonts w:hint="eastAsia" w:ascii="Times New Roman" w:hAnsi="Times New Roman" w:eastAsia="宋体" w:cs="Times New Roman"/>
                <w:color w:val="auto"/>
                <w:sz w:val="24"/>
                <w:szCs w:val="21"/>
                <w:highlight w:val="none"/>
              </w:rPr>
              <w:t>）》要求，进行防腐、防渗，暂存场所地面铺设等效2mm厚高密度聚乙烯防渗层，渗透系数≤10</w:t>
            </w:r>
            <w:r>
              <w:rPr>
                <w:rFonts w:hint="eastAsia" w:ascii="Times New Roman" w:hAnsi="Times New Roman" w:eastAsia="宋体" w:cs="Times New Roman"/>
                <w:color w:val="auto"/>
                <w:sz w:val="24"/>
                <w:szCs w:val="21"/>
                <w:highlight w:val="none"/>
                <w:vertAlign w:val="superscript"/>
              </w:rPr>
              <w:t>-10</w:t>
            </w:r>
            <w:r>
              <w:rPr>
                <w:rFonts w:hint="eastAsia" w:ascii="Times New Roman" w:hAnsi="Times New Roman" w:eastAsia="宋体" w:cs="Times New Roman"/>
                <w:color w:val="auto"/>
                <w:sz w:val="24"/>
                <w:szCs w:val="21"/>
                <w:highlight w:val="none"/>
              </w:rPr>
              <w:t>cm/s。</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4）对环境敏感保护目标的影响：</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暂存的危险废物都按要求妥善保管，暂存场地地面按控制标准的要求做了防渗漏处理，一旦发生泄漏事故及时采取控制措施，环境风险水平在可控制范围内。综上，建设项目危废发生少量泄漏事件，可及时收集，能及时处置，影响不会扩散，能够控制厂区内，环境风险可接受。</w:t>
            </w:r>
          </w:p>
          <w:p>
            <w:pPr>
              <w:adjustRightInd w:val="0"/>
              <w:snapToGrid w:val="0"/>
              <w:spacing w:line="360" w:lineRule="auto"/>
              <w:ind w:firstLine="482"/>
              <w:rPr>
                <w:rFonts w:hint="eastAsia" w:ascii="Times New Roman" w:hAnsi="Times New Roman" w:eastAsia="宋体" w:cs="Times New Roman"/>
                <w:b/>
                <w:color w:val="auto"/>
                <w:sz w:val="24"/>
                <w:szCs w:val="21"/>
                <w:highlight w:val="none"/>
                <w:lang w:eastAsia="zh-CN"/>
              </w:rPr>
            </w:pP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9</w:t>
            </w:r>
            <w:r>
              <w:rPr>
                <w:rFonts w:hint="eastAsia" w:ascii="Times New Roman" w:hAnsi="Times New Roman" w:eastAsia="宋体" w:cs="Times New Roman"/>
                <w:b/>
                <w:color w:val="auto"/>
                <w:sz w:val="24"/>
                <w:szCs w:val="21"/>
                <w:highlight w:val="none"/>
              </w:rPr>
              <w:t>）环境管理</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针对本项目正常运行阶段所产生的危险废物的日常管理提出要求：</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1）履行申报登记制度；</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2）建立台账管理制度，企业须做好危险废物情况的记录，记录上需注明危险废物的名称、来源、数量、特性和包装容器的类别；</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3）委托处置应执行报批和转移联单等制度；</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4）定期对暂存的危险废物包装容器及贮存设施进行检查，及早发现破损，及时采取措施清理更换；</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5）直接从事收集、贮存、运输、利用、处置危险废物的人员，应当接受专业培训，经考核合格，方可从事该项工作。</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6）固废贮存（处置）场所规范化设置，固体废物贮存(处置)场所应在醒目处设置标志牌。</w:t>
            </w:r>
          </w:p>
          <w:p>
            <w:pPr>
              <w:adjustRightInd w:val="0"/>
              <w:snapToGrid w:val="0"/>
              <w:spacing w:line="360" w:lineRule="auto"/>
              <w:ind w:firstLine="480"/>
              <w:rPr>
                <w:rFonts w:hint="eastAsia" w:ascii="Times New Roman" w:hAnsi="Times New Roman" w:eastAsia="宋体" w:cs="Times New Roman"/>
                <w:color w:val="auto"/>
                <w:sz w:val="24"/>
                <w:szCs w:val="21"/>
                <w:highlight w:val="none"/>
                <w:lang w:eastAsia="zh-CN"/>
              </w:rPr>
            </w:pPr>
            <w:r>
              <w:rPr>
                <w:rFonts w:hint="eastAsia" w:ascii="Times New Roman" w:hAnsi="Times New Roman" w:eastAsia="宋体" w:cs="Times New Roman"/>
                <w:color w:val="auto"/>
                <w:sz w:val="24"/>
                <w:szCs w:val="21"/>
                <w:highlight w:val="none"/>
              </w:rPr>
              <w:t>7）危废应根据其化学特性选择合适的容器和存放地点，通过密闭容器存放，不可混合贮存，容器标签必须标明废物种类、贮存时间，定期处理。</w:t>
            </w:r>
          </w:p>
          <w:p>
            <w:pPr>
              <w:adjustRightInd w:val="0"/>
              <w:snapToGrid w:val="0"/>
              <w:spacing w:line="360" w:lineRule="auto"/>
              <w:ind w:firstLine="480"/>
              <w:rPr>
                <w:bCs/>
                <w:color w:val="auto"/>
                <w:spacing w:val="-10"/>
                <w:szCs w:val="21"/>
              </w:rPr>
            </w:pPr>
            <w:r>
              <w:rPr>
                <w:rFonts w:hint="eastAsia" w:ascii="Times New Roman" w:hAnsi="Times New Roman" w:eastAsia="宋体" w:cs="Times New Roman"/>
                <w:color w:val="auto"/>
                <w:sz w:val="24"/>
                <w:szCs w:val="21"/>
                <w:highlight w:val="none"/>
              </w:rPr>
              <w:t>8）危险废物产生单位在关键位置设置在线视频监控，企业应指定专人专职维护视频监控设施运行，定期巡视并做好相应的监控运行、维修、使用记录，保持摄像头表面整洁干净、监控拍摄位置正确、监控设施完好无损，确保视频传输图像清晰、监控设备正常稳定运行。</w:t>
            </w:r>
          </w:p>
          <w:p>
            <w:pPr>
              <w:adjustRightInd w:val="0"/>
              <w:snapToGrid w:val="0"/>
              <w:spacing w:line="360" w:lineRule="auto"/>
              <w:ind w:firstLine="482"/>
              <w:rPr>
                <w:rFonts w:hint="eastAsia" w:ascii="Times New Roman" w:hAnsi="Times New Roman" w:eastAsia="宋体" w:cs="Times New Roman"/>
                <w:b/>
                <w:color w:val="auto"/>
                <w:sz w:val="24"/>
                <w:szCs w:val="21"/>
                <w:highlight w:val="none"/>
                <w:lang w:eastAsia="zh-CN"/>
              </w:rPr>
            </w:pPr>
            <w:r>
              <w:rPr>
                <w:rFonts w:hint="eastAsia" w:ascii="Times New Roman" w:hAnsi="Times New Roman" w:eastAsia="宋体" w:cs="Times New Roman"/>
                <w:b/>
                <w:color w:val="auto"/>
                <w:sz w:val="24"/>
                <w:szCs w:val="21"/>
                <w:highlight w:val="none"/>
              </w:rPr>
              <w:t>（</w:t>
            </w:r>
            <w:r>
              <w:rPr>
                <w:rFonts w:hint="eastAsia" w:cs="Times New Roman"/>
                <w:b/>
                <w:color w:val="auto"/>
                <w:sz w:val="24"/>
                <w:szCs w:val="21"/>
                <w:highlight w:val="none"/>
                <w:lang w:val="en-US" w:eastAsia="zh-CN"/>
              </w:rPr>
              <w:t>9</w:t>
            </w:r>
            <w:r>
              <w:rPr>
                <w:rFonts w:hint="eastAsia" w:ascii="Times New Roman" w:hAnsi="Times New Roman" w:eastAsia="宋体" w:cs="Times New Roman"/>
                <w:b/>
                <w:color w:val="auto"/>
                <w:sz w:val="24"/>
                <w:szCs w:val="21"/>
                <w:highlight w:val="none"/>
              </w:rPr>
              <w:t>）与苏环办〔20</w:t>
            </w:r>
            <w:r>
              <w:rPr>
                <w:rFonts w:hint="eastAsia" w:ascii="Times New Roman" w:hAnsi="Times New Roman" w:eastAsia="宋体" w:cs="Times New Roman"/>
                <w:b/>
                <w:color w:val="auto"/>
                <w:sz w:val="24"/>
                <w:szCs w:val="21"/>
                <w:highlight w:val="none"/>
                <w:lang w:val="en-US" w:eastAsia="zh-CN"/>
              </w:rPr>
              <w:t>24</w:t>
            </w:r>
            <w:r>
              <w:rPr>
                <w:rFonts w:hint="eastAsia" w:ascii="Times New Roman" w:hAnsi="Times New Roman" w:eastAsia="宋体" w:cs="Times New Roman"/>
                <w:b/>
                <w:color w:val="auto"/>
                <w:sz w:val="24"/>
                <w:szCs w:val="21"/>
                <w:highlight w:val="none"/>
              </w:rPr>
              <w:t>〕</w:t>
            </w:r>
            <w:r>
              <w:rPr>
                <w:rFonts w:hint="eastAsia" w:ascii="Times New Roman" w:hAnsi="Times New Roman" w:eastAsia="宋体" w:cs="Times New Roman"/>
                <w:b/>
                <w:color w:val="auto"/>
                <w:sz w:val="24"/>
                <w:szCs w:val="21"/>
                <w:highlight w:val="none"/>
                <w:lang w:val="en-US" w:eastAsia="zh-CN"/>
              </w:rPr>
              <w:t>16</w:t>
            </w:r>
            <w:r>
              <w:rPr>
                <w:rFonts w:hint="eastAsia" w:ascii="Times New Roman" w:hAnsi="Times New Roman" w:eastAsia="宋体" w:cs="Times New Roman"/>
                <w:b/>
                <w:color w:val="auto"/>
                <w:sz w:val="24"/>
                <w:szCs w:val="21"/>
                <w:highlight w:val="none"/>
              </w:rPr>
              <w:t>号相符性分析</w:t>
            </w:r>
          </w:p>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与《省生态环境厅关于</w:t>
            </w:r>
            <w:r>
              <w:rPr>
                <w:rFonts w:hint="eastAsia" w:ascii="Times New Roman" w:hAnsi="Times New Roman" w:eastAsia="宋体" w:cs="Times New Roman"/>
                <w:color w:val="auto"/>
                <w:sz w:val="24"/>
                <w:szCs w:val="21"/>
                <w:highlight w:val="none"/>
                <w:lang w:eastAsia="zh-CN"/>
              </w:rPr>
              <w:t>《</w:t>
            </w:r>
            <w:r>
              <w:rPr>
                <w:rFonts w:hint="eastAsia" w:ascii="Times New Roman" w:hAnsi="Times New Roman" w:eastAsia="宋体" w:cs="Times New Roman"/>
                <w:color w:val="auto"/>
                <w:sz w:val="24"/>
                <w:szCs w:val="21"/>
                <w:highlight w:val="none"/>
                <w:lang w:val="en-US" w:eastAsia="zh-CN"/>
              </w:rPr>
              <w:t>江苏省固体废物全过程环境监管工作意见</w:t>
            </w:r>
            <w:r>
              <w:rPr>
                <w:rFonts w:hint="eastAsia" w:ascii="Times New Roman" w:hAnsi="Times New Roman" w:eastAsia="宋体" w:cs="Times New Roman"/>
                <w:color w:val="auto"/>
                <w:sz w:val="24"/>
                <w:szCs w:val="21"/>
                <w:highlight w:val="none"/>
                <w:lang w:eastAsia="zh-CN"/>
              </w:rPr>
              <w:t>》</w:t>
            </w:r>
            <w:r>
              <w:rPr>
                <w:rFonts w:hint="eastAsia" w:ascii="Times New Roman" w:hAnsi="Times New Roman" w:eastAsia="宋体" w:cs="Times New Roman"/>
                <w:color w:val="auto"/>
                <w:sz w:val="24"/>
                <w:szCs w:val="21"/>
                <w:highlight w:val="none"/>
              </w:rPr>
              <w:t>》（苏环办〔</w:t>
            </w:r>
            <w:r>
              <w:rPr>
                <w:rFonts w:hint="eastAsia" w:ascii="Times New Roman" w:hAnsi="Times New Roman" w:eastAsia="宋体" w:cs="Times New Roman"/>
                <w:color w:val="auto"/>
                <w:sz w:val="24"/>
                <w:szCs w:val="21"/>
                <w:highlight w:val="none"/>
                <w:lang w:val="en-US" w:eastAsia="zh-CN"/>
              </w:rPr>
              <w:t>2024</w:t>
            </w:r>
            <w:r>
              <w:rPr>
                <w:rFonts w:hint="eastAsia" w:ascii="Times New Roman" w:hAnsi="Times New Roman" w:eastAsia="宋体" w:cs="Times New Roman"/>
                <w:color w:val="auto"/>
                <w:sz w:val="24"/>
                <w:szCs w:val="21"/>
                <w:highlight w:val="none"/>
              </w:rPr>
              <w:t>〕</w:t>
            </w:r>
            <w:r>
              <w:rPr>
                <w:rFonts w:hint="eastAsia" w:ascii="Times New Roman" w:hAnsi="Times New Roman" w:eastAsia="宋体" w:cs="Times New Roman"/>
                <w:color w:val="auto"/>
                <w:sz w:val="24"/>
                <w:szCs w:val="21"/>
                <w:highlight w:val="none"/>
                <w:lang w:val="en-US" w:eastAsia="zh-CN"/>
              </w:rPr>
              <w:t>16</w:t>
            </w:r>
            <w:r>
              <w:rPr>
                <w:rFonts w:hint="eastAsia" w:ascii="Times New Roman" w:hAnsi="Times New Roman" w:eastAsia="宋体" w:cs="Times New Roman"/>
                <w:color w:val="auto"/>
                <w:sz w:val="24"/>
                <w:szCs w:val="21"/>
                <w:highlight w:val="none"/>
              </w:rPr>
              <w:t>号）相符性分析详见下表。</w:t>
            </w:r>
          </w:p>
          <w:p>
            <w:pPr>
              <w:jc w:val="center"/>
              <w:rPr>
                <w:rFonts w:hint="eastAsia" w:ascii="Times New Roman" w:hAnsi="Times New Roman" w:cs="Times New Roman"/>
                <w:b/>
                <w:bCs/>
                <w:color w:val="auto"/>
                <w:sz w:val="24"/>
                <w:szCs w:val="32"/>
                <w:highlight w:val="none"/>
                <w:lang w:val="en-US" w:eastAsia="zh-CN"/>
              </w:rPr>
            </w:pPr>
            <w:r>
              <w:rPr>
                <w:rFonts w:hint="eastAsia" w:ascii="Times New Roman" w:hAnsi="Times New Roman" w:cs="Times New Roman"/>
                <w:b/>
                <w:bCs/>
                <w:color w:val="auto"/>
                <w:sz w:val="24"/>
                <w:szCs w:val="32"/>
                <w:highlight w:val="none"/>
                <w:lang w:val="en-US" w:eastAsia="zh-CN"/>
              </w:rPr>
              <w:t>表4.4-6与苏环办[2024]16号文相符性分析</w:t>
            </w:r>
          </w:p>
          <w:tbl>
            <w:tblPr>
              <w:tblStyle w:val="25"/>
              <w:tblW w:w="8524"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
            <w:tblGrid>
              <w:gridCol w:w="496"/>
              <w:gridCol w:w="5015"/>
              <w:gridCol w:w="2371"/>
              <w:gridCol w:w="64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Ex>
              <w:trPr>
                <w:jc w:val="center"/>
              </w:trPr>
              <w:tc>
                <w:tcPr>
                  <w:tcW w:w="496" w:type="dxa"/>
                  <w:noWrap w:val="0"/>
                  <w:tcMar>
                    <w:left w:w="113" w:type="dxa"/>
                    <w:right w:w="113"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序号</w:t>
                  </w:r>
                </w:p>
              </w:tc>
              <w:tc>
                <w:tcPr>
                  <w:tcW w:w="5015" w:type="dxa"/>
                  <w:noWrap w:val="0"/>
                  <w:tcMar>
                    <w:left w:w="113" w:type="dxa"/>
                    <w:right w:w="113"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文件规定要求</w:t>
                  </w:r>
                </w:p>
              </w:tc>
              <w:tc>
                <w:tcPr>
                  <w:tcW w:w="2371" w:type="dxa"/>
                  <w:noWrap w:val="0"/>
                  <w:tcMar>
                    <w:left w:w="113" w:type="dxa"/>
                    <w:right w:w="113"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拟实施情况</w:t>
                  </w:r>
                </w:p>
              </w:tc>
              <w:tc>
                <w:tcPr>
                  <w:tcW w:w="642" w:type="dxa"/>
                  <w:noWrap w:val="0"/>
                  <w:tcMar>
                    <w:left w:w="113" w:type="dxa"/>
                    <w:right w:w="113" w:type="dxa"/>
                  </w:tcMar>
                  <w:vAlign w:val="center"/>
                </w:tcPr>
                <w:p>
                  <w:pPr>
                    <w:widowControl/>
                    <w:jc w:val="center"/>
                    <w:rPr>
                      <w:rFonts w:hint="eastAsia" w:cs="Times New Roman"/>
                      <w:b/>
                      <w:bCs/>
                      <w:color w:val="auto"/>
                      <w:szCs w:val="21"/>
                      <w:highlight w:val="none"/>
                      <w:lang w:val="en-US" w:eastAsia="zh-CN"/>
                    </w:rPr>
                  </w:pPr>
                  <w:r>
                    <w:rPr>
                      <w:rFonts w:hint="eastAsia" w:cs="Times New Roman"/>
                      <w:b/>
                      <w:bCs/>
                      <w:color w:val="auto"/>
                      <w:szCs w:val="21"/>
                      <w:highlight w:val="none"/>
                      <w:lang w:val="en-US" w:eastAsia="zh-CN"/>
                    </w:rPr>
                    <w:t>备注</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Ex>
              <w:trPr>
                <w:jc w:val="center"/>
              </w:trPr>
              <w:tc>
                <w:tcPr>
                  <w:tcW w:w="496"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1</w:t>
                  </w:r>
                </w:p>
              </w:tc>
              <w:tc>
                <w:tcPr>
                  <w:tcW w:w="5015"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规范项目环评审批。建设项目环评要评价产生的固体废物种类、数量、来源和属性，论述贮存、转移和利用处置方式合规性、合理性，提出切实可行的污染防治对策措施。所有产物要按照以下五类属性给予明确并规范表述：目标产物(产品、副产品)、鉴别属于产品(符合国家、地方或行业标准)、可定向用于特定用途按产品管理(如符合团体标准)、一般固体废物和危险废物。不得将不符合GB34330、HJ1091等标准的产物认定为“再生产品”，不得出现“中间产物”“再生产物”等不规范表述，严禁以“副产品”名义逃避监管。不能排除危险特性的固体废物，须在环评文件中明确具体鉴别方案，鉴别前按危险废物管理，鉴别后根据结论按一般固废或危险废物管理</w:t>
                  </w:r>
                </w:p>
              </w:tc>
              <w:tc>
                <w:tcPr>
                  <w:tcW w:w="2371"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建设项目所有危险废物均采用密封包装储存于危废仓库中，本项目严格执行危险废物转移制度，建立电子档案，做好危废相关的手续及存档。本项目危险废物均交由有资质单位处置。</w:t>
                  </w:r>
                </w:p>
              </w:tc>
              <w:tc>
                <w:tcPr>
                  <w:tcW w:w="642"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Ex>
              <w:trPr>
                <w:jc w:val="center"/>
              </w:trPr>
              <w:tc>
                <w:tcPr>
                  <w:tcW w:w="496"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2</w:t>
                  </w:r>
                </w:p>
              </w:tc>
              <w:tc>
                <w:tcPr>
                  <w:tcW w:w="5015"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规范贮存管理要求。根据《危险废物贮存污染控制标准》(GB18597-2023)，企业可根据实际情况选择采用危险废物贮存设施或贮存点两类方式进行贮存，符合相应的污染控制标准；不具备建设贮存设施条件、选用贮存点方式的，除符合国家关于贮存点控制要求外，还要执行《江苏省危险废物集中收集体系建设工作方案(试行)》(苏环办〔2021〕290号)中关于贮存周期和贮存量的要求，I级、Ⅱ级、Ⅲ级危险废物贮存时间分别不得超过30天、60天、90天，最大贮存量不得超过1吨</w:t>
                  </w:r>
                </w:p>
              </w:tc>
              <w:tc>
                <w:tcPr>
                  <w:tcW w:w="2371" w:type="dxa"/>
                  <w:noWrap w:val="0"/>
                  <w:tcMar>
                    <w:left w:w="113" w:type="dxa"/>
                    <w:right w:w="113" w:type="dxa"/>
                  </w:tcMar>
                  <w:vAlign w:val="center"/>
                </w:tcPr>
                <w:p>
                  <w:pPr>
                    <w:widowControl/>
                    <w:jc w:val="center"/>
                    <w:rPr>
                      <w:rFonts w:hint="default"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建设项目所有危险废物均采用密封包装储存，危废仓库各类危废分区、分类贮存。</w:t>
                  </w:r>
                </w:p>
              </w:tc>
              <w:tc>
                <w:tcPr>
                  <w:tcW w:w="642"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Ex>
              <w:trPr>
                <w:jc w:val="center"/>
              </w:trPr>
              <w:tc>
                <w:tcPr>
                  <w:tcW w:w="496"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3</w:t>
                  </w:r>
                </w:p>
              </w:tc>
              <w:tc>
                <w:tcPr>
                  <w:tcW w:w="5015"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强化转移过程管理。全面落实危险废物转移电子联单制度，实行省内全域扫描“二维码”转移。加强与危险货物道路运输电子运单数据共享，实现运输轨迹可溯可查。危险废物产生单位须依法核实经营单位主体资格和技术能力，直接签订委托合同，并向经营单位</w:t>
                  </w:r>
                  <w:bookmarkStart w:id="117" w:name="_GoBack"/>
                  <w:bookmarkEnd w:id="117"/>
                  <w:r>
                    <w:rPr>
                      <w:rFonts w:hint="eastAsia" w:cs="Times New Roman"/>
                      <w:b w:val="0"/>
                      <w:bCs w:val="0"/>
                      <w:color w:val="auto"/>
                      <w:szCs w:val="21"/>
                      <w:highlight w:val="none"/>
                      <w:lang w:val="en-US" w:eastAsia="zh-CN"/>
                    </w:rPr>
                    <w:t>提供相关危险废物产生工艺、具体成分，以及是否易燃易爆等信息，违法委托的，应当与造成环境污染和生态破坏的受托方承担连带责任；经营单位须按合同及包装物扫码签收危险废物，签收人、车辆信息等须拍照上传至系统，严禁“空转”二维码。积极推行一般工业固体废物转移电子联单制度，优先选择环境风险较大的污泥、矿渣等固体废物试行</w:t>
                  </w:r>
                </w:p>
              </w:tc>
              <w:tc>
                <w:tcPr>
                  <w:tcW w:w="2371"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本项目在日常的运营管理过程中，严格执行危险废物转移电子联单制度。</w:t>
                  </w:r>
                </w:p>
              </w:tc>
              <w:tc>
                <w:tcPr>
                  <w:tcW w:w="642"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符合</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85" w:type="dxa"/>
                  <w:bottom w:w="0" w:type="dxa"/>
                  <w:right w:w="85" w:type="dxa"/>
                </w:tblCellMar>
              </w:tblPrEx>
              <w:trPr>
                <w:jc w:val="center"/>
              </w:trPr>
              <w:tc>
                <w:tcPr>
                  <w:tcW w:w="496"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4</w:t>
                  </w:r>
                </w:p>
              </w:tc>
              <w:tc>
                <w:tcPr>
                  <w:tcW w:w="5015"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落实信息公开制度。危险废物环境重点监管单位要在出入口、设施内部、危险废物运输车辆通道等关键位置设置视频监控并与中控室联网，通过设立公开栏、标志牌等方式，主动公开危险废物产生和利用处置等有关信息。集中焚烧处置单位及有自建危废焚烧处置设施的单位要依法及时公开二燃室温度等工况运行指标以及污染物排放指标、浓度等有关信息，并联网至属地生态环境部门</w:t>
                  </w:r>
                </w:p>
              </w:tc>
              <w:tc>
                <w:tcPr>
                  <w:tcW w:w="2371"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本项目不属于危险废物环境重点监管单位。</w:t>
                  </w:r>
                </w:p>
              </w:tc>
              <w:tc>
                <w:tcPr>
                  <w:tcW w:w="642" w:type="dxa"/>
                  <w:noWrap w:val="0"/>
                  <w:tcMar>
                    <w:left w:w="113" w:type="dxa"/>
                    <w:right w:w="113" w:type="dxa"/>
                  </w:tcMar>
                  <w:vAlign w:val="center"/>
                </w:tcPr>
                <w:p>
                  <w:pPr>
                    <w:widowControl/>
                    <w:jc w:val="center"/>
                    <w:rPr>
                      <w:rFonts w:hint="eastAsia" w:cs="Times New Roman"/>
                      <w:b w:val="0"/>
                      <w:bCs w:val="0"/>
                      <w:color w:val="auto"/>
                      <w:szCs w:val="21"/>
                      <w:highlight w:val="none"/>
                      <w:lang w:val="en-US" w:eastAsia="zh-CN"/>
                    </w:rPr>
                  </w:pPr>
                  <w:r>
                    <w:rPr>
                      <w:rFonts w:hint="eastAsia" w:cs="Times New Roman"/>
                      <w:b w:val="0"/>
                      <w:bCs w:val="0"/>
                      <w:color w:val="auto"/>
                      <w:szCs w:val="21"/>
                      <w:highlight w:val="none"/>
                      <w:lang w:val="en-US" w:eastAsia="zh-CN"/>
                    </w:rPr>
                    <w:t>符合</w:t>
                  </w:r>
                </w:p>
              </w:tc>
            </w:tr>
          </w:tbl>
          <w:p>
            <w:pPr>
              <w:adjustRightInd w:val="0"/>
              <w:snapToGri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综上所述，建设项目产生的固废经上述措施均可得到有效处置，不会造成二次污染，对周边环境影响较小，固废处理措施是可行的。</w:t>
            </w:r>
          </w:p>
          <w:p>
            <w:pPr>
              <w:adjustRightInd w:val="0"/>
              <w:snapToGrid w:val="0"/>
              <w:spacing w:line="360" w:lineRule="auto"/>
              <w:ind w:firstLine="480"/>
              <w:jc w:val="left"/>
              <w:rPr>
                <w:rFonts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1"/>
                <w:highlight w:val="none"/>
              </w:rPr>
              <w:t>五、土壤、地下水环境影响分析</w:t>
            </w:r>
          </w:p>
          <w:p>
            <w:pPr>
              <w:adjustRightInd w:val="0"/>
              <w:snapToGrid w:val="0"/>
              <w:spacing w:line="360" w:lineRule="auto"/>
              <w:ind w:firstLine="480"/>
              <w:rPr>
                <w:rFonts w:ascii="Times New Roman" w:hAnsi="Times New Roman" w:eastAsia="宋体" w:cs="Times New Roman"/>
                <w:b/>
                <w:bCs/>
                <w:color w:val="auto"/>
                <w:sz w:val="24"/>
                <w:szCs w:val="21"/>
                <w:highlight w:val="none"/>
              </w:rPr>
            </w:pPr>
            <w:r>
              <w:rPr>
                <w:rFonts w:ascii="Times New Roman" w:hAnsi="Times New Roman" w:eastAsia="宋体" w:cs="Times New Roman"/>
                <w:b/>
                <w:bCs/>
                <w:color w:val="auto"/>
                <w:sz w:val="24"/>
                <w:szCs w:val="21"/>
                <w:highlight w:val="none"/>
              </w:rPr>
              <w:t>1</w:t>
            </w:r>
            <w:r>
              <w:rPr>
                <w:rFonts w:hint="eastAsia" w:ascii="Times New Roman" w:hAnsi="Times New Roman" w:eastAsia="宋体" w:cs="Times New Roman"/>
                <w:b/>
                <w:bCs/>
                <w:color w:val="auto"/>
                <w:sz w:val="24"/>
                <w:szCs w:val="21"/>
                <w:highlight w:val="none"/>
              </w:rPr>
              <w:t>、土壤及地下水污染源分析</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本项目运营期土壤污染主要影响源</w:t>
            </w:r>
            <w:r>
              <w:rPr>
                <w:rFonts w:hint="eastAsia" w:cs="Times New Roman"/>
                <w:color w:val="auto"/>
                <w:sz w:val="24"/>
                <w:szCs w:val="21"/>
                <w:highlight w:val="none"/>
                <w:lang w:eastAsia="zh-CN"/>
              </w:rPr>
              <w:t>来自</w:t>
            </w:r>
            <w:r>
              <w:rPr>
                <w:rFonts w:hint="eastAsia" w:ascii="Times New Roman" w:hAnsi="Times New Roman" w:eastAsia="宋体" w:cs="Times New Roman"/>
                <w:color w:val="auto"/>
                <w:sz w:val="24"/>
                <w:szCs w:val="21"/>
                <w:highlight w:val="none"/>
              </w:rPr>
              <w:t>垂直入渗，同时涉及部分大气沉降影响；地下水污染主要影响源</w:t>
            </w:r>
            <w:r>
              <w:rPr>
                <w:rFonts w:hint="eastAsia" w:cs="Times New Roman"/>
                <w:color w:val="auto"/>
                <w:sz w:val="24"/>
                <w:szCs w:val="21"/>
                <w:highlight w:val="none"/>
                <w:lang w:eastAsia="zh-CN"/>
              </w:rPr>
              <w:t>来自</w:t>
            </w:r>
            <w:r>
              <w:rPr>
                <w:rFonts w:hint="eastAsia" w:ascii="Times New Roman" w:hAnsi="Times New Roman" w:eastAsia="宋体" w:cs="Times New Roman"/>
                <w:color w:val="auto"/>
                <w:sz w:val="24"/>
                <w:szCs w:val="21"/>
                <w:highlight w:val="none"/>
              </w:rPr>
              <w:t>泄漏。</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主要涉及的特征污染物不涉及土壤重点污染物（镉、汞、砷、铅、铬（六价）、铜、镍、石油烃）。本项目大气沉降主要是生产中产生的挥发性有机物等，排放量较小且均经废气处理后达标排放，基本不会对土壤产生明显的污染，不会改变土壤的环境质量；本项目</w:t>
            </w:r>
            <w:r>
              <w:rPr>
                <w:rFonts w:hint="eastAsia" w:cs="Times New Roman"/>
                <w:color w:val="auto"/>
                <w:sz w:val="24"/>
                <w:szCs w:val="21"/>
                <w:highlight w:val="none"/>
                <w:lang w:val="en-US" w:eastAsia="zh-CN"/>
              </w:rPr>
              <w:t>危废堆场</w:t>
            </w:r>
            <w:r>
              <w:rPr>
                <w:rFonts w:hint="eastAsia" w:ascii="Times New Roman" w:hAnsi="Times New Roman" w:eastAsia="宋体" w:cs="Times New Roman"/>
                <w:color w:val="auto"/>
                <w:sz w:val="24"/>
                <w:szCs w:val="21"/>
                <w:highlight w:val="none"/>
              </w:rPr>
              <w:t>可能会造成下渗及泄漏影响，项目垂直入渗的污染源主要为</w:t>
            </w:r>
            <w:r>
              <w:rPr>
                <w:rFonts w:hint="eastAsia" w:cs="Times New Roman"/>
                <w:color w:val="auto"/>
                <w:sz w:val="24"/>
                <w:szCs w:val="21"/>
                <w:highlight w:val="none"/>
                <w:lang w:val="en-US" w:eastAsia="zh-CN"/>
              </w:rPr>
              <w:t>废机油油</w:t>
            </w:r>
            <w:r>
              <w:rPr>
                <w:rFonts w:hint="eastAsia" w:ascii="Times New Roman" w:hAnsi="Times New Roman" w:eastAsia="宋体" w:cs="Times New Roman"/>
                <w:color w:val="auto"/>
                <w:sz w:val="24"/>
                <w:szCs w:val="21"/>
                <w:highlight w:val="none"/>
                <w:lang w:val="en-US" w:eastAsia="zh-CN"/>
              </w:rPr>
              <w:t>、废活性炭</w:t>
            </w:r>
            <w:r>
              <w:rPr>
                <w:rFonts w:hint="eastAsia" w:ascii="Times New Roman" w:hAnsi="Times New Roman" w:eastAsia="宋体" w:cs="Times New Roman"/>
                <w:color w:val="auto"/>
                <w:sz w:val="24"/>
                <w:szCs w:val="21"/>
                <w:highlight w:val="none"/>
              </w:rPr>
              <w:t>等，但不涉及土壤重点污染物。</w:t>
            </w:r>
          </w:p>
          <w:p>
            <w:pPr>
              <w:adjustRightInd w:val="0"/>
              <w:snapToGrid w:val="0"/>
              <w:spacing w:line="360" w:lineRule="auto"/>
              <w:ind w:firstLine="480"/>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2、土壤及地下水污染防治措施</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（1）土壤</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建设单位需采取以下措施防治土壤污染：</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①厂区主要生产、生活区域，地面实施硬化处理；</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②厂区输水管道特别是污水管道均实施防渗处理，贮存区、</w:t>
            </w:r>
            <w:r>
              <w:rPr>
                <w:rFonts w:hint="eastAsia" w:cs="Times New Roman"/>
                <w:color w:val="auto"/>
                <w:sz w:val="24"/>
                <w:szCs w:val="21"/>
                <w:highlight w:val="none"/>
                <w:lang w:eastAsia="zh-CN"/>
              </w:rPr>
              <w:t>危废堆场</w:t>
            </w:r>
            <w:r>
              <w:rPr>
                <w:rFonts w:hint="eastAsia" w:ascii="Times New Roman" w:hAnsi="Times New Roman" w:eastAsia="宋体" w:cs="Times New Roman"/>
                <w:color w:val="auto"/>
                <w:sz w:val="24"/>
                <w:szCs w:val="21"/>
                <w:highlight w:val="none"/>
              </w:rPr>
              <w:t>等周围均设防渗处理及防腐地沟；</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③各类固废在产生、收集和运输过程中应采取有效的措施防止固废散失，危险废物暂存场所按《省生态环境厅关于印发江苏省危险废物贮存规范化管理专项整治行动方案的通知》（苏环办〔2019〕149号）和《危险废物贮存污染控制标准》（</w:t>
            </w:r>
            <w:r>
              <w:rPr>
                <w:rFonts w:hint="eastAsia" w:ascii="Times New Roman" w:hAnsi="Times New Roman" w:eastAsia="宋体" w:cs="Times New Roman"/>
                <w:color w:val="auto"/>
                <w:sz w:val="24"/>
                <w:szCs w:val="21"/>
                <w:highlight w:val="none"/>
                <w:lang w:eastAsia="zh-CN"/>
              </w:rPr>
              <w:t>GB18597-2023</w:t>
            </w:r>
            <w:r>
              <w:rPr>
                <w:rFonts w:hint="eastAsia" w:ascii="Times New Roman" w:hAnsi="Times New Roman" w:eastAsia="宋体" w:cs="Times New Roman"/>
                <w:color w:val="auto"/>
                <w:sz w:val="24"/>
                <w:szCs w:val="21"/>
                <w:highlight w:val="none"/>
              </w:rPr>
              <w:t>）的要求设置防漏、防渗措施，其中危险废物暂存区设置防渗层，防渗层为至少1米厚粘土层（渗透系数≤10</w:t>
            </w:r>
            <w:r>
              <w:rPr>
                <w:rFonts w:hint="eastAsia" w:cs="Times New Roman"/>
                <w:color w:val="auto"/>
                <w:sz w:val="24"/>
                <w:szCs w:val="21"/>
                <w:highlight w:val="none"/>
                <w:lang w:eastAsia="zh-CN"/>
              </w:rPr>
              <w:t>—</w:t>
            </w:r>
            <w:r>
              <w:rPr>
                <w:rFonts w:hint="eastAsia" w:ascii="Times New Roman" w:hAnsi="Times New Roman" w:eastAsia="宋体" w:cs="Times New Roman"/>
                <w:color w:val="auto"/>
                <w:sz w:val="24"/>
                <w:szCs w:val="21"/>
                <w:highlight w:val="none"/>
                <w:vertAlign w:val="superscript"/>
              </w:rPr>
              <w:t>7</w:t>
            </w:r>
            <w:r>
              <w:rPr>
                <w:rFonts w:hint="eastAsia" w:ascii="Times New Roman" w:hAnsi="Times New Roman" w:eastAsia="宋体" w:cs="Times New Roman"/>
                <w:color w:val="auto"/>
                <w:sz w:val="24"/>
                <w:szCs w:val="21"/>
                <w:highlight w:val="none"/>
              </w:rPr>
              <w:t>厘米/秒），或2毫米厚高密度聚乙烯，或至少2毫米厚的其它人工材料，渗透系数≤10</w:t>
            </w:r>
            <w:r>
              <w:rPr>
                <w:rFonts w:hint="eastAsia" w:cs="Times New Roman"/>
                <w:color w:val="auto"/>
                <w:sz w:val="24"/>
                <w:szCs w:val="21"/>
                <w:highlight w:val="none"/>
                <w:lang w:eastAsia="zh-CN"/>
              </w:rPr>
              <w:t>—</w:t>
            </w:r>
            <w:r>
              <w:rPr>
                <w:rFonts w:hint="eastAsia" w:ascii="Times New Roman" w:hAnsi="Times New Roman" w:eastAsia="宋体" w:cs="Times New Roman"/>
                <w:color w:val="auto"/>
                <w:sz w:val="24"/>
                <w:szCs w:val="21"/>
                <w:highlight w:val="none"/>
                <w:vertAlign w:val="superscript"/>
              </w:rPr>
              <w:t>10</w:t>
            </w:r>
            <w:r>
              <w:rPr>
                <w:rFonts w:hint="eastAsia" w:ascii="Times New Roman" w:hAnsi="Times New Roman" w:eastAsia="宋体" w:cs="Times New Roman"/>
                <w:color w:val="auto"/>
                <w:sz w:val="24"/>
                <w:szCs w:val="21"/>
                <w:highlight w:val="none"/>
              </w:rPr>
              <w:t>厘米/秒。同时危险废物堆场防风、防雨、防晒，避免危废渗漏污染土壤。</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企业采取以上污染防治措施，建设项目对周围土壤环境影响可得到有效控制。</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（2）地下水</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建设单位需采取以下措施防治地下水污染：</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①各类固废在产生、收集和运输过程中应采取有效的措施防止固废散失，危险废物暂存场所按《省生态环境厅关于印发江苏省危险废物贮存规范化管理专项整治行动方案的通知》（苏环办〔2019〕149号）和《危险废物贮存污染控制标准》（</w:t>
            </w:r>
            <w:r>
              <w:rPr>
                <w:rFonts w:hint="eastAsia" w:ascii="Times New Roman" w:hAnsi="Times New Roman" w:eastAsia="宋体" w:cs="Times New Roman"/>
                <w:color w:val="auto"/>
                <w:sz w:val="24"/>
                <w:szCs w:val="21"/>
                <w:highlight w:val="none"/>
                <w:lang w:eastAsia="zh-CN"/>
              </w:rPr>
              <w:t>GB18597-2023</w:t>
            </w:r>
            <w:r>
              <w:rPr>
                <w:rFonts w:hint="eastAsia" w:ascii="Times New Roman" w:hAnsi="Times New Roman" w:eastAsia="宋体" w:cs="Times New Roman"/>
                <w:color w:val="auto"/>
                <w:sz w:val="24"/>
                <w:szCs w:val="21"/>
                <w:highlight w:val="none"/>
              </w:rPr>
              <w:t>）的要求设置防漏、防渗措施，确保危险废物不泄漏或者渗透进入地下水；</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②严格实施雨污分流，确保废水不混入雨水，进而渗透进入地下水；</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③厂区主要生产、生活区域，地面实施硬化处理，防止污水下渗；</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④全部输水管道实施防渗处理，防止污水泄漏和下渗；</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⑤工业固体废物、生活垃圾等分类收集，及时清运。临时堆积点或转运站设置专用建（构）筑物，配备清洗和消毒器械，加设冲洗水排放防渗管道，并与园区整体污水管网相连，杜绝各类固体废物浸出液下渗；</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⑥危险废物暂存区设置防渗层，防渗层为至少1米厚粘土层（渗透系数≤10</w:t>
            </w:r>
            <w:r>
              <w:rPr>
                <w:rFonts w:hint="eastAsia" w:cs="Times New Roman"/>
                <w:color w:val="auto"/>
                <w:sz w:val="24"/>
                <w:szCs w:val="21"/>
                <w:highlight w:val="none"/>
                <w:vertAlign w:val="superscript"/>
                <w:lang w:val="en-US" w:eastAsia="zh-CN"/>
              </w:rPr>
              <w:t>-7</w:t>
            </w:r>
            <w:r>
              <w:rPr>
                <w:rFonts w:hint="eastAsia" w:ascii="Times New Roman" w:hAnsi="Times New Roman" w:eastAsia="宋体" w:cs="Times New Roman"/>
                <w:color w:val="auto"/>
                <w:sz w:val="24"/>
                <w:szCs w:val="21"/>
                <w:highlight w:val="none"/>
              </w:rPr>
              <w:t>厘米/秒），或2毫米厚高密度聚乙烯，或至少2毫米厚的其它人工材料，渗透系数≤10</w:t>
            </w:r>
            <w:r>
              <w:rPr>
                <w:rFonts w:hint="eastAsia" w:cs="Times New Roman"/>
                <w:color w:val="auto"/>
                <w:sz w:val="24"/>
                <w:szCs w:val="21"/>
                <w:highlight w:val="none"/>
                <w:vertAlign w:val="superscript"/>
                <w:lang w:val="en-US" w:eastAsia="zh-CN"/>
              </w:rPr>
              <w:t>-10</w:t>
            </w:r>
            <w:r>
              <w:rPr>
                <w:rFonts w:hint="eastAsia" w:ascii="Times New Roman" w:hAnsi="Times New Roman" w:eastAsia="宋体" w:cs="Times New Roman"/>
                <w:color w:val="auto"/>
                <w:sz w:val="24"/>
                <w:szCs w:val="21"/>
                <w:highlight w:val="none"/>
              </w:rPr>
              <w:t>厘米/秒。同时危险废物堆场防风、防雨、防晒。</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采取以上污染防治措施后，建设项目对周围地下水环境影响可得到有效控制。</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（3）分区防渗</w:t>
            </w:r>
          </w:p>
          <w:p>
            <w:pPr>
              <w:adjustRightInd w:val="0"/>
              <w:snapToGri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全厂分区防渗见表4</w:t>
            </w:r>
            <w:r>
              <w:rPr>
                <w:rFonts w:hint="eastAsia" w:ascii="Times New Roman" w:hAnsi="Times New Roman" w:eastAsia="宋体" w:cs="Times New Roman"/>
                <w:color w:val="auto"/>
                <w:sz w:val="24"/>
                <w:szCs w:val="21"/>
                <w:highlight w:val="none"/>
                <w:lang w:val="en-US" w:eastAsia="zh-CN"/>
              </w:rPr>
              <w:t>.5-1</w:t>
            </w:r>
            <w:r>
              <w:rPr>
                <w:rFonts w:hint="eastAsia" w:ascii="Times New Roman" w:hAnsi="Times New Roman" w:eastAsia="宋体" w:cs="Times New Roman"/>
                <w:color w:val="auto"/>
                <w:sz w:val="24"/>
                <w:szCs w:val="21"/>
                <w:highlight w:val="none"/>
              </w:rPr>
              <w:t>。</w:t>
            </w:r>
          </w:p>
          <w:p>
            <w:pPr>
              <w:widowControl/>
              <w:spacing w:before="0" w:beforeAutospacing="0" w:after="0" w:afterAutospacing="0" w:line="240" w:lineRule="auto"/>
              <w:jc w:val="center"/>
              <w:rPr>
                <w:rFonts w:ascii="Times New Roman" w:hAnsi="Times New Roman" w:eastAsia="宋体" w:cs="Times New Roman"/>
                <w:b/>
                <w:bCs/>
                <w:color w:val="auto"/>
                <w:kern w:val="0"/>
                <w:sz w:val="24"/>
                <w:szCs w:val="24"/>
                <w:highlight w:val="none"/>
                <w:lang w:val="en-US" w:eastAsia="zh-CN" w:bidi="ar-SA"/>
              </w:rPr>
            </w:pPr>
            <w:r>
              <w:rPr>
                <w:rFonts w:ascii="Times New Roman" w:hAnsi="Times New Roman" w:eastAsia="宋体" w:cs="Times New Roman"/>
                <w:b/>
                <w:bCs/>
                <w:color w:val="auto"/>
                <w:kern w:val="0"/>
                <w:sz w:val="24"/>
                <w:szCs w:val="24"/>
                <w:highlight w:val="none"/>
                <w:lang w:val="en-US" w:eastAsia="zh-CN" w:bidi="ar-SA"/>
              </w:rPr>
              <w:t>表4.5</w:t>
            </w:r>
            <w:r>
              <w:rPr>
                <w:rFonts w:hint="eastAsia" w:ascii="Times New Roman" w:hAnsi="Times New Roman" w:eastAsia="宋体" w:cs="Times New Roman"/>
                <w:b/>
                <w:bCs/>
                <w:color w:val="auto"/>
                <w:kern w:val="0"/>
                <w:sz w:val="24"/>
                <w:szCs w:val="24"/>
                <w:highlight w:val="none"/>
                <w:lang w:val="en-US" w:eastAsia="zh-CN" w:bidi="ar-SA"/>
              </w:rPr>
              <w:t>-</w:t>
            </w:r>
            <w:r>
              <w:rPr>
                <w:rFonts w:ascii="Times New Roman" w:hAnsi="Times New Roman" w:eastAsia="宋体" w:cs="Times New Roman"/>
                <w:b/>
                <w:bCs/>
                <w:color w:val="auto"/>
                <w:kern w:val="0"/>
                <w:sz w:val="24"/>
                <w:szCs w:val="24"/>
                <w:highlight w:val="none"/>
                <w:lang w:val="en-US" w:eastAsia="zh-CN" w:bidi="ar-SA"/>
              </w:rPr>
              <w:t>1厂区分区防渗要求</w:t>
            </w:r>
          </w:p>
          <w:tbl>
            <w:tblPr>
              <w:tblStyle w:val="26"/>
              <w:tblW w:w="852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826"/>
              <w:gridCol w:w="1150"/>
              <w:gridCol w:w="1537"/>
              <w:gridCol w:w="863"/>
              <w:gridCol w:w="862"/>
              <w:gridCol w:w="228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名称</w:t>
                  </w:r>
                </w:p>
              </w:tc>
              <w:tc>
                <w:tcPr>
                  <w:tcW w:w="1150"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污染控制难易程度</w:t>
                  </w:r>
                </w:p>
              </w:tc>
              <w:tc>
                <w:tcPr>
                  <w:tcW w:w="1537"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天然包气带防污性能分级</w:t>
                  </w:r>
                </w:p>
              </w:tc>
              <w:tc>
                <w:tcPr>
                  <w:tcW w:w="863"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污染物类型</w:t>
                  </w:r>
                </w:p>
              </w:tc>
              <w:tc>
                <w:tcPr>
                  <w:tcW w:w="862"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防渗分区</w:t>
                  </w:r>
                </w:p>
              </w:tc>
              <w:tc>
                <w:tcPr>
                  <w:tcW w:w="2289" w:type="dxa"/>
                  <w:vAlign w:val="center"/>
                </w:tcPr>
                <w:p>
                  <w:pPr>
                    <w:spacing w:line="240" w:lineRule="auto"/>
                    <w:jc w:val="center"/>
                    <w:rPr>
                      <w:rFonts w:ascii="Times New Roman" w:hAnsi="Times New Roman" w:eastAsia="宋体" w:cs="Times New Roman"/>
                      <w:b/>
                      <w:bCs/>
                      <w:color w:val="auto"/>
                      <w:sz w:val="21"/>
                      <w:szCs w:val="21"/>
                      <w:highlight w:val="none"/>
                      <w:lang w:val="zh-CN"/>
                    </w:rPr>
                  </w:pPr>
                  <w:r>
                    <w:rPr>
                      <w:rFonts w:ascii="Times New Roman" w:hAnsi="Times New Roman" w:eastAsia="宋体" w:cs="Times New Roman"/>
                      <w:b/>
                      <w:bCs/>
                      <w:color w:val="auto"/>
                      <w:sz w:val="21"/>
                      <w:szCs w:val="21"/>
                      <w:highlight w:val="none"/>
                    </w:rPr>
                    <w:t>防渗技术要求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1826" w:type="dxa"/>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危废仓库</w:t>
                  </w:r>
                </w:p>
              </w:tc>
              <w:tc>
                <w:tcPr>
                  <w:tcW w:w="1150"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难</w:t>
                  </w:r>
                </w:p>
              </w:tc>
              <w:tc>
                <w:tcPr>
                  <w:tcW w:w="1537"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rPr>
                    <w:t>弱</w:t>
                  </w:r>
                </w:p>
              </w:tc>
              <w:tc>
                <w:tcPr>
                  <w:tcW w:w="863" w:type="dxa"/>
                  <w:vMerge w:val="restart"/>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有机物</w:t>
                  </w:r>
                </w:p>
              </w:tc>
              <w:tc>
                <w:tcPr>
                  <w:tcW w:w="862"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重点防渗区</w:t>
                  </w:r>
                </w:p>
              </w:tc>
              <w:tc>
                <w:tcPr>
                  <w:tcW w:w="2289" w:type="dxa"/>
                  <w:vMerge w:val="restart"/>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等效粘土防渗层</w:t>
                  </w:r>
                </w:p>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Mb≥6.0m，K≤10</w:t>
                  </w:r>
                  <w:r>
                    <w:rPr>
                      <w:rFonts w:hint="eastAsia" w:cs="Times New Roman"/>
                      <w:color w:val="auto"/>
                      <w:sz w:val="21"/>
                      <w:szCs w:val="21"/>
                      <w:highlight w:val="none"/>
                      <w:lang w:eastAsia="zh-CN"/>
                    </w:rPr>
                    <w:t>—</w:t>
                  </w:r>
                  <w:r>
                    <w:rPr>
                      <w:rFonts w:ascii="Times New Roman" w:hAnsi="Times New Roman" w:eastAsia="宋体" w:cs="Times New Roman"/>
                      <w:color w:val="auto"/>
                      <w:sz w:val="21"/>
                      <w:szCs w:val="21"/>
                      <w:highlight w:val="none"/>
                      <w:vertAlign w:val="superscript"/>
                    </w:rPr>
                    <w:t>7</w:t>
                  </w:r>
                  <w:r>
                    <w:rPr>
                      <w:rFonts w:ascii="Times New Roman" w:hAnsi="Times New Roman" w:eastAsia="宋体" w:cs="Times New Roman"/>
                      <w:color w:val="auto"/>
                      <w:sz w:val="21"/>
                      <w:szCs w:val="21"/>
                      <w:highlight w:val="none"/>
                    </w:rPr>
                    <w:t>cm/s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182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生产区域</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1826" w:type="dxa"/>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浸漆房</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1826" w:type="dxa"/>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甲类库</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25" w:hRule="atLeast"/>
              </w:trPr>
              <w:tc>
                <w:tcPr>
                  <w:tcW w:w="1826" w:type="dxa"/>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事故池</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182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半成品区</w:t>
                  </w:r>
                </w:p>
              </w:tc>
              <w:tc>
                <w:tcPr>
                  <w:tcW w:w="1150"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易</w:t>
                  </w:r>
                </w:p>
              </w:tc>
              <w:tc>
                <w:tcPr>
                  <w:tcW w:w="1537"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hint="eastAsia" w:ascii="Times New Roman" w:hAnsi="Times New Roman" w:eastAsia="宋体" w:cs="Times New Roman"/>
                      <w:color w:val="auto"/>
                      <w:sz w:val="21"/>
                      <w:szCs w:val="21"/>
                      <w:highlight w:val="none"/>
                    </w:rPr>
                    <w:t>弱</w:t>
                  </w:r>
                </w:p>
              </w:tc>
              <w:tc>
                <w:tcPr>
                  <w:tcW w:w="863"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其他类型</w:t>
                  </w:r>
                </w:p>
              </w:tc>
              <w:tc>
                <w:tcPr>
                  <w:tcW w:w="862" w:type="dxa"/>
                  <w:vMerge w:val="restart"/>
                  <w:vAlign w:val="center"/>
                </w:tcPr>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一般防渗区</w:t>
                  </w:r>
                </w:p>
              </w:tc>
              <w:tc>
                <w:tcPr>
                  <w:tcW w:w="2289" w:type="dxa"/>
                  <w:vMerge w:val="restart"/>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等效粘土防渗层</w:t>
                  </w:r>
                </w:p>
                <w:p>
                  <w:pPr>
                    <w:spacing w:line="240" w:lineRule="auto"/>
                    <w:jc w:val="center"/>
                    <w:rPr>
                      <w:rFonts w:ascii="Times New Roman" w:hAnsi="Times New Roman" w:eastAsia="宋体" w:cs="Times New Roman"/>
                      <w:color w:val="auto"/>
                      <w:sz w:val="21"/>
                      <w:szCs w:val="21"/>
                      <w:highlight w:val="none"/>
                      <w:lang w:val="zh-CN"/>
                    </w:rPr>
                  </w:pPr>
                  <w:r>
                    <w:rPr>
                      <w:rFonts w:ascii="Times New Roman" w:hAnsi="Times New Roman" w:eastAsia="宋体" w:cs="Times New Roman"/>
                      <w:color w:val="auto"/>
                      <w:sz w:val="21"/>
                      <w:szCs w:val="21"/>
                      <w:highlight w:val="none"/>
                    </w:rPr>
                    <w:t>Mb≥1.5m，K≤10</w:t>
                  </w:r>
                  <w:r>
                    <w:rPr>
                      <w:rFonts w:hint="eastAsia" w:cs="Times New Roman"/>
                      <w:color w:val="auto"/>
                      <w:sz w:val="21"/>
                      <w:szCs w:val="21"/>
                      <w:highlight w:val="none"/>
                      <w:lang w:eastAsia="zh-CN"/>
                    </w:rPr>
                    <w:t>—</w:t>
                  </w:r>
                  <w:r>
                    <w:rPr>
                      <w:rFonts w:ascii="Times New Roman" w:hAnsi="Times New Roman" w:eastAsia="宋体" w:cs="Times New Roman"/>
                      <w:color w:val="auto"/>
                      <w:sz w:val="21"/>
                      <w:szCs w:val="21"/>
                      <w:highlight w:val="none"/>
                      <w:vertAlign w:val="superscript"/>
                    </w:rPr>
                    <w:t>7</w:t>
                  </w:r>
                  <w:r>
                    <w:rPr>
                      <w:rFonts w:ascii="Times New Roman" w:hAnsi="Times New Roman" w:eastAsia="宋体" w:cs="Times New Roman"/>
                      <w:color w:val="auto"/>
                      <w:sz w:val="21"/>
                      <w:szCs w:val="21"/>
                      <w:highlight w:val="none"/>
                    </w:rPr>
                    <w:t>cm/s</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成品区</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原料仓库</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hint="eastAsia"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c>
                <w:tcPr>
                  <w:tcW w:w="182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一般固废暂存区</w:t>
                  </w:r>
                </w:p>
              </w:tc>
              <w:tc>
                <w:tcPr>
                  <w:tcW w:w="1150"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1537"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3"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862"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c>
                <w:tcPr>
                  <w:tcW w:w="2289" w:type="dxa"/>
                  <w:vMerge w:val="continue"/>
                  <w:vAlign w:val="center"/>
                </w:tcPr>
                <w:p>
                  <w:pPr>
                    <w:spacing w:line="240" w:lineRule="auto"/>
                    <w:jc w:val="center"/>
                    <w:rPr>
                      <w:rFonts w:ascii="Times New Roman" w:hAnsi="Times New Roman" w:eastAsia="宋体" w:cs="Times New Roman"/>
                      <w:color w:val="auto"/>
                      <w:sz w:val="21"/>
                      <w:szCs w:val="21"/>
                      <w:highlight w:val="none"/>
                    </w:rPr>
                  </w:pPr>
                </w:p>
              </w:tc>
            </w:tr>
          </w:tbl>
          <w:p>
            <w:pPr>
              <w:snapToGrid w:val="0"/>
              <w:spacing w:line="360" w:lineRule="auto"/>
              <w:ind w:firstLine="480" w:firstLineChars="200"/>
              <w:rPr>
                <w:rFonts w:hint="default" w:ascii="Times New Roman" w:hAnsi="Times New Roman" w:cs="Times New Roman" w:eastAsiaTheme="minorEastAsia"/>
                <w:color w:val="auto"/>
                <w:kern w:val="0"/>
                <w:sz w:val="21"/>
                <w:szCs w:val="21"/>
                <w:highlight w:val="none"/>
              </w:rPr>
            </w:pPr>
            <w:r>
              <w:rPr>
                <w:rFonts w:hint="eastAsia" w:ascii="Times New Roman" w:hAnsi="Times New Roman" w:eastAsia="宋体" w:cs="Times New Roman"/>
                <w:color w:val="auto"/>
                <w:sz w:val="24"/>
                <w:szCs w:val="21"/>
                <w:highlight w:val="none"/>
              </w:rPr>
              <w:t>综上分析，本项目建成后，正常情况下，企业在采取合理措施的前提下，对区域土壤和地下水环境的影响较小。</w:t>
            </w:r>
          </w:p>
          <w:p>
            <w:pPr>
              <w:spacing w:line="360" w:lineRule="auto"/>
              <w:ind w:firstLine="482"/>
              <w:rPr>
                <w:rFonts w:hint="default"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lang w:val="en-US" w:eastAsia="zh-CN"/>
              </w:rPr>
              <w:t>六、环境风险</w:t>
            </w:r>
          </w:p>
          <w:p>
            <w:pPr>
              <w:spacing w:line="360" w:lineRule="auto"/>
              <w:ind w:firstLine="482"/>
              <w:rPr>
                <w:rFonts w:ascii="Times New Roman" w:hAnsi="Times New Roman" w:eastAsia="宋体" w:cs="Times New Roman"/>
                <w:b/>
                <w:bCs/>
                <w:color w:val="auto"/>
                <w:kern w:val="0"/>
                <w:sz w:val="24"/>
                <w:szCs w:val="24"/>
                <w:highlight w:val="none"/>
              </w:rPr>
            </w:pPr>
            <w:r>
              <w:rPr>
                <w:rFonts w:ascii="Times New Roman" w:hAnsi="Times New Roman" w:eastAsia="宋体" w:cs="Times New Roman"/>
                <w:b/>
                <w:bCs/>
                <w:color w:val="auto"/>
                <w:sz w:val="24"/>
                <w:szCs w:val="21"/>
                <w:highlight w:val="none"/>
              </w:rPr>
              <w:t>1</w:t>
            </w:r>
            <w:r>
              <w:rPr>
                <w:rFonts w:hint="eastAsia" w:ascii="Times New Roman" w:hAnsi="Times New Roman" w:eastAsia="宋体" w:cs="Times New Roman"/>
                <w:b/>
                <w:bCs/>
                <w:color w:val="auto"/>
                <w:sz w:val="24"/>
                <w:szCs w:val="21"/>
                <w:highlight w:val="none"/>
              </w:rPr>
              <w:t>、环境风险评价工作等级</w:t>
            </w:r>
          </w:p>
          <w:p>
            <w:pPr>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1</w:t>
            </w:r>
            <w:r>
              <w:rPr>
                <w:rFonts w:hint="eastAsia" w:ascii="Times New Roman" w:hAnsi="Times New Roman" w:eastAsia="宋体" w:cs="Times New Roman"/>
                <w:color w:val="auto"/>
                <w:sz w:val="24"/>
                <w:szCs w:val="21"/>
                <w:highlight w:val="none"/>
              </w:rPr>
              <w:t>）风险潜势初判</w:t>
            </w:r>
          </w:p>
          <w:p>
            <w:pPr>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①</w:t>
            </w:r>
            <w:r>
              <w:rPr>
                <w:rFonts w:hint="eastAsia" w:ascii="Times New Roman" w:hAnsi="Times New Roman" w:eastAsia="宋体" w:cs="Times New Roman"/>
                <w:bCs/>
                <w:color w:val="auto"/>
                <w:sz w:val="24"/>
                <w:szCs w:val="21"/>
                <w:highlight w:val="none"/>
              </w:rPr>
              <w:t>危险物质数量与临界量比值（</w:t>
            </w:r>
            <w:r>
              <w:rPr>
                <w:rFonts w:ascii="Times New Roman" w:hAnsi="Times New Roman" w:eastAsia="宋体" w:cs="Times New Roman"/>
                <w:bCs/>
                <w:color w:val="auto"/>
                <w:sz w:val="24"/>
                <w:szCs w:val="21"/>
                <w:highlight w:val="none"/>
              </w:rPr>
              <w:t>Q</w:t>
            </w:r>
            <w:r>
              <w:rPr>
                <w:rFonts w:hint="eastAsia" w:ascii="Times New Roman" w:hAnsi="Times New Roman" w:eastAsia="宋体" w:cs="Times New Roman"/>
                <w:bCs/>
                <w:color w:val="auto"/>
                <w:sz w:val="24"/>
                <w:szCs w:val="21"/>
                <w:highlight w:val="none"/>
              </w:rPr>
              <w:t>）</w:t>
            </w:r>
          </w:p>
          <w:p>
            <w:pPr>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根据《建设项目环境风险评价技术导则》（</w:t>
            </w:r>
            <w:r>
              <w:rPr>
                <w:rFonts w:ascii="Times New Roman" w:hAnsi="Times New Roman" w:eastAsia="宋体" w:cs="Times New Roman"/>
                <w:color w:val="auto"/>
                <w:sz w:val="24"/>
                <w:szCs w:val="21"/>
                <w:highlight w:val="none"/>
              </w:rPr>
              <w:t>HJ169-2018</w:t>
            </w:r>
            <w:r>
              <w:rPr>
                <w:rFonts w:hint="eastAsia" w:ascii="Times New Roman" w:hAnsi="Times New Roman" w:eastAsia="宋体" w:cs="Times New Roman"/>
                <w:color w:val="auto"/>
                <w:sz w:val="24"/>
                <w:szCs w:val="21"/>
                <w:highlight w:val="none"/>
              </w:rPr>
              <w:t>）附录</w:t>
            </w:r>
            <w:r>
              <w:rPr>
                <w:rFonts w:ascii="Times New Roman" w:hAnsi="Times New Roman" w:eastAsia="宋体" w:cs="Times New Roman"/>
                <w:color w:val="auto"/>
                <w:sz w:val="24"/>
                <w:szCs w:val="21"/>
                <w:highlight w:val="none"/>
              </w:rPr>
              <w:t>B</w:t>
            </w:r>
            <w:r>
              <w:rPr>
                <w:rFonts w:hint="eastAsia" w:ascii="Times New Roman" w:hAnsi="Times New Roman" w:eastAsia="宋体" w:cs="Times New Roman"/>
                <w:color w:val="auto"/>
                <w:sz w:val="24"/>
                <w:szCs w:val="21"/>
                <w:highlight w:val="none"/>
              </w:rPr>
              <w:t>表</w:t>
            </w:r>
            <w:r>
              <w:rPr>
                <w:rFonts w:ascii="Times New Roman" w:hAnsi="Times New Roman" w:eastAsia="宋体" w:cs="Times New Roman"/>
                <w:color w:val="auto"/>
                <w:sz w:val="24"/>
                <w:szCs w:val="21"/>
                <w:highlight w:val="none"/>
              </w:rPr>
              <w:t>B.1</w:t>
            </w:r>
            <w:r>
              <w:rPr>
                <w:rFonts w:hint="eastAsia" w:ascii="Times New Roman" w:hAnsi="Times New Roman" w:eastAsia="宋体" w:cs="Times New Roman"/>
                <w:color w:val="auto"/>
                <w:sz w:val="24"/>
                <w:szCs w:val="21"/>
                <w:highlight w:val="none"/>
              </w:rPr>
              <w:t>突发环境事故风险物质及临界量表、表</w:t>
            </w:r>
            <w:r>
              <w:rPr>
                <w:rFonts w:ascii="Times New Roman" w:hAnsi="Times New Roman" w:eastAsia="宋体" w:cs="Times New Roman"/>
                <w:color w:val="auto"/>
                <w:sz w:val="24"/>
                <w:szCs w:val="21"/>
                <w:highlight w:val="none"/>
              </w:rPr>
              <w:t>B.2</w:t>
            </w:r>
            <w:r>
              <w:rPr>
                <w:rFonts w:hint="eastAsia" w:ascii="Times New Roman" w:hAnsi="Times New Roman" w:eastAsia="宋体" w:cs="Times New Roman"/>
                <w:color w:val="auto"/>
                <w:sz w:val="24"/>
                <w:szCs w:val="21"/>
                <w:highlight w:val="none"/>
              </w:rPr>
              <w:t>其他危险物质临界量推荐值，结合对该项目危险化学品的毒理性质分析，对项目所涉及的化学品进行物质危险性判定：</w:t>
            </w:r>
          </w:p>
          <w:p>
            <w:pPr>
              <w:spacing w:line="360" w:lineRule="auto"/>
              <w:ind w:firstLine="480"/>
              <w:rPr>
                <w:rFonts w:hint="eastAsia"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en-US" w:eastAsia="zh-CN"/>
              </w:rPr>
              <w:t>当只涉及一种危险物质时，计算该物质的总量与其临界量比值，即为Q；</w:t>
            </w:r>
          </w:p>
          <w:p>
            <w:pPr>
              <w:spacing w:line="360" w:lineRule="auto"/>
              <w:ind w:firstLine="480"/>
              <w:jc w:val="left"/>
              <w:rPr>
                <w:rFonts w:hint="eastAsia"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en-US" w:eastAsia="zh-CN"/>
              </w:rPr>
              <w:t>当存在多种危险物质时，则按下式计算物质总量与其临界量比值</w:t>
            </w:r>
          </w:p>
          <w:p>
            <w:pPr>
              <w:keepNext w:val="0"/>
              <w:keepLines w:val="0"/>
              <w:pageBreakBefore w:val="0"/>
              <w:widowControl w:val="0"/>
              <w:kinsoku/>
              <w:wordWrap/>
              <w:overflowPunct/>
              <w:topLinePunct w:val="0"/>
              <w:autoSpaceDE/>
              <w:autoSpaceDN/>
              <w:bidi w:val="0"/>
              <w:adjustRightInd/>
              <w:snapToGrid/>
              <w:spacing w:line="360" w:lineRule="auto"/>
              <w:ind w:firstLine="0"/>
              <w:jc w:val="center"/>
              <w:textAlignment w:val="auto"/>
              <w:rPr>
                <w:rFonts w:ascii="Times New Roman" w:hAnsi="Times New Roman" w:eastAsia="宋体" w:cs="Times New Roman"/>
                <w:i w:val="0"/>
                <w:iCs w:val="0"/>
                <w:color w:val="auto"/>
                <w:kern w:val="0"/>
                <w:sz w:val="24"/>
                <w:szCs w:val="24"/>
                <w:highlight w:val="none"/>
                <w:lang w:val="en-US" w:eastAsia="zh-CN" w:bidi="ar-SA"/>
              </w:rPr>
            </w:pPr>
            <w:r>
              <w:rPr>
                <w:rFonts w:ascii="Times New Roman" w:hAnsi="Times New Roman" w:eastAsia="宋体" w:cs="Times New Roman"/>
                <w:i/>
                <w:iCs/>
                <w:color w:val="auto"/>
                <w:kern w:val="0"/>
                <w:sz w:val="20"/>
                <w:szCs w:val="20"/>
                <w:highlight w:val="none"/>
                <w:lang w:val="en-US" w:eastAsia="zh-CN" w:bidi="ar-SA"/>
              </w:rPr>
              <w:drawing>
                <wp:inline distT="0" distB="0" distL="0" distR="0">
                  <wp:extent cx="1546860" cy="449580"/>
                  <wp:effectExtent l="0" t="0" r="15240" b="7620"/>
                  <wp:docPr id="686" name="图片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 name="图片 686"/>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a:xfrm>
                            <a:off x="0" y="0"/>
                            <a:ext cx="1546860" cy="449580"/>
                          </a:xfrm>
                          <a:prstGeom prst="rect">
                            <a:avLst/>
                          </a:prstGeom>
                          <a:noFill/>
                          <a:ln>
                            <a:noFill/>
                          </a:ln>
                        </pic:spPr>
                      </pic:pic>
                    </a:graphicData>
                  </a:graphic>
                </wp:inline>
              </w:drawing>
            </w:r>
          </w:p>
          <w:p>
            <w:pPr>
              <w:widowControl/>
              <w:tabs>
                <w:tab w:val="left" w:pos="840"/>
                <w:tab w:val="right" w:leader="dot" w:pos="8302"/>
              </w:tabs>
              <w:spacing w:line="360" w:lineRule="auto"/>
              <w:ind w:left="210" w:firstLine="480" w:firstLineChars="200"/>
              <w:jc w:val="left"/>
              <w:rPr>
                <w:rFonts w:ascii="Times New Roman" w:hAnsi="Times New Roman" w:eastAsia="宋体" w:cs="Times New Roman"/>
                <w:i w:val="0"/>
                <w:iCs w:val="0"/>
                <w:color w:val="auto"/>
                <w:kern w:val="0"/>
                <w:sz w:val="24"/>
                <w:szCs w:val="24"/>
                <w:highlight w:val="none"/>
                <w:lang w:val="en-US" w:eastAsia="zh-CN" w:bidi="ar-SA"/>
              </w:rPr>
            </w:pPr>
            <w:r>
              <w:rPr>
                <w:rFonts w:hint="eastAsia" w:ascii="Times New Roman" w:hAnsi="Times New Roman" w:eastAsia="宋体" w:cs="Times New Roman"/>
                <w:i w:val="0"/>
                <w:iCs w:val="0"/>
                <w:color w:val="auto"/>
                <w:kern w:val="0"/>
                <w:sz w:val="24"/>
                <w:szCs w:val="24"/>
                <w:highlight w:val="none"/>
                <w:lang w:val="en-US" w:eastAsia="zh-CN" w:bidi="ar-SA"/>
              </w:rPr>
              <w:t>式中：</w:t>
            </w: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2</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n</w:t>
            </w:r>
            <w:r>
              <w:rPr>
                <w:rFonts w:hint="eastAsia" w:ascii="Times New Roman" w:hAnsi="Times New Roman" w:eastAsia="宋体" w:cs="Times New Roman"/>
                <w:i w:val="0"/>
                <w:iCs w:val="0"/>
                <w:color w:val="auto"/>
                <w:kern w:val="0"/>
                <w:sz w:val="24"/>
                <w:szCs w:val="24"/>
                <w:highlight w:val="none"/>
                <w:vertAlign w:val="subscript"/>
                <w:lang w:val="en-US" w:eastAsia="zh-CN" w:bidi="ar-SA"/>
              </w:rPr>
              <w:t>──</w:t>
            </w:r>
            <w:r>
              <w:rPr>
                <w:rFonts w:hint="eastAsia" w:ascii="Times New Roman" w:hAnsi="Times New Roman" w:eastAsia="宋体" w:cs="Times New Roman"/>
                <w:i w:val="0"/>
                <w:iCs w:val="0"/>
                <w:color w:val="auto"/>
                <w:kern w:val="0"/>
                <w:sz w:val="24"/>
                <w:szCs w:val="24"/>
                <w:highlight w:val="none"/>
                <w:lang w:val="en-US" w:eastAsia="zh-CN" w:bidi="ar-SA"/>
              </w:rPr>
              <w:t>每种危险物质的最大存在总量，</w:t>
            </w:r>
            <w:r>
              <w:rPr>
                <w:rFonts w:ascii="Times New Roman" w:hAnsi="Times New Roman" w:eastAsia="宋体" w:cs="Times New Roman"/>
                <w:i w:val="0"/>
                <w:iCs w:val="0"/>
                <w:color w:val="auto"/>
                <w:kern w:val="0"/>
                <w:sz w:val="24"/>
                <w:szCs w:val="24"/>
                <w:highlight w:val="none"/>
                <w:lang w:val="en-US" w:eastAsia="zh-CN" w:bidi="ar-SA"/>
              </w:rPr>
              <w:t>t</w:t>
            </w:r>
            <w:r>
              <w:rPr>
                <w:rFonts w:hint="eastAsia" w:ascii="Times New Roman" w:hAnsi="Times New Roman" w:eastAsia="宋体" w:cs="Times New Roman"/>
                <w:i w:val="0"/>
                <w:iCs w:val="0"/>
                <w:color w:val="auto"/>
                <w:kern w:val="0"/>
                <w:sz w:val="24"/>
                <w:szCs w:val="24"/>
                <w:highlight w:val="none"/>
                <w:lang w:val="en-US" w:eastAsia="zh-CN" w:bidi="ar-SA"/>
              </w:rPr>
              <w:t>；</w:t>
            </w:r>
          </w:p>
          <w:p>
            <w:pPr>
              <w:widowControl/>
              <w:tabs>
                <w:tab w:val="left" w:pos="840"/>
                <w:tab w:val="right" w:leader="dot" w:pos="8302"/>
              </w:tabs>
              <w:spacing w:line="360" w:lineRule="auto"/>
              <w:ind w:left="210" w:firstLine="480" w:firstLineChars="200"/>
              <w:jc w:val="left"/>
              <w:rPr>
                <w:rFonts w:ascii="Times New Roman" w:hAnsi="Times New Roman" w:eastAsia="宋体" w:cs="Times New Roman"/>
                <w:i w:val="0"/>
                <w:iCs w:val="0"/>
                <w:color w:val="auto"/>
                <w:kern w:val="0"/>
                <w:sz w:val="24"/>
                <w:szCs w:val="24"/>
                <w:highlight w:val="none"/>
                <w:lang w:val="en-US" w:eastAsia="zh-CN" w:bidi="ar-SA"/>
              </w:rPr>
            </w:pP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2</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w:t>
            </w:r>
            <w:r>
              <w:rPr>
                <w:rFonts w:ascii="Times New Roman" w:hAnsi="Times New Roman" w:eastAsia="宋体" w:cs="Times New Roman"/>
                <w:i w:val="0"/>
                <w:iCs w:val="0"/>
                <w:color w:val="auto"/>
                <w:kern w:val="0"/>
                <w:sz w:val="24"/>
                <w:szCs w:val="24"/>
                <w:highlight w:val="none"/>
                <w:vertAlign w:val="subscript"/>
                <w:lang w:val="en-US" w:eastAsia="zh-CN" w:bidi="ar-SA"/>
              </w:rPr>
              <w:t>n</w:t>
            </w:r>
            <w:r>
              <w:rPr>
                <w:rFonts w:hint="eastAsia" w:ascii="Times New Roman" w:hAnsi="Times New Roman" w:eastAsia="宋体" w:cs="Times New Roman"/>
                <w:i w:val="0"/>
                <w:iCs w:val="0"/>
                <w:color w:val="auto"/>
                <w:kern w:val="0"/>
                <w:sz w:val="24"/>
                <w:szCs w:val="24"/>
                <w:highlight w:val="none"/>
                <w:vertAlign w:val="subscript"/>
                <w:lang w:val="en-US" w:eastAsia="zh-CN" w:bidi="ar-SA"/>
              </w:rPr>
              <w:t>──</w:t>
            </w:r>
            <w:r>
              <w:rPr>
                <w:rFonts w:hint="eastAsia" w:ascii="Times New Roman" w:hAnsi="Times New Roman" w:eastAsia="宋体" w:cs="Times New Roman"/>
                <w:i w:val="0"/>
                <w:iCs w:val="0"/>
                <w:color w:val="auto"/>
                <w:kern w:val="0"/>
                <w:sz w:val="24"/>
                <w:szCs w:val="24"/>
                <w:highlight w:val="none"/>
                <w:lang w:val="en-US" w:eastAsia="zh-CN" w:bidi="ar-SA"/>
              </w:rPr>
              <w:t>每种危险物质的临界量，</w:t>
            </w:r>
            <w:r>
              <w:rPr>
                <w:rFonts w:ascii="Times New Roman" w:hAnsi="Times New Roman" w:eastAsia="宋体" w:cs="Times New Roman"/>
                <w:i w:val="0"/>
                <w:iCs w:val="0"/>
                <w:color w:val="auto"/>
                <w:kern w:val="0"/>
                <w:sz w:val="24"/>
                <w:szCs w:val="24"/>
                <w:highlight w:val="none"/>
                <w:lang w:val="en-US" w:eastAsia="zh-CN" w:bidi="ar-SA"/>
              </w:rPr>
              <w:t>t</w:t>
            </w:r>
          </w:p>
          <w:p>
            <w:pPr>
              <w:widowControl/>
              <w:tabs>
                <w:tab w:val="left" w:pos="840"/>
                <w:tab w:val="right" w:leader="dot" w:pos="8302"/>
              </w:tabs>
              <w:spacing w:line="360" w:lineRule="auto"/>
              <w:ind w:left="210" w:firstLine="480" w:firstLineChars="200"/>
              <w:jc w:val="left"/>
              <w:rPr>
                <w:rFonts w:ascii="Times New Roman" w:hAnsi="Times New Roman" w:eastAsia="宋体" w:cs="Times New Roman"/>
                <w:i w:val="0"/>
                <w:iCs w:val="0"/>
                <w:color w:val="auto"/>
                <w:kern w:val="0"/>
                <w:sz w:val="24"/>
                <w:szCs w:val="24"/>
                <w:highlight w:val="none"/>
                <w:lang w:val="en-US" w:eastAsia="zh-CN" w:bidi="ar-SA"/>
              </w:rPr>
            </w:pPr>
            <w:r>
              <w:rPr>
                <w:rFonts w:hint="eastAsia" w:ascii="Times New Roman" w:hAnsi="Times New Roman" w:eastAsia="宋体" w:cs="Times New Roman"/>
                <w:i w:val="0"/>
                <w:iCs w:val="0"/>
                <w:color w:val="auto"/>
                <w:kern w:val="0"/>
                <w:sz w:val="24"/>
                <w:szCs w:val="24"/>
                <w:highlight w:val="none"/>
                <w:lang w:val="en-US" w:eastAsia="zh-CN" w:bidi="ar-SA"/>
              </w:rPr>
              <w:t>当</w:t>
            </w:r>
            <w:r>
              <w:rPr>
                <w:rFonts w:ascii="Times New Roman" w:hAnsi="Times New Roman" w:eastAsia="宋体" w:cs="Times New Roman"/>
                <w:i w:val="0"/>
                <w:iCs w:val="0"/>
                <w:color w:val="auto"/>
                <w:kern w:val="0"/>
                <w:sz w:val="24"/>
                <w:szCs w:val="24"/>
                <w:highlight w:val="none"/>
                <w:lang w:val="en-US" w:eastAsia="zh-CN" w:bidi="ar-SA"/>
              </w:rPr>
              <w:t>Q</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时，项目环境风险潜势为Ⅰ；</w:t>
            </w:r>
          </w:p>
          <w:p>
            <w:pPr>
              <w:widowControl/>
              <w:tabs>
                <w:tab w:val="left" w:pos="840"/>
                <w:tab w:val="right" w:leader="dot" w:pos="8302"/>
              </w:tabs>
              <w:spacing w:line="360" w:lineRule="auto"/>
              <w:ind w:left="210" w:firstLine="480" w:firstLineChars="200"/>
              <w:jc w:val="left"/>
              <w:rPr>
                <w:rFonts w:ascii="Times New Roman" w:hAnsi="Times New Roman" w:eastAsia="宋体" w:cs="Times New Roman"/>
                <w:i w:val="0"/>
                <w:iCs w:val="0"/>
                <w:color w:val="auto"/>
                <w:kern w:val="0"/>
                <w:sz w:val="24"/>
                <w:szCs w:val="24"/>
                <w:highlight w:val="none"/>
                <w:lang w:val="en-US" w:eastAsia="zh-CN" w:bidi="ar-SA"/>
              </w:rPr>
            </w:pPr>
            <w:r>
              <w:rPr>
                <w:rFonts w:hint="eastAsia" w:ascii="Times New Roman" w:hAnsi="Times New Roman" w:eastAsia="宋体" w:cs="Times New Roman"/>
                <w:i w:val="0"/>
                <w:iCs w:val="0"/>
                <w:color w:val="auto"/>
                <w:kern w:val="0"/>
                <w:sz w:val="24"/>
                <w:szCs w:val="24"/>
                <w:highlight w:val="none"/>
                <w:lang w:val="en-US" w:eastAsia="zh-CN" w:bidi="ar-SA"/>
              </w:rPr>
              <w:t>当</w:t>
            </w:r>
            <w:r>
              <w:rPr>
                <w:rFonts w:ascii="Times New Roman" w:hAnsi="Times New Roman" w:eastAsia="宋体" w:cs="Times New Roman"/>
                <w:i w:val="0"/>
                <w:iCs w:val="0"/>
                <w:color w:val="auto"/>
                <w:kern w:val="0"/>
                <w:sz w:val="24"/>
                <w:szCs w:val="24"/>
                <w:highlight w:val="none"/>
                <w:lang w:val="en-US" w:eastAsia="zh-CN" w:bidi="ar-SA"/>
              </w:rPr>
              <w:t>Q</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时，将</w:t>
            </w:r>
            <w:r>
              <w:rPr>
                <w:rFonts w:ascii="Times New Roman" w:hAnsi="Times New Roman" w:eastAsia="宋体" w:cs="Times New Roman"/>
                <w:i w:val="0"/>
                <w:iCs w:val="0"/>
                <w:color w:val="auto"/>
                <w:kern w:val="0"/>
                <w:sz w:val="24"/>
                <w:szCs w:val="24"/>
                <w:highlight w:val="none"/>
                <w:lang w:val="en-US" w:eastAsia="zh-CN" w:bidi="ar-SA"/>
              </w:rPr>
              <w:t>Q</w:t>
            </w:r>
            <w:r>
              <w:rPr>
                <w:rFonts w:hint="eastAsia" w:ascii="Times New Roman" w:hAnsi="Times New Roman" w:eastAsia="宋体" w:cs="Times New Roman"/>
                <w:i w:val="0"/>
                <w:iCs w:val="0"/>
                <w:color w:val="auto"/>
                <w:kern w:val="0"/>
                <w:sz w:val="24"/>
                <w:szCs w:val="24"/>
                <w:highlight w:val="none"/>
                <w:lang w:val="en-US" w:eastAsia="zh-CN" w:bidi="ar-SA"/>
              </w:rPr>
              <w:t>值划分为：（</w:t>
            </w:r>
            <w:r>
              <w:rPr>
                <w:rFonts w:ascii="Times New Roman" w:hAnsi="Times New Roman" w:eastAsia="宋体" w:cs="Times New Roman"/>
                <w:i w:val="0"/>
                <w:iCs w:val="0"/>
                <w:color w:val="auto"/>
                <w:kern w:val="0"/>
                <w:sz w:val="24"/>
                <w:szCs w:val="24"/>
                <w:highlight w:val="none"/>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1</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Q&lt;10</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2</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10</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Q&lt;100</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3</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Q</w:t>
            </w:r>
            <w:r>
              <w:rPr>
                <w:rFonts w:hint="eastAsia" w:ascii="Times New Roman" w:hAnsi="Times New Roman" w:eastAsia="宋体" w:cs="Times New Roman"/>
                <w:i w:val="0"/>
                <w:iCs w:val="0"/>
                <w:color w:val="auto"/>
                <w:kern w:val="0"/>
                <w:sz w:val="24"/>
                <w:szCs w:val="24"/>
                <w:highlight w:val="none"/>
                <w:lang w:val="en-US" w:eastAsia="zh-CN" w:bidi="ar-SA"/>
              </w:rPr>
              <w:t>≧</w:t>
            </w:r>
            <w:r>
              <w:rPr>
                <w:rFonts w:ascii="Times New Roman" w:hAnsi="Times New Roman" w:eastAsia="宋体" w:cs="Times New Roman"/>
                <w:i w:val="0"/>
                <w:iCs w:val="0"/>
                <w:color w:val="auto"/>
                <w:kern w:val="0"/>
                <w:sz w:val="24"/>
                <w:szCs w:val="24"/>
                <w:highlight w:val="none"/>
                <w:lang w:val="en-US" w:eastAsia="zh-CN" w:bidi="ar-SA"/>
              </w:rPr>
              <w:t>100</w:t>
            </w:r>
            <w:r>
              <w:rPr>
                <w:rFonts w:hint="eastAsia" w:ascii="Times New Roman" w:hAnsi="Times New Roman" w:eastAsia="宋体" w:cs="Times New Roman"/>
                <w:i w:val="0"/>
                <w:iCs w:val="0"/>
                <w:color w:val="auto"/>
                <w:kern w:val="0"/>
                <w:sz w:val="24"/>
                <w:szCs w:val="24"/>
                <w:highlight w:val="none"/>
                <w:lang w:val="en-US" w:eastAsia="zh-CN" w:bidi="ar-SA"/>
              </w:rPr>
              <w:t>。</w:t>
            </w:r>
          </w:p>
          <w:p>
            <w:pPr>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1"/>
                <w:highlight w:val="none"/>
                <w:lang w:val="en-US" w:eastAsia="zh-CN"/>
              </w:rPr>
              <w:t>本项目</w:t>
            </w:r>
            <w:r>
              <w:rPr>
                <w:rFonts w:hint="eastAsia" w:ascii="Times New Roman" w:hAnsi="Times New Roman" w:eastAsia="宋体" w:cs="Times New Roman"/>
                <w:color w:val="auto"/>
                <w:sz w:val="24"/>
                <w:szCs w:val="21"/>
                <w:highlight w:val="none"/>
              </w:rPr>
              <w:t>所有危险物质与附录</w:t>
            </w:r>
            <w:r>
              <w:rPr>
                <w:rFonts w:ascii="Times New Roman" w:hAnsi="Times New Roman" w:eastAsia="宋体" w:cs="Times New Roman"/>
                <w:color w:val="auto"/>
                <w:sz w:val="24"/>
                <w:szCs w:val="21"/>
                <w:highlight w:val="none"/>
              </w:rPr>
              <w:t>B</w:t>
            </w:r>
            <w:r>
              <w:rPr>
                <w:rFonts w:hint="eastAsia" w:ascii="Times New Roman" w:hAnsi="Times New Roman" w:eastAsia="宋体" w:cs="Times New Roman"/>
                <w:color w:val="auto"/>
                <w:sz w:val="24"/>
                <w:szCs w:val="21"/>
                <w:highlight w:val="none"/>
              </w:rPr>
              <w:t>对照情况见表</w:t>
            </w:r>
            <w:r>
              <w:rPr>
                <w:rFonts w:ascii="Times New Roman" w:hAnsi="Times New Roman" w:eastAsia="宋体" w:cs="Times New Roman"/>
                <w:color w:val="auto"/>
                <w:sz w:val="24"/>
                <w:szCs w:val="21"/>
                <w:highlight w:val="none"/>
              </w:rPr>
              <w:t>4.6</w:t>
            </w: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1</w:t>
            </w:r>
            <w:r>
              <w:rPr>
                <w:rFonts w:hint="eastAsia" w:ascii="Times New Roman" w:hAnsi="Times New Roman" w:eastAsia="宋体" w:cs="Times New Roman"/>
                <w:color w:val="auto"/>
                <w:sz w:val="24"/>
                <w:szCs w:val="21"/>
                <w:highlight w:val="none"/>
              </w:rPr>
              <w:t>。</w:t>
            </w:r>
          </w:p>
          <w:p>
            <w:pPr>
              <w:spacing w:line="240" w:lineRule="auto"/>
              <w:ind w:firstLine="482"/>
              <w:jc w:val="center"/>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4.6</w:t>
            </w:r>
            <w:r>
              <w:rPr>
                <w:rFonts w:hint="eastAsia" w:ascii="Times New Roman" w:hAnsi="Times New Roman" w:eastAsia="宋体" w:cs="Times New Roman"/>
                <w:b/>
                <w:bCs/>
                <w:color w:val="auto"/>
                <w:sz w:val="24"/>
                <w:szCs w:val="21"/>
                <w:highlight w:val="none"/>
              </w:rPr>
              <w:t>-</w:t>
            </w:r>
            <w:r>
              <w:rPr>
                <w:rFonts w:ascii="Times New Roman" w:hAnsi="Times New Roman" w:eastAsia="宋体" w:cs="Times New Roman"/>
                <w:b/>
                <w:bCs/>
                <w:color w:val="auto"/>
                <w:sz w:val="24"/>
                <w:szCs w:val="21"/>
                <w:highlight w:val="none"/>
              </w:rPr>
              <w:t>1</w:t>
            </w:r>
            <w:r>
              <w:rPr>
                <w:rFonts w:hint="eastAsia" w:ascii="Times New Roman" w:hAnsi="Times New Roman" w:eastAsia="宋体" w:cs="Times New Roman"/>
                <w:b/>
                <w:bCs/>
                <w:color w:val="auto"/>
                <w:sz w:val="24"/>
                <w:szCs w:val="21"/>
                <w:highlight w:val="none"/>
              </w:rPr>
              <w:t>建设项目</w:t>
            </w:r>
            <w:r>
              <w:rPr>
                <w:rFonts w:ascii="Times New Roman" w:hAnsi="Times New Roman" w:eastAsia="宋体" w:cs="Times New Roman"/>
                <w:b/>
                <w:bCs/>
                <w:color w:val="auto"/>
                <w:sz w:val="24"/>
                <w:szCs w:val="21"/>
                <w:highlight w:val="none"/>
              </w:rPr>
              <w:t>Q</w:t>
            </w:r>
            <w:r>
              <w:rPr>
                <w:rFonts w:hint="eastAsia" w:ascii="Times New Roman" w:hAnsi="Times New Roman" w:eastAsia="宋体" w:cs="Times New Roman"/>
                <w:b/>
                <w:bCs/>
                <w:color w:val="auto"/>
                <w:sz w:val="24"/>
                <w:szCs w:val="21"/>
                <w:highlight w:val="none"/>
              </w:rPr>
              <w:t>值确定表</w:t>
            </w:r>
          </w:p>
          <w:tbl>
            <w:tblPr>
              <w:tblStyle w:val="25"/>
              <w:tblW w:w="8524"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864"/>
              <w:gridCol w:w="2019"/>
              <w:gridCol w:w="2531"/>
              <w:gridCol w:w="1741"/>
              <w:gridCol w:w="1369"/>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序号</w:t>
                  </w:r>
                </w:p>
              </w:tc>
              <w:tc>
                <w:tcPr>
                  <w:tcW w:w="2019" w:type="dxa"/>
                  <w:tcBorders>
                    <w:tl2br w:val="nil"/>
                    <w:tr2bl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危险物质名称</w:t>
                  </w:r>
                </w:p>
              </w:tc>
              <w:tc>
                <w:tcPr>
                  <w:tcW w:w="2531" w:type="dxa"/>
                  <w:tcBorders>
                    <w:tl2br w:val="nil"/>
                    <w:tr2bl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最大存在总量</w:t>
                  </w:r>
                  <w:r>
                    <w:rPr>
                      <w:rFonts w:ascii="Times New Roman" w:hAnsi="Times New Roman" w:eastAsia="宋体" w:cs="Times New Roman"/>
                      <w:b/>
                      <w:bCs/>
                      <w:color w:val="auto"/>
                      <w:sz w:val="21"/>
                      <w:szCs w:val="21"/>
                      <w:highlight w:val="none"/>
                    </w:rPr>
                    <w:t>q</w:t>
                  </w:r>
                  <w:r>
                    <w:rPr>
                      <w:rFonts w:ascii="Times New Roman" w:hAnsi="Times New Roman" w:eastAsia="宋体" w:cs="Times New Roman"/>
                      <w:b/>
                      <w:bCs/>
                      <w:color w:val="auto"/>
                      <w:sz w:val="21"/>
                      <w:szCs w:val="21"/>
                      <w:highlight w:val="none"/>
                      <w:vertAlign w:val="subscript"/>
                    </w:rPr>
                    <w:t>n</w:t>
                  </w:r>
                  <w:r>
                    <w:rPr>
                      <w:rFonts w:ascii="Times New Roman" w:hAnsi="Times New Roman" w:eastAsia="宋体" w:cs="Times New Roman"/>
                      <w:b/>
                      <w:bCs/>
                      <w:color w:val="auto"/>
                      <w:sz w:val="21"/>
                      <w:szCs w:val="21"/>
                      <w:highlight w:val="none"/>
                    </w:rPr>
                    <w:t>/t</w:t>
                  </w:r>
                </w:p>
              </w:tc>
              <w:tc>
                <w:tcPr>
                  <w:tcW w:w="1741" w:type="dxa"/>
                  <w:tcBorders>
                    <w:tl2br w:val="nil"/>
                    <w:tr2bl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临界量</w:t>
                  </w:r>
                  <w:r>
                    <w:rPr>
                      <w:rFonts w:ascii="Times New Roman" w:hAnsi="Times New Roman" w:eastAsia="宋体" w:cs="Times New Roman"/>
                      <w:b/>
                      <w:bCs/>
                      <w:color w:val="auto"/>
                      <w:sz w:val="21"/>
                      <w:szCs w:val="21"/>
                      <w:highlight w:val="none"/>
                    </w:rPr>
                    <w:t>Q</w:t>
                  </w:r>
                  <w:r>
                    <w:rPr>
                      <w:rFonts w:ascii="Times New Roman" w:hAnsi="Times New Roman" w:eastAsia="宋体" w:cs="Times New Roman"/>
                      <w:b/>
                      <w:bCs/>
                      <w:color w:val="auto"/>
                      <w:sz w:val="21"/>
                      <w:szCs w:val="21"/>
                      <w:highlight w:val="none"/>
                      <w:vertAlign w:val="subscript"/>
                    </w:rPr>
                    <w:t>n</w:t>
                  </w:r>
                  <w:r>
                    <w:rPr>
                      <w:rFonts w:ascii="Times New Roman" w:hAnsi="Times New Roman" w:eastAsia="宋体" w:cs="Times New Roman"/>
                      <w:b/>
                      <w:bCs/>
                      <w:color w:val="auto"/>
                      <w:sz w:val="21"/>
                      <w:szCs w:val="21"/>
                      <w:highlight w:val="none"/>
                    </w:rPr>
                    <w:t>/t</w:t>
                  </w:r>
                </w:p>
              </w:tc>
              <w:tc>
                <w:tcPr>
                  <w:tcW w:w="1369" w:type="dxa"/>
                  <w:tcBorders>
                    <w:tl2br w:val="nil"/>
                    <w:tr2bl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ascii="Times New Roman" w:hAnsi="Times New Roman" w:eastAsia="宋体" w:cs="Times New Roman"/>
                      <w:b/>
                      <w:bCs/>
                      <w:color w:val="auto"/>
                      <w:sz w:val="21"/>
                      <w:szCs w:val="21"/>
                      <w:highlight w:val="none"/>
                    </w:rPr>
                    <w:t>Q</w:t>
                  </w:r>
                  <w:r>
                    <w:rPr>
                      <w:rFonts w:hint="eastAsia" w:ascii="Times New Roman" w:hAnsi="Times New Roman" w:eastAsia="宋体" w:cs="Times New Roman"/>
                      <w:b/>
                      <w:bCs/>
                      <w:color w:val="auto"/>
                      <w:sz w:val="21"/>
                      <w:szCs w:val="21"/>
                      <w:highlight w:val="none"/>
                    </w:rPr>
                    <w:t>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1</w:t>
                  </w:r>
                </w:p>
              </w:tc>
              <w:tc>
                <w:tcPr>
                  <w:tcW w:w="201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聚氨酯AB胶</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201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聚氨酯A胶中MDI</w:t>
                  </w:r>
                </w:p>
              </w:tc>
              <w:tc>
                <w:tcPr>
                  <w:tcW w:w="2531"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0.8</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100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0.008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2019"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水基胶</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3</w:t>
                  </w:r>
                </w:p>
              </w:tc>
              <w:tc>
                <w:tcPr>
                  <w:tcW w:w="2019"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环氧胶</w:t>
                  </w:r>
                </w:p>
              </w:tc>
              <w:tc>
                <w:tcPr>
                  <w:tcW w:w="2531"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4</w:t>
                  </w:r>
                </w:p>
              </w:tc>
              <w:tc>
                <w:tcPr>
                  <w:tcW w:w="2019" w:type="dxa"/>
                  <w:tcBorders>
                    <w:tl2br w:val="nil"/>
                    <w:tr2bl w:val="nil"/>
                  </w:tcBorders>
                  <w:vAlign w:val="center"/>
                </w:tcPr>
                <w:p>
                  <w:pPr>
                    <w:spacing w:line="240" w:lineRule="auto"/>
                    <w:jc w:val="center"/>
                    <w:rPr>
                      <w:rFonts w:hint="eastAsia" w:ascii="Times New Roman" w:hAnsi="Times New Roman" w:eastAsia="宋体" w:cs="Times New Roman"/>
                      <w:color w:val="auto"/>
                      <w:kern w:val="2"/>
                      <w:sz w:val="21"/>
                      <w:szCs w:val="24"/>
                      <w:lang w:val="en-US" w:eastAsia="zh-CN" w:bidi="ar-SA"/>
                    </w:rPr>
                  </w:pPr>
                  <w:r>
                    <w:rPr>
                      <w:rFonts w:hint="eastAsia"/>
                      <w:color w:val="auto"/>
                      <w:sz w:val="21"/>
                      <w:lang w:val="en-US" w:eastAsia="zh-CN"/>
                    </w:rPr>
                    <w:t>植绒胶</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2</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0.04</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5</w:t>
                  </w:r>
                </w:p>
              </w:tc>
              <w:tc>
                <w:tcPr>
                  <w:tcW w:w="2019" w:type="dxa"/>
                  <w:tcBorders>
                    <w:tl2br w:val="nil"/>
                    <w:tr2bl w:val="nil"/>
                  </w:tcBorders>
                  <w:vAlign w:val="center"/>
                </w:tcPr>
                <w:p>
                  <w:pPr>
                    <w:spacing w:line="240" w:lineRule="auto"/>
                    <w:jc w:val="center"/>
                    <w:rPr>
                      <w:rFonts w:hint="eastAsia" w:ascii="Times New Roman" w:hAnsi="Times New Roman" w:eastAsia="宋体" w:cs="Times New Roman"/>
                      <w:color w:val="auto"/>
                      <w:kern w:val="2"/>
                      <w:sz w:val="21"/>
                      <w:szCs w:val="24"/>
                      <w:lang w:val="en-US" w:eastAsia="zh-CN" w:bidi="ar-SA"/>
                    </w:rPr>
                  </w:pPr>
                  <w:r>
                    <w:rPr>
                      <w:rFonts w:hint="eastAsia"/>
                      <w:color w:val="auto"/>
                      <w:sz w:val="21"/>
                      <w:lang w:val="en-US" w:eastAsia="zh-CN"/>
                    </w:rPr>
                    <w:t>水性漆</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1</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eastAsia" w:cs="Times New Roman"/>
                      <w:color w:val="auto"/>
                      <w:sz w:val="21"/>
                      <w:szCs w:val="21"/>
                      <w:highlight w:val="none"/>
                      <w:lang w:val="en-US" w:eastAsia="zh-CN"/>
                    </w:rPr>
                  </w:pPr>
                  <w:r>
                    <w:rPr>
                      <w:rFonts w:hint="eastAsia" w:cs="Times New Roman"/>
                      <w:color w:val="auto"/>
                      <w:sz w:val="21"/>
                      <w:szCs w:val="21"/>
                      <w:highlight w:val="none"/>
                      <w:lang w:val="en-US" w:eastAsia="zh-CN"/>
                    </w:rPr>
                    <w:t>6</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机油</w:t>
                  </w:r>
                </w:p>
              </w:tc>
              <w:tc>
                <w:tcPr>
                  <w:tcW w:w="253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0.05</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2500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0.00002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7</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废含胶海绵</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1</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8</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废料</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1</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9</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漆渣</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0.79</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0.0158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10</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废漆桶</w:t>
                  </w:r>
                </w:p>
              </w:tc>
              <w:tc>
                <w:tcPr>
                  <w:tcW w:w="2531" w:type="dxa"/>
                  <w:tcBorders>
                    <w:tl2br w:val="nil"/>
                    <w:tr2bl w:val="nil"/>
                  </w:tcBorders>
                  <w:vAlign w:val="center"/>
                </w:tcPr>
                <w:p>
                  <w:pPr>
                    <w:spacing w:line="240" w:lineRule="auto"/>
                    <w:jc w:val="center"/>
                    <w:rPr>
                      <w:rFonts w:hint="default" w:ascii="Times New Roman" w:hAnsi="Times New Roman" w:eastAsia="宋体" w:cs="Times New Roman"/>
                      <w:color w:val="auto"/>
                      <w:kern w:val="2"/>
                      <w:sz w:val="21"/>
                      <w:szCs w:val="24"/>
                      <w:lang w:val="en-US" w:eastAsia="zh-CN" w:bidi="ar-SA"/>
                    </w:rPr>
                  </w:pPr>
                  <w:r>
                    <w:rPr>
                      <w:rFonts w:hint="eastAsia" w:cs="Times New Roman"/>
                      <w:color w:val="auto"/>
                      <w:kern w:val="2"/>
                      <w:sz w:val="21"/>
                      <w:szCs w:val="24"/>
                      <w:lang w:val="en-US" w:eastAsia="zh-CN" w:bidi="ar-SA"/>
                    </w:rPr>
                    <w:t>0.9</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0.018</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11</w:t>
                  </w:r>
                </w:p>
              </w:tc>
              <w:tc>
                <w:tcPr>
                  <w:tcW w:w="2019" w:type="dxa"/>
                  <w:tcBorders>
                    <w:tl2br w:val="nil"/>
                    <w:tr2bl w:val="nil"/>
                  </w:tcBorders>
                  <w:vAlign w:val="center"/>
                </w:tcPr>
                <w:p>
                  <w:pPr>
                    <w:spacing w:line="240" w:lineRule="auto"/>
                    <w:jc w:val="center"/>
                    <w:rPr>
                      <w:rFonts w:hint="eastAsia" w:eastAsia="宋体"/>
                      <w:color w:val="auto"/>
                      <w:sz w:val="21"/>
                      <w:lang w:val="en-US" w:eastAsia="zh-CN"/>
                    </w:rPr>
                  </w:pPr>
                  <w:r>
                    <w:rPr>
                      <w:rFonts w:hint="eastAsia"/>
                      <w:color w:val="auto"/>
                      <w:sz w:val="21"/>
                      <w:lang w:val="en-US" w:eastAsia="zh-CN"/>
                    </w:rPr>
                    <w:t>废活性炭</w:t>
                  </w:r>
                </w:p>
              </w:tc>
              <w:tc>
                <w:tcPr>
                  <w:tcW w:w="2531"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14.46</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0.2892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12</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废机油和机油桶</w:t>
                  </w:r>
                </w:p>
              </w:tc>
              <w:tc>
                <w:tcPr>
                  <w:tcW w:w="2531"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0.1</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0.002</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64" w:type="dxa"/>
                  <w:tcBorders>
                    <w:tl2br w:val="nil"/>
                    <w:tr2bl w:val="nil"/>
                  </w:tcBorders>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13</w:t>
                  </w:r>
                </w:p>
              </w:tc>
              <w:tc>
                <w:tcPr>
                  <w:tcW w:w="2019"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废胶桶</w:t>
                  </w:r>
                </w:p>
              </w:tc>
              <w:tc>
                <w:tcPr>
                  <w:tcW w:w="2531" w:type="dxa"/>
                  <w:tcBorders>
                    <w:tl2br w:val="nil"/>
                    <w:tr2bl w:val="nil"/>
                  </w:tcBorders>
                  <w:vAlign w:val="center"/>
                </w:tcPr>
                <w:p>
                  <w:pPr>
                    <w:spacing w:line="240" w:lineRule="auto"/>
                    <w:jc w:val="center"/>
                    <w:rPr>
                      <w:rFonts w:hint="default"/>
                      <w:color w:val="auto"/>
                      <w:sz w:val="21"/>
                      <w:lang w:val="en-US" w:eastAsia="zh-CN"/>
                    </w:rPr>
                  </w:pPr>
                  <w:r>
                    <w:rPr>
                      <w:rFonts w:hint="eastAsia"/>
                      <w:color w:val="auto"/>
                      <w:sz w:val="21"/>
                      <w:lang w:val="en-US" w:eastAsia="zh-CN"/>
                    </w:rPr>
                    <w:t>0.625</w:t>
                  </w:r>
                </w:p>
              </w:tc>
              <w:tc>
                <w:tcPr>
                  <w:tcW w:w="1741"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50</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0.0125</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7155" w:type="dxa"/>
                  <w:gridSpan w:val="4"/>
                  <w:tcBorders>
                    <w:tl2br w:val="nil"/>
                    <w:tr2bl w:val="nil"/>
                  </w:tcBorders>
                  <w:vAlign w:val="center"/>
                </w:tcPr>
                <w:p>
                  <w:pPr>
                    <w:spacing w:line="240" w:lineRule="auto"/>
                    <w:jc w:val="center"/>
                    <w:rPr>
                      <w:rFonts w:hint="eastAsia" w:cs="Times New Roman"/>
                      <w:color w:val="auto"/>
                      <w:kern w:val="2"/>
                      <w:sz w:val="21"/>
                      <w:szCs w:val="24"/>
                      <w:lang w:val="en-US" w:eastAsia="zh-CN" w:bidi="ar-SA"/>
                    </w:rPr>
                  </w:pPr>
                  <w:r>
                    <w:rPr>
                      <w:rFonts w:hint="eastAsia" w:cs="Times New Roman"/>
                      <w:color w:val="auto"/>
                      <w:kern w:val="2"/>
                      <w:sz w:val="21"/>
                      <w:szCs w:val="24"/>
                      <w:lang w:val="en-US" w:eastAsia="zh-CN" w:bidi="ar-SA"/>
                    </w:rPr>
                    <w:t>合计</w:t>
                  </w:r>
                </w:p>
              </w:tc>
              <w:tc>
                <w:tcPr>
                  <w:tcW w:w="1369" w:type="dxa"/>
                  <w:tcBorders>
                    <w:tl2br w:val="nil"/>
                    <w:tr2bl w:val="nil"/>
                  </w:tcBorders>
                  <w:vAlign w:val="center"/>
                </w:tcPr>
                <w:p>
                  <w:pPr>
                    <w:spacing w:line="240" w:lineRule="auto"/>
                    <w:jc w:val="center"/>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fldChar w:fldCharType="begin"/>
                  </w:r>
                  <w:r>
                    <w:rPr>
                      <w:rFonts w:hint="eastAsia" w:cs="Times New Roman"/>
                      <w:color w:val="auto"/>
                      <w:kern w:val="2"/>
                      <w:sz w:val="21"/>
                      <w:szCs w:val="24"/>
                      <w:lang w:val="en-US" w:eastAsia="zh-CN" w:bidi="ar-SA"/>
                    </w:rPr>
                    <w:instrText xml:space="preserve"> = sum(E2:E14) \* MERGEFORMAT </w:instrText>
                  </w:r>
                  <w:r>
                    <w:rPr>
                      <w:rFonts w:hint="eastAsia" w:cs="Times New Roman"/>
                      <w:color w:val="auto"/>
                      <w:kern w:val="2"/>
                      <w:sz w:val="21"/>
                      <w:szCs w:val="24"/>
                      <w:lang w:val="en-US" w:eastAsia="zh-CN" w:bidi="ar-SA"/>
                    </w:rPr>
                    <w:fldChar w:fldCharType="separate"/>
                  </w:r>
                  <w:r>
                    <w:rPr>
                      <w:rFonts w:hint="eastAsia" w:cs="Times New Roman"/>
                      <w:color w:val="auto"/>
                      <w:kern w:val="2"/>
                      <w:sz w:val="21"/>
                      <w:szCs w:val="24"/>
                      <w:lang w:val="en-US" w:eastAsia="zh-CN" w:bidi="ar-SA"/>
                    </w:rPr>
                    <w:t>0.56552</w:t>
                  </w:r>
                  <w:r>
                    <w:rPr>
                      <w:rFonts w:hint="eastAsia" w:cs="Times New Roman"/>
                      <w:color w:val="auto"/>
                      <w:kern w:val="2"/>
                      <w:sz w:val="21"/>
                      <w:szCs w:val="24"/>
                      <w:lang w:val="en-US" w:eastAsia="zh-CN" w:bidi="ar-SA"/>
                    </w:rPr>
                    <w:fldChar w:fldCharType="end"/>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8524" w:type="dxa"/>
                  <w:gridSpan w:val="5"/>
                  <w:tcBorders>
                    <w:tl2br w:val="nil"/>
                    <w:tr2bl w:val="nil"/>
                  </w:tcBorders>
                  <w:vAlign w:val="center"/>
                </w:tcPr>
                <w:p>
                  <w:pPr>
                    <w:spacing w:line="240" w:lineRule="auto"/>
                    <w:jc w:val="left"/>
                    <w:rPr>
                      <w:rFonts w:hint="default" w:cs="Times New Roman"/>
                      <w:color w:val="auto"/>
                      <w:kern w:val="2"/>
                      <w:sz w:val="21"/>
                      <w:szCs w:val="24"/>
                      <w:lang w:val="en-US" w:eastAsia="zh-CN" w:bidi="ar-SA"/>
                    </w:rPr>
                  </w:pPr>
                  <w:r>
                    <w:rPr>
                      <w:rFonts w:hint="eastAsia" w:cs="Times New Roman"/>
                      <w:color w:val="auto"/>
                      <w:kern w:val="2"/>
                      <w:sz w:val="21"/>
                      <w:szCs w:val="24"/>
                      <w:lang w:val="en-US" w:eastAsia="zh-CN" w:bidi="ar-SA"/>
                    </w:rPr>
                    <w:t>注：聚氨酯A胶中二苯基甲烷二异氰酸酯同分异构体（以MDI计）最大含量为80%计算。</w:t>
                  </w:r>
                </w:p>
              </w:tc>
            </w:tr>
          </w:tbl>
          <w:p>
            <w:pPr>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经计算，本项目Q＜1。</w:t>
            </w:r>
          </w:p>
          <w:p>
            <w:pPr>
              <w:spacing w:line="360" w:lineRule="auto"/>
              <w:ind w:firstLine="480"/>
              <w:rPr>
                <w:rFonts w:ascii="Times New Roman" w:hAnsi="Times New Roman" w:eastAsia="宋体" w:cs="Times New Roman"/>
                <w:bCs/>
                <w:color w:val="auto"/>
                <w:sz w:val="24"/>
                <w:szCs w:val="21"/>
                <w:highlight w:val="none"/>
              </w:rPr>
            </w:pPr>
            <w:r>
              <w:rPr>
                <w:rFonts w:hint="eastAsia" w:ascii="Times New Roman" w:hAnsi="Times New Roman" w:eastAsia="宋体" w:cs="Times New Roman"/>
                <w:bCs/>
                <w:color w:val="auto"/>
                <w:sz w:val="24"/>
                <w:szCs w:val="21"/>
                <w:highlight w:val="none"/>
              </w:rPr>
              <w:t>②环境风险评价工作等级确定</w:t>
            </w:r>
          </w:p>
          <w:p>
            <w:pPr>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环境风险评价工作级别判定标准见表</w:t>
            </w:r>
            <w:r>
              <w:rPr>
                <w:rFonts w:ascii="Times New Roman" w:hAnsi="Times New Roman" w:eastAsia="宋体" w:cs="Times New Roman"/>
                <w:color w:val="auto"/>
                <w:sz w:val="24"/>
                <w:szCs w:val="21"/>
                <w:highlight w:val="none"/>
              </w:rPr>
              <w:t>4.6</w:t>
            </w:r>
            <w:r>
              <w:rPr>
                <w:rFonts w:hint="eastAsia" w:ascii="Times New Roman" w:hAnsi="Times New Roman" w:eastAsia="宋体" w:cs="Times New Roman"/>
                <w:color w:val="auto"/>
                <w:sz w:val="24"/>
                <w:szCs w:val="21"/>
                <w:highlight w:val="none"/>
              </w:rPr>
              <w:t>-</w:t>
            </w:r>
            <w:r>
              <w:rPr>
                <w:rFonts w:hint="eastAsia" w:cs="Times New Roman"/>
                <w:color w:val="auto"/>
                <w:sz w:val="24"/>
                <w:szCs w:val="21"/>
                <w:highlight w:val="none"/>
                <w:lang w:val="en-US" w:eastAsia="zh-CN"/>
              </w:rPr>
              <w:t>2</w:t>
            </w:r>
            <w:r>
              <w:rPr>
                <w:rFonts w:hint="eastAsia" w:ascii="Times New Roman" w:hAnsi="Times New Roman" w:eastAsia="宋体" w:cs="Times New Roman"/>
                <w:color w:val="auto"/>
                <w:sz w:val="24"/>
                <w:szCs w:val="21"/>
                <w:highlight w:val="none"/>
              </w:rPr>
              <w:t>。</w:t>
            </w:r>
          </w:p>
          <w:p>
            <w:pPr>
              <w:spacing w:line="240" w:lineRule="auto"/>
              <w:ind w:firstLine="482"/>
              <w:jc w:val="center"/>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w:t>
            </w:r>
            <w:r>
              <w:rPr>
                <w:rFonts w:hint="eastAsia" w:ascii="Times New Roman" w:hAnsi="Times New Roman" w:eastAsia="宋体" w:cs="Times New Roman"/>
                <w:b/>
                <w:bCs/>
                <w:color w:val="auto"/>
                <w:sz w:val="24"/>
                <w:szCs w:val="21"/>
                <w:highlight w:val="none"/>
                <w:lang w:val="en-US" w:eastAsia="zh-CN"/>
              </w:rPr>
              <w:t>6-</w:t>
            </w:r>
            <w:r>
              <w:rPr>
                <w:rFonts w:hint="eastAsia" w:cs="Times New Roman"/>
                <w:b/>
                <w:bCs/>
                <w:color w:val="auto"/>
                <w:sz w:val="24"/>
                <w:szCs w:val="21"/>
                <w:highlight w:val="none"/>
                <w:lang w:val="en-US" w:eastAsia="zh-CN"/>
              </w:rPr>
              <w:t>2</w:t>
            </w:r>
            <w:r>
              <w:rPr>
                <w:rFonts w:hint="eastAsia" w:ascii="Times New Roman" w:hAnsi="Times New Roman" w:eastAsia="宋体" w:cs="Times New Roman"/>
                <w:b/>
                <w:bCs/>
                <w:color w:val="auto"/>
                <w:sz w:val="24"/>
                <w:szCs w:val="21"/>
                <w:highlight w:val="none"/>
              </w:rPr>
              <w:t>环境风险评价工作级别判定标准</w:t>
            </w:r>
          </w:p>
          <w:tbl>
            <w:tblPr>
              <w:tblStyle w:val="25"/>
              <w:tblW w:w="8441" w:type="dxa"/>
              <w:jc w:val="center"/>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686"/>
              <w:gridCol w:w="1694"/>
              <w:gridCol w:w="1687"/>
              <w:gridCol w:w="1687"/>
              <w:gridCol w:w="1687"/>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686" w:type="dxa"/>
                  <w:tcBorders>
                    <w:top w:val="single" w:color="auto" w:sz="12" w:space="0"/>
                    <w:left w:val="nil"/>
                    <w:bottom w:val="single" w:color="auto" w:sz="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环境风险潜势</w:t>
                  </w:r>
                </w:p>
              </w:tc>
              <w:tc>
                <w:tcPr>
                  <w:tcW w:w="1694" w:type="dxa"/>
                  <w:tcBorders>
                    <w:top w:val="single" w:color="auto" w:sz="12" w:space="0"/>
                    <w:left w:val="single" w:color="auto" w:sz="2" w:space="0"/>
                    <w:bottom w:val="single" w:color="auto" w:sz="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 4 \* ROMAN </w:instrText>
                  </w:r>
                  <w:r>
                    <w:rPr>
                      <w:rFonts w:ascii="Times New Roman" w:hAnsi="Times New Roman" w:eastAsia="宋体" w:cs="Times New Roman"/>
                      <w:color w:val="auto"/>
                      <w:sz w:val="21"/>
                      <w:szCs w:val="21"/>
                      <w:highlight w:val="none"/>
                    </w:rPr>
                    <w:fldChar w:fldCharType="separate"/>
                  </w:r>
                  <w:r>
                    <w:rPr>
                      <w:rFonts w:ascii="Times New Roman" w:hAnsi="Times New Roman" w:eastAsia="宋体" w:cs="Times New Roman"/>
                      <w:color w:val="auto"/>
                      <w:sz w:val="21"/>
                      <w:szCs w:val="21"/>
                      <w:highlight w:val="none"/>
                    </w:rPr>
                    <w:t>IV</w:t>
                  </w:r>
                  <w:r>
                    <w:rPr>
                      <w:rFonts w:ascii="Times New Roman" w:hAnsi="Times New Roman" w:eastAsia="宋体" w:cs="Times New Roman"/>
                      <w:color w:val="auto"/>
                      <w:sz w:val="21"/>
                      <w:szCs w:val="21"/>
                      <w:highlight w:val="none"/>
                    </w:rPr>
                    <w:fldChar w:fldCharType="end"/>
                  </w:r>
                  <w:r>
                    <w:rPr>
                      <w:rFonts w:hint="eastAsia" w:ascii="Times New Roman" w:hAnsi="Times New Roman" w:eastAsia="宋体" w:cs="Times New Roman"/>
                      <w:color w:val="auto"/>
                      <w:sz w:val="21"/>
                      <w:szCs w:val="21"/>
                      <w:highlight w:val="none"/>
                    </w:rPr>
                    <w:t>、</w:t>
                  </w: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 4 \* ROMAN </w:instrText>
                  </w:r>
                  <w:r>
                    <w:rPr>
                      <w:rFonts w:ascii="Times New Roman" w:hAnsi="Times New Roman" w:eastAsia="宋体" w:cs="Times New Roman"/>
                      <w:color w:val="auto"/>
                      <w:sz w:val="21"/>
                      <w:szCs w:val="21"/>
                      <w:highlight w:val="none"/>
                    </w:rPr>
                    <w:fldChar w:fldCharType="separate"/>
                  </w:r>
                  <w:r>
                    <w:rPr>
                      <w:rFonts w:ascii="Times New Roman" w:hAnsi="Times New Roman" w:eastAsia="宋体" w:cs="Times New Roman"/>
                      <w:color w:val="auto"/>
                      <w:sz w:val="21"/>
                      <w:szCs w:val="21"/>
                      <w:highlight w:val="none"/>
                    </w:rPr>
                    <w:t>IV</w:t>
                  </w:r>
                  <w:r>
                    <w:rPr>
                      <w:rFonts w:ascii="Times New Roman" w:hAnsi="Times New Roman" w:eastAsia="宋体" w:cs="Times New Roman"/>
                      <w:color w:val="auto"/>
                      <w:sz w:val="21"/>
                      <w:szCs w:val="21"/>
                      <w:highlight w:val="none"/>
                    </w:rPr>
                    <w:fldChar w:fldCharType="end"/>
                  </w:r>
                  <w:r>
                    <w:rPr>
                      <w:rFonts w:ascii="Times New Roman" w:hAnsi="Times New Roman" w:eastAsia="宋体" w:cs="Times New Roman"/>
                      <w:color w:val="auto"/>
                      <w:sz w:val="21"/>
                      <w:szCs w:val="21"/>
                      <w:highlight w:val="none"/>
                      <w:vertAlign w:val="superscript"/>
                    </w:rPr>
                    <w:t>+</w:t>
                  </w:r>
                </w:p>
              </w:tc>
              <w:tc>
                <w:tcPr>
                  <w:tcW w:w="1687" w:type="dxa"/>
                  <w:tcBorders>
                    <w:top w:val="single" w:color="auto" w:sz="12" w:space="0"/>
                    <w:left w:val="single" w:color="auto" w:sz="2" w:space="0"/>
                    <w:bottom w:val="single" w:color="auto" w:sz="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 3 \* ROMAN </w:instrText>
                  </w:r>
                  <w:r>
                    <w:rPr>
                      <w:rFonts w:ascii="Times New Roman" w:hAnsi="Times New Roman" w:eastAsia="宋体" w:cs="Times New Roman"/>
                      <w:color w:val="auto"/>
                      <w:sz w:val="21"/>
                      <w:szCs w:val="21"/>
                      <w:highlight w:val="none"/>
                    </w:rPr>
                    <w:fldChar w:fldCharType="separate"/>
                  </w:r>
                  <w:r>
                    <w:rPr>
                      <w:rFonts w:ascii="Times New Roman" w:hAnsi="Times New Roman" w:eastAsia="宋体" w:cs="Times New Roman"/>
                      <w:color w:val="auto"/>
                      <w:sz w:val="21"/>
                      <w:szCs w:val="21"/>
                      <w:highlight w:val="none"/>
                    </w:rPr>
                    <w:t>III</w:t>
                  </w:r>
                  <w:r>
                    <w:rPr>
                      <w:rFonts w:ascii="Times New Roman" w:hAnsi="Times New Roman" w:eastAsia="宋体" w:cs="Times New Roman"/>
                      <w:color w:val="auto"/>
                      <w:sz w:val="21"/>
                      <w:szCs w:val="21"/>
                      <w:highlight w:val="none"/>
                    </w:rPr>
                    <w:fldChar w:fldCharType="end"/>
                  </w:r>
                </w:p>
              </w:tc>
              <w:tc>
                <w:tcPr>
                  <w:tcW w:w="1687" w:type="dxa"/>
                  <w:tcBorders>
                    <w:top w:val="single" w:color="auto" w:sz="12" w:space="0"/>
                    <w:left w:val="single" w:color="auto" w:sz="2" w:space="0"/>
                    <w:bottom w:val="single" w:color="auto" w:sz="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 2 \* ROMAN </w:instrText>
                  </w:r>
                  <w:r>
                    <w:rPr>
                      <w:rFonts w:ascii="Times New Roman" w:hAnsi="Times New Roman" w:eastAsia="宋体" w:cs="Times New Roman"/>
                      <w:color w:val="auto"/>
                      <w:sz w:val="21"/>
                      <w:szCs w:val="21"/>
                      <w:highlight w:val="none"/>
                    </w:rPr>
                    <w:fldChar w:fldCharType="separate"/>
                  </w:r>
                  <w:r>
                    <w:rPr>
                      <w:rFonts w:ascii="Times New Roman" w:hAnsi="Times New Roman" w:eastAsia="宋体" w:cs="Times New Roman"/>
                      <w:color w:val="auto"/>
                      <w:sz w:val="21"/>
                      <w:szCs w:val="21"/>
                      <w:highlight w:val="none"/>
                    </w:rPr>
                    <w:t>II</w:t>
                  </w:r>
                  <w:r>
                    <w:rPr>
                      <w:rFonts w:ascii="Times New Roman" w:hAnsi="Times New Roman" w:eastAsia="宋体" w:cs="Times New Roman"/>
                      <w:color w:val="auto"/>
                      <w:sz w:val="21"/>
                      <w:szCs w:val="21"/>
                      <w:highlight w:val="none"/>
                    </w:rPr>
                    <w:fldChar w:fldCharType="end"/>
                  </w:r>
                </w:p>
              </w:tc>
              <w:tc>
                <w:tcPr>
                  <w:tcW w:w="1687" w:type="dxa"/>
                  <w:tcBorders>
                    <w:top w:val="single" w:color="auto" w:sz="12" w:space="0"/>
                    <w:left w:val="single" w:color="auto" w:sz="2" w:space="0"/>
                    <w:bottom w:val="single" w:color="auto" w:sz="2" w:space="0"/>
                    <w:right w:val="nil"/>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fldChar w:fldCharType="begin"/>
                  </w:r>
                  <w:r>
                    <w:rPr>
                      <w:rFonts w:ascii="Times New Roman" w:hAnsi="Times New Roman" w:eastAsia="宋体" w:cs="Times New Roman"/>
                      <w:color w:val="auto"/>
                      <w:sz w:val="21"/>
                      <w:szCs w:val="21"/>
                      <w:highlight w:val="none"/>
                    </w:rPr>
                    <w:instrText xml:space="preserve"> = 1 \* ROMAN </w:instrText>
                  </w:r>
                  <w:r>
                    <w:rPr>
                      <w:rFonts w:ascii="Times New Roman" w:hAnsi="Times New Roman" w:eastAsia="宋体" w:cs="Times New Roman"/>
                      <w:color w:val="auto"/>
                      <w:sz w:val="21"/>
                      <w:szCs w:val="21"/>
                      <w:highlight w:val="none"/>
                    </w:rPr>
                    <w:fldChar w:fldCharType="separate"/>
                  </w:r>
                  <w:r>
                    <w:rPr>
                      <w:rFonts w:ascii="Times New Roman" w:hAnsi="Times New Roman" w:eastAsia="宋体" w:cs="Times New Roman"/>
                      <w:color w:val="auto"/>
                      <w:sz w:val="21"/>
                      <w:szCs w:val="21"/>
                      <w:highlight w:val="none"/>
                    </w:rPr>
                    <w:t>I</w:t>
                  </w:r>
                  <w:r>
                    <w:rPr>
                      <w:rFonts w:ascii="Times New Roman" w:hAnsi="Times New Roman" w:eastAsia="宋体" w:cs="Times New Roman"/>
                      <w:color w:val="auto"/>
                      <w:sz w:val="21"/>
                      <w:szCs w:val="21"/>
                      <w:highlight w:val="none"/>
                    </w:rPr>
                    <w:fldChar w:fldCharType="end"/>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686" w:type="dxa"/>
                  <w:tcBorders>
                    <w:top w:val="single" w:color="auto" w:sz="2" w:space="0"/>
                    <w:left w:val="nil"/>
                    <w:bottom w:val="single" w:color="auto" w:sz="1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评价工作等级</w:t>
                  </w:r>
                </w:p>
              </w:tc>
              <w:tc>
                <w:tcPr>
                  <w:tcW w:w="1694" w:type="dxa"/>
                  <w:tcBorders>
                    <w:top w:val="single" w:color="auto" w:sz="2" w:space="0"/>
                    <w:left w:val="single" w:color="auto" w:sz="2" w:space="0"/>
                    <w:bottom w:val="single" w:color="auto" w:sz="1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一</w:t>
                  </w:r>
                </w:p>
              </w:tc>
              <w:tc>
                <w:tcPr>
                  <w:tcW w:w="1687" w:type="dxa"/>
                  <w:tcBorders>
                    <w:top w:val="single" w:color="auto" w:sz="2" w:space="0"/>
                    <w:left w:val="single" w:color="auto" w:sz="2" w:space="0"/>
                    <w:bottom w:val="single" w:color="auto" w:sz="1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二</w:t>
                  </w:r>
                </w:p>
              </w:tc>
              <w:tc>
                <w:tcPr>
                  <w:tcW w:w="1687" w:type="dxa"/>
                  <w:tcBorders>
                    <w:top w:val="single" w:color="auto" w:sz="2" w:space="0"/>
                    <w:left w:val="single" w:color="auto" w:sz="2" w:space="0"/>
                    <w:bottom w:val="single" w:color="auto" w:sz="12" w:space="0"/>
                    <w:right w:val="single" w:color="auto" w:sz="2" w:space="0"/>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三</w:t>
                  </w:r>
                </w:p>
              </w:tc>
              <w:tc>
                <w:tcPr>
                  <w:tcW w:w="1687" w:type="dxa"/>
                  <w:tcBorders>
                    <w:top w:val="single" w:color="auto" w:sz="2" w:space="0"/>
                    <w:left w:val="single" w:color="auto" w:sz="2" w:space="0"/>
                    <w:bottom w:val="single" w:color="auto" w:sz="12" w:space="0"/>
                    <w:right w:val="nil"/>
                  </w:tcBorders>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简单分析</w:t>
                  </w:r>
                </w:p>
              </w:tc>
            </w:tr>
          </w:tbl>
          <w:p>
            <w:pPr>
              <w:spacing w:line="240" w:lineRule="auto"/>
              <w:ind w:firstLine="422"/>
              <w:rPr>
                <w:rFonts w:ascii="Times New Roman" w:hAnsi="Times New Roman" w:eastAsia="宋体" w:cs="Times New Roman"/>
                <w:color w:val="auto"/>
                <w:sz w:val="21"/>
                <w:szCs w:val="21"/>
                <w:highlight w:val="none"/>
              </w:rPr>
            </w:pPr>
            <w:r>
              <w:rPr>
                <w:rFonts w:hint="eastAsia" w:ascii="Times New Roman" w:hAnsi="Times New Roman" w:eastAsia="宋体" w:cs="Times New Roman"/>
                <w:b/>
                <w:bCs/>
                <w:color w:val="auto"/>
                <w:sz w:val="21"/>
                <w:szCs w:val="21"/>
                <w:highlight w:val="none"/>
              </w:rPr>
              <w:t>注：</w:t>
            </w:r>
            <w:r>
              <w:rPr>
                <w:rFonts w:hint="eastAsia" w:ascii="Times New Roman" w:hAnsi="Times New Roman" w:eastAsia="宋体" w:cs="Times New Roman"/>
                <w:color w:val="auto"/>
                <w:sz w:val="21"/>
                <w:szCs w:val="21"/>
                <w:highlight w:val="none"/>
              </w:rPr>
              <w:t>简单分析是相对于详细评价工作内容而言，在描述危险物质、环境影响途径、环境危害后果，风险防范措施等方面给出定性的说明。</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1"/>
                <w:highlight w:val="none"/>
              </w:rPr>
              <w:t>本项目环境风险潜势为</w:t>
            </w:r>
            <w:r>
              <w:rPr>
                <w:rFonts w:ascii="Times New Roman" w:hAnsi="Times New Roman" w:eastAsia="宋体" w:cs="Times New Roman"/>
                <w:color w:val="auto"/>
                <w:sz w:val="24"/>
                <w:szCs w:val="21"/>
                <w:highlight w:val="none"/>
              </w:rPr>
              <w:t>I</w:t>
            </w:r>
            <w:r>
              <w:rPr>
                <w:rFonts w:hint="eastAsia" w:ascii="Times New Roman" w:hAnsi="Times New Roman" w:eastAsia="宋体" w:cs="Times New Roman"/>
                <w:color w:val="auto"/>
                <w:sz w:val="24"/>
                <w:szCs w:val="21"/>
                <w:highlight w:val="none"/>
              </w:rPr>
              <w:t>，根据《建设项目环境风险评价技术导则》（</w:t>
            </w:r>
            <w:r>
              <w:rPr>
                <w:rFonts w:ascii="Times New Roman" w:hAnsi="Times New Roman" w:eastAsia="宋体" w:cs="Times New Roman"/>
                <w:color w:val="auto"/>
                <w:sz w:val="24"/>
                <w:szCs w:val="21"/>
                <w:highlight w:val="none"/>
              </w:rPr>
              <w:t>HJ169-2018</w:t>
            </w:r>
            <w:r>
              <w:rPr>
                <w:rFonts w:hint="eastAsia" w:ascii="Times New Roman" w:hAnsi="Times New Roman" w:eastAsia="宋体" w:cs="Times New Roman"/>
                <w:color w:val="auto"/>
                <w:sz w:val="24"/>
                <w:szCs w:val="21"/>
                <w:highlight w:val="none"/>
              </w:rPr>
              <w:t>）相关要求，对本项目评价内容进行简单分析。</w:t>
            </w:r>
          </w:p>
          <w:p>
            <w:pPr>
              <w:tabs>
                <w:tab w:val="left" w:pos="360"/>
              </w:tabs>
              <w:autoSpaceDE w:val="0"/>
              <w:autoSpaceDN w:val="0"/>
              <w:adjustRightInd w:val="0"/>
              <w:spacing w:line="360" w:lineRule="auto"/>
              <w:ind w:firstLine="240" w:firstLineChars="10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2</w:t>
            </w:r>
            <w:r>
              <w:rPr>
                <w:rFonts w:hint="eastAsia" w:ascii="Times New Roman" w:hAnsi="Times New Roman" w:eastAsia="宋体" w:cs="Times New Roman"/>
                <w:color w:val="auto"/>
                <w:sz w:val="24"/>
                <w:szCs w:val="21"/>
                <w:highlight w:val="none"/>
              </w:rPr>
              <w:t>）环境敏感目标概况</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项目周围敏感目标分布情况见表</w:t>
            </w:r>
            <w:r>
              <w:rPr>
                <w:rFonts w:ascii="Times New Roman" w:hAnsi="Times New Roman" w:eastAsia="宋体" w:cs="Times New Roman"/>
                <w:color w:val="auto"/>
                <w:sz w:val="24"/>
                <w:szCs w:val="21"/>
                <w:highlight w:val="none"/>
              </w:rPr>
              <w:t>3.2</w:t>
            </w: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1</w:t>
            </w:r>
            <w:r>
              <w:rPr>
                <w:rFonts w:hint="eastAsia" w:ascii="Times New Roman" w:hAnsi="Times New Roman" w:eastAsia="宋体" w:cs="Times New Roman"/>
                <w:color w:val="auto"/>
                <w:sz w:val="24"/>
                <w:szCs w:val="21"/>
                <w:highlight w:val="none"/>
              </w:rPr>
              <w:t>。</w:t>
            </w:r>
          </w:p>
          <w:p>
            <w:pPr>
              <w:tabs>
                <w:tab w:val="left" w:pos="360"/>
              </w:tabs>
              <w:autoSpaceDE w:val="0"/>
              <w:autoSpaceDN w:val="0"/>
              <w:adjustRightInd w:val="0"/>
              <w:spacing w:line="360" w:lineRule="auto"/>
              <w:ind w:firstLine="240" w:firstLineChars="10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3</w:t>
            </w:r>
            <w:r>
              <w:rPr>
                <w:rFonts w:hint="eastAsia" w:ascii="Times New Roman" w:hAnsi="Times New Roman" w:eastAsia="宋体" w:cs="Times New Roman"/>
                <w:color w:val="auto"/>
                <w:sz w:val="24"/>
                <w:szCs w:val="21"/>
                <w:highlight w:val="none"/>
              </w:rPr>
              <w:t>）环境风险识别</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本项目涉及危险物质为</w:t>
            </w:r>
            <w:r>
              <w:rPr>
                <w:rFonts w:hint="eastAsia" w:cs="Times New Roman"/>
                <w:color w:val="auto"/>
                <w:sz w:val="24"/>
                <w:szCs w:val="21"/>
                <w:highlight w:val="none"/>
                <w:lang w:val="en-US" w:eastAsia="zh-CN"/>
              </w:rPr>
              <w:t>色粉、聚氨酯AB胶、环氧胶、水基胶、植绒胶、水性漆、废活性炭、废机油和机油桶</w:t>
            </w:r>
            <w:r>
              <w:rPr>
                <w:rFonts w:hint="eastAsia" w:ascii="Times New Roman" w:hAnsi="Times New Roman" w:eastAsia="宋体" w:cs="Times New Roman"/>
                <w:color w:val="auto"/>
                <w:sz w:val="24"/>
                <w:szCs w:val="21"/>
                <w:highlight w:val="none"/>
                <w:lang w:val="en-US" w:eastAsia="zh-CN"/>
              </w:rPr>
              <w:t>等</w:t>
            </w:r>
            <w:r>
              <w:rPr>
                <w:rFonts w:hint="eastAsia" w:ascii="Times New Roman" w:hAnsi="Times New Roman" w:eastAsia="宋体" w:cs="Times New Roman"/>
                <w:color w:val="auto"/>
                <w:sz w:val="24"/>
                <w:szCs w:val="21"/>
                <w:highlight w:val="none"/>
              </w:rPr>
              <w:t>。根据《关于做好生态环境和应急管理部门联动工作的意见》（苏环办</w:t>
            </w:r>
            <w:r>
              <w:rPr>
                <w:rFonts w:hint="eastAsia" w:cs="Times New Roman"/>
                <w:color w:val="auto"/>
                <w:sz w:val="24"/>
                <w:szCs w:val="21"/>
                <w:highlight w:val="none"/>
                <w:lang w:eastAsia="zh-CN"/>
              </w:rPr>
              <w:t>〔</w:t>
            </w:r>
            <w:r>
              <w:rPr>
                <w:rFonts w:ascii="Times New Roman" w:hAnsi="Times New Roman" w:eastAsia="宋体" w:cs="Times New Roman"/>
                <w:color w:val="auto"/>
                <w:sz w:val="24"/>
                <w:szCs w:val="21"/>
                <w:highlight w:val="none"/>
              </w:rPr>
              <w:t>2020</w:t>
            </w:r>
            <w:r>
              <w:rPr>
                <w:rFonts w:hint="eastAsia" w:cs="Times New Roman"/>
                <w:color w:val="auto"/>
                <w:sz w:val="24"/>
                <w:szCs w:val="21"/>
                <w:highlight w:val="none"/>
                <w:lang w:eastAsia="zh-CN"/>
              </w:rPr>
              <w:t>〕</w:t>
            </w:r>
            <w:r>
              <w:rPr>
                <w:rFonts w:ascii="Times New Roman" w:hAnsi="Times New Roman" w:eastAsia="宋体" w:cs="Times New Roman"/>
                <w:color w:val="auto"/>
                <w:sz w:val="24"/>
                <w:szCs w:val="21"/>
                <w:highlight w:val="none"/>
              </w:rPr>
              <w:t>101</w:t>
            </w:r>
            <w:r>
              <w:rPr>
                <w:rFonts w:hint="eastAsia" w:ascii="Times New Roman" w:hAnsi="Times New Roman" w:eastAsia="宋体" w:cs="Times New Roman"/>
                <w:color w:val="auto"/>
                <w:sz w:val="24"/>
                <w:szCs w:val="21"/>
                <w:highlight w:val="none"/>
              </w:rPr>
              <w:t>号）的规定，本项目涉及“脱硫脱硝、煤改气、挥发性有机物回收、污水处理、粉尘治理、</w:t>
            </w:r>
            <w:r>
              <w:rPr>
                <w:rFonts w:ascii="Times New Roman" w:hAnsi="Times New Roman" w:eastAsia="宋体" w:cs="Times New Roman"/>
                <w:color w:val="auto"/>
                <w:sz w:val="24"/>
                <w:szCs w:val="21"/>
                <w:highlight w:val="none"/>
              </w:rPr>
              <w:t>RTO</w:t>
            </w:r>
            <w:r>
              <w:rPr>
                <w:rFonts w:hint="eastAsia" w:ascii="Times New Roman" w:hAnsi="Times New Roman" w:eastAsia="宋体" w:cs="Times New Roman"/>
                <w:color w:val="auto"/>
                <w:sz w:val="24"/>
                <w:szCs w:val="21"/>
                <w:highlight w:val="none"/>
              </w:rPr>
              <w:t>焚烧炉等</w:t>
            </w:r>
            <w:r>
              <w:rPr>
                <w:rFonts w:ascii="Times New Roman" w:hAnsi="Times New Roman" w:eastAsia="宋体" w:cs="Times New Roman"/>
                <w:color w:val="auto"/>
                <w:sz w:val="24"/>
                <w:szCs w:val="21"/>
                <w:highlight w:val="none"/>
              </w:rPr>
              <w:t>6</w:t>
            </w:r>
            <w:r>
              <w:rPr>
                <w:rFonts w:hint="eastAsia" w:ascii="Times New Roman" w:hAnsi="Times New Roman" w:eastAsia="宋体" w:cs="Times New Roman"/>
                <w:color w:val="auto"/>
                <w:sz w:val="24"/>
                <w:szCs w:val="21"/>
                <w:highlight w:val="none"/>
              </w:rPr>
              <w:t>类环境治理设施”中的挥发性有机物回收</w:t>
            </w:r>
            <w:r>
              <w:rPr>
                <w:rFonts w:hint="eastAsia" w:ascii="Times New Roman" w:hAnsi="Times New Roman" w:eastAsia="宋体" w:cs="Times New Roman"/>
                <w:color w:val="auto"/>
                <w:sz w:val="24"/>
                <w:szCs w:val="21"/>
                <w:highlight w:val="none"/>
                <w:lang w:eastAsia="zh-CN"/>
              </w:rPr>
              <w:t>、</w:t>
            </w:r>
            <w:r>
              <w:rPr>
                <w:rFonts w:hint="eastAsia" w:ascii="Times New Roman" w:hAnsi="Times New Roman" w:eastAsia="宋体" w:cs="Times New Roman"/>
                <w:color w:val="auto"/>
                <w:sz w:val="24"/>
                <w:szCs w:val="21"/>
                <w:highlight w:val="none"/>
                <w:lang w:val="en-US" w:eastAsia="zh-CN"/>
              </w:rPr>
              <w:t>粉尘治理、污水处理</w:t>
            </w:r>
            <w:r>
              <w:rPr>
                <w:rFonts w:hint="eastAsia" w:ascii="Times New Roman" w:hAnsi="Times New Roman" w:eastAsia="宋体" w:cs="Times New Roman"/>
                <w:color w:val="auto"/>
                <w:sz w:val="24"/>
                <w:szCs w:val="21"/>
                <w:highlight w:val="none"/>
              </w:rPr>
              <w:t>，本项目主要危险物质环境风险识别见下表：</w:t>
            </w:r>
          </w:p>
          <w:p>
            <w:pPr>
              <w:tabs>
                <w:tab w:val="left" w:pos="360"/>
              </w:tabs>
              <w:autoSpaceDE w:val="0"/>
              <w:autoSpaceDN w:val="0"/>
              <w:adjustRightInd w:val="0"/>
              <w:spacing w:line="240" w:lineRule="auto"/>
              <w:jc w:val="center"/>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4.6</w:t>
            </w:r>
            <w:r>
              <w:rPr>
                <w:rFonts w:hint="eastAsia" w:ascii="Times New Roman" w:hAnsi="Times New Roman" w:eastAsia="宋体" w:cs="Times New Roman"/>
                <w:b/>
                <w:bCs/>
                <w:color w:val="auto"/>
                <w:sz w:val="24"/>
                <w:szCs w:val="21"/>
                <w:highlight w:val="none"/>
              </w:rPr>
              <w:t>-</w:t>
            </w:r>
            <w:r>
              <w:rPr>
                <w:rFonts w:hint="eastAsia" w:cs="Times New Roman"/>
                <w:b/>
                <w:bCs/>
                <w:color w:val="auto"/>
                <w:sz w:val="24"/>
                <w:szCs w:val="21"/>
                <w:highlight w:val="none"/>
                <w:lang w:val="en-US" w:eastAsia="zh-CN"/>
              </w:rPr>
              <w:t>3</w:t>
            </w:r>
            <w:r>
              <w:rPr>
                <w:rFonts w:hint="eastAsia" w:ascii="Times New Roman" w:hAnsi="Times New Roman" w:eastAsia="宋体" w:cs="Times New Roman"/>
                <w:b/>
                <w:bCs/>
                <w:color w:val="auto"/>
                <w:sz w:val="24"/>
                <w:szCs w:val="21"/>
                <w:highlight w:val="none"/>
              </w:rPr>
              <w:t>本项目涉及的主要危险物质环境风险识别</w:t>
            </w:r>
          </w:p>
          <w:tbl>
            <w:tblPr>
              <w:tblStyle w:val="25"/>
              <w:tblW w:w="8437" w:type="dxa"/>
              <w:jc w:val="center"/>
              <w:tblInd w:w="0" w:type="dxa"/>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
            <w:tblGrid>
              <w:gridCol w:w="1106"/>
              <w:gridCol w:w="1007"/>
              <w:gridCol w:w="1746"/>
              <w:gridCol w:w="1247"/>
              <w:gridCol w:w="1297"/>
              <w:gridCol w:w="2034"/>
            </w:tblGrid>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106"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危险单元</w:t>
                  </w:r>
                </w:p>
              </w:tc>
              <w:tc>
                <w:tcPr>
                  <w:tcW w:w="1007"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风险源</w:t>
                  </w:r>
                </w:p>
              </w:tc>
              <w:tc>
                <w:tcPr>
                  <w:tcW w:w="1746"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主要危险物质</w:t>
                  </w:r>
                </w:p>
              </w:tc>
              <w:tc>
                <w:tcPr>
                  <w:tcW w:w="1247"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环境风险类型</w:t>
                  </w:r>
                </w:p>
              </w:tc>
              <w:tc>
                <w:tcPr>
                  <w:tcW w:w="1297"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环境影响途径</w:t>
                  </w:r>
                </w:p>
              </w:tc>
              <w:tc>
                <w:tcPr>
                  <w:tcW w:w="2034" w:type="dxa"/>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可能受影响的环境敏感目标</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106" w:type="dxa"/>
                  <w:vMerge w:val="restart"/>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生产</w:t>
                  </w:r>
                  <w:r>
                    <w:rPr>
                      <w:rFonts w:hint="eastAsia" w:ascii="Times New Roman" w:hAnsi="Times New Roman" w:eastAsia="宋体" w:cs="Times New Roman"/>
                      <w:color w:val="auto"/>
                      <w:sz w:val="21"/>
                      <w:szCs w:val="21"/>
                      <w:highlight w:val="none"/>
                      <w:lang w:val="en-US" w:eastAsia="zh-CN"/>
                    </w:rPr>
                    <w:t>区域</w:t>
                  </w:r>
                </w:p>
              </w:tc>
              <w:tc>
                <w:tcPr>
                  <w:tcW w:w="100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原辅材料</w:t>
                  </w:r>
                </w:p>
              </w:tc>
              <w:tc>
                <w:tcPr>
                  <w:tcW w:w="1746" w:type="dxa"/>
                  <w:vAlign w:val="center"/>
                </w:tcPr>
                <w:p>
                  <w:pPr>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val="en-US" w:eastAsia="zh-CN"/>
                    </w:rPr>
                    <w:t>色粉、胶、水性漆、机油</w:t>
                  </w:r>
                </w:p>
              </w:tc>
              <w:tc>
                <w:tcPr>
                  <w:tcW w:w="124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泄漏</w:t>
                  </w:r>
                  <w:r>
                    <w:rPr>
                      <w:rFonts w:hint="eastAsia" w:cs="Times New Roman"/>
                      <w:color w:val="auto"/>
                      <w:sz w:val="21"/>
                      <w:szCs w:val="21"/>
                      <w:highlight w:val="none"/>
                      <w:lang w:val="en-US" w:eastAsia="zh-CN"/>
                    </w:rPr>
                    <w:t>、火灾伴生污染</w:t>
                  </w:r>
                </w:p>
              </w:tc>
              <w:tc>
                <w:tcPr>
                  <w:tcW w:w="1297"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扩散、火灾、爆炸</w:t>
                  </w:r>
                </w:p>
              </w:tc>
              <w:tc>
                <w:tcPr>
                  <w:tcW w:w="2034"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大气环境</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rPr>
                    <w:t>土壤等</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106" w:type="dxa"/>
                  <w:vMerge w:val="continue"/>
                  <w:vAlign w:val="center"/>
                </w:tcPr>
                <w:p>
                  <w:pPr>
                    <w:spacing w:line="240" w:lineRule="auto"/>
                    <w:jc w:val="center"/>
                    <w:rPr>
                      <w:rFonts w:hint="eastAsia" w:cs="Times New Roman"/>
                      <w:color w:val="auto"/>
                      <w:sz w:val="21"/>
                      <w:szCs w:val="21"/>
                      <w:highlight w:val="none"/>
                      <w:lang w:val="en-US" w:eastAsia="zh-CN"/>
                    </w:rPr>
                  </w:pPr>
                </w:p>
              </w:tc>
              <w:tc>
                <w:tcPr>
                  <w:tcW w:w="100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静电植绒生产设备</w:t>
                  </w:r>
                </w:p>
              </w:tc>
              <w:tc>
                <w:tcPr>
                  <w:tcW w:w="1746" w:type="dxa"/>
                  <w:vAlign w:val="center"/>
                </w:tcPr>
                <w:p>
                  <w:pPr>
                    <w:spacing w:line="240" w:lineRule="auto"/>
                    <w:jc w:val="center"/>
                    <w:rPr>
                      <w:rFonts w:hint="default" w:cs="Times New Roman"/>
                      <w:color w:val="auto"/>
                      <w:sz w:val="21"/>
                      <w:szCs w:val="21"/>
                      <w:highlight w:val="none"/>
                      <w:lang w:val="en-US" w:eastAsia="zh-CN"/>
                    </w:rPr>
                  </w:pPr>
                  <w:r>
                    <w:rPr>
                      <w:rFonts w:hint="eastAsia" w:cs="Times New Roman"/>
                      <w:color w:val="auto"/>
                      <w:sz w:val="21"/>
                      <w:szCs w:val="21"/>
                      <w:highlight w:val="none"/>
                      <w:lang w:val="en-US" w:eastAsia="zh-CN"/>
                    </w:rPr>
                    <w:t>/</w:t>
                  </w:r>
                </w:p>
              </w:tc>
              <w:tc>
                <w:tcPr>
                  <w:tcW w:w="124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非正常运行</w:t>
                  </w:r>
                </w:p>
              </w:tc>
              <w:tc>
                <w:tcPr>
                  <w:tcW w:w="129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火灾、爆炸</w:t>
                  </w:r>
                </w:p>
              </w:tc>
              <w:tc>
                <w:tcPr>
                  <w:tcW w:w="2034" w:type="dxa"/>
                  <w:vAlign w:val="center"/>
                </w:tcPr>
                <w:p>
                  <w:pPr>
                    <w:spacing w:line="240" w:lineRule="auto"/>
                    <w:jc w:val="center"/>
                    <w:rPr>
                      <w:rFonts w:hint="eastAsia"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大气环境</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106" w:type="dxa"/>
                  <w:vAlign w:val="center"/>
                </w:tcPr>
                <w:p>
                  <w:pPr>
                    <w:spacing w:line="240" w:lineRule="auto"/>
                    <w:jc w:val="center"/>
                    <w:rPr>
                      <w:rFonts w:hint="eastAsia" w:ascii="Times New Roman" w:hAnsi="Times New Roman" w:eastAsia="宋体" w:cs="Times New Roman"/>
                      <w:color w:val="auto"/>
                      <w:sz w:val="21"/>
                      <w:szCs w:val="21"/>
                      <w:highlight w:val="none"/>
                      <w:lang w:eastAsia="zh-CN"/>
                    </w:rPr>
                  </w:pPr>
                  <w:r>
                    <w:rPr>
                      <w:rFonts w:hint="eastAsia" w:cs="Times New Roman"/>
                      <w:color w:val="auto"/>
                      <w:sz w:val="21"/>
                      <w:szCs w:val="21"/>
                      <w:highlight w:val="none"/>
                      <w:lang w:eastAsia="zh-CN"/>
                    </w:rPr>
                    <w:t>危废堆场</w:t>
                  </w:r>
                </w:p>
              </w:tc>
              <w:tc>
                <w:tcPr>
                  <w:tcW w:w="1007"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危险废物</w:t>
                  </w:r>
                </w:p>
              </w:tc>
              <w:tc>
                <w:tcPr>
                  <w:tcW w:w="174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废活性炭、废机油和机油桶等</w:t>
                  </w:r>
                </w:p>
              </w:tc>
              <w:tc>
                <w:tcPr>
                  <w:tcW w:w="1247"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泄漏、渗漏</w:t>
                  </w:r>
                </w:p>
              </w:tc>
              <w:tc>
                <w:tcPr>
                  <w:tcW w:w="1297"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漫流、渗透、吸收、泄漏、火灾、爆炸</w:t>
                  </w:r>
                </w:p>
              </w:tc>
              <w:tc>
                <w:tcPr>
                  <w:tcW w:w="2034"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大气环境、地表水、地下水、土壤等</w:t>
                  </w:r>
                </w:p>
              </w:tc>
            </w:tr>
            <w:tr>
              <w:tblPrEx>
                <w:tblBorders>
                  <w:top w:val="single" w:color="auto" w:sz="12" w:space="0"/>
                  <w:left w:val="none" w:color="auto" w:sz="0" w:space="0"/>
                  <w:bottom w:val="single" w:color="auto" w:sz="12" w:space="0"/>
                  <w:right w:val="none" w:color="auto" w:sz="0" w:space="0"/>
                  <w:insideH w:val="single" w:color="auto" w:sz="2" w:space="0"/>
                  <w:insideV w:val="single" w:color="auto" w:sz="2" w:space="0"/>
                </w:tblBorders>
                <w:tblLayout w:type="fixed"/>
                <w:tblCellMar>
                  <w:top w:w="0" w:type="dxa"/>
                  <w:left w:w="108" w:type="dxa"/>
                  <w:bottom w:w="0" w:type="dxa"/>
                  <w:right w:w="108" w:type="dxa"/>
                </w:tblCellMar>
              </w:tblPrEx>
              <w:trPr>
                <w:jc w:val="center"/>
              </w:trPr>
              <w:tc>
                <w:tcPr>
                  <w:tcW w:w="1106"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废气处理系统</w:t>
                  </w:r>
                </w:p>
              </w:tc>
              <w:tc>
                <w:tcPr>
                  <w:tcW w:w="100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有机废气、粉尘</w:t>
                  </w:r>
                </w:p>
              </w:tc>
              <w:tc>
                <w:tcPr>
                  <w:tcW w:w="1746"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挥发性有机物、颗粒物</w:t>
                  </w:r>
                </w:p>
              </w:tc>
              <w:tc>
                <w:tcPr>
                  <w:tcW w:w="1247"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非正常运行</w:t>
                  </w:r>
                </w:p>
              </w:tc>
              <w:tc>
                <w:tcPr>
                  <w:tcW w:w="1297"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rPr>
                    <w:t>扩散</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21"/>
                      <w:highlight w:val="none"/>
                      <w:lang w:val="en-US" w:eastAsia="zh-CN"/>
                    </w:rPr>
                    <w:t>火灾、爆炸</w:t>
                  </w:r>
                </w:p>
              </w:tc>
              <w:tc>
                <w:tcPr>
                  <w:tcW w:w="2034" w:type="dxa"/>
                  <w:vAlign w:val="center"/>
                </w:tcPr>
                <w:p>
                  <w:pPr>
                    <w:spacing w:line="240" w:lineRule="auto"/>
                    <w:jc w:val="center"/>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大气环境、土壤等</w:t>
                  </w:r>
                </w:p>
              </w:tc>
            </w:tr>
          </w:tbl>
          <w:p>
            <w:pPr>
              <w:tabs>
                <w:tab w:val="left" w:pos="360"/>
              </w:tabs>
              <w:autoSpaceDE w:val="0"/>
              <w:autoSpaceDN w:val="0"/>
              <w:adjustRightInd w:val="0"/>
              <w:spacing w:line="360" w:lineRule="auto"/>
              <w:ind w:firstLine="480"/>
              <w:jc w:val="center"/>
              <w:rPr>
                <w:rFonts w:hint="default"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w:t>
            </w:r>
            <w:r>
              <w:rPr>
                <w:rFonts w:hint="eastAsia" w:ascii="Times New Roman" w:hAnsi="Times New Roman" w:eastAsia="宋体" w:cs="Times New Roman"/>
                <w:b/>
                <w:bCs/>
                <w:color w:val="auto"/>
                <w:sz w:val="24"/>
                <w:szCs w:val="21"/>
                <w:highlight w:val="none"/>
                <w:lang w:val="en-US" w:eastAsia="zh-CN"/>
              </w:rPr>
              <w:t>.6-</w:t>
            </w:r>
            <w:r>
              <w:rPr>
                <w:rFonts w:hint="eastAsia" w:cs="Times New Roman"/>
                <w:b/>
                <w:bCs/>
                <w:color w:val="auto"/>
                <w:sz w:val="24"/>
                <w:szCs w:val="21"/>
                <w:highlight w:val="none"/>
                <w:lang w:val="en-US" w:eastAsia="zh-CN"/>
              </w:rPr>
              <w:t>4 应急监测方案</w:t>
            </w:r>
          </w:p>
          <w:tbl>
            <w:tblPr>
              <w:tblStyle w:val="25"/>
              <w:tblW w:w="8527"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164"/>
              <w:gridCol w:w="2164"/>
              <w:gridCol w:w="1589"/>
              <w:gridCol w:w="2610"/>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164" w:type="dxa"/>
                  <w:vAlign w:val="center"/>
                </w:tcPr>
                <w:p>
                  <w:pPr>
                    <w:autoSpaceDE w:val="0"/>
                    <w:autoSpaceDN w:val="0"/>
                    <w:adjustRightInd w:val="0"/>
                    <w:snapToGrid w:val="0"/>
                    <w:jc w:val="center"/>
                    <w:rPr>
                      <w:rFonts w:hint="default" w:eastAsia="宋体"/>
                      <w:b/>
                      <w:bCs/>
                      <w:color w:val="auto"/>
                      <w:kern w:val="0"/>
                      <w:szCs w:val="21"/>
                      <w:lang w:val="en-US" w:eastAsia="zh-CN"/>
                    </w:rPr>
                  </w:pPr>
                  <w:r>
                    <w:rPr>
                      <w:rFonts w:hint="eastAsia"/>
                      <w:b/>
                      <w:bCs/>
                      <w:color w:val="auto"/>
                      <w:kern w:val="0"/>
                      <w:szCs w:val="21"/>
                      <w:lang w:val="en-US" w:eastAsia="zh-CN"/>
                    </w:rPr>
                    <w:t>监测内容</w:t>
                  </w:r>
                </w:p>
              </w:tc>
              <w:tc>
                <w:tcPr>
                  <w:tcW w:w="2164" w:type="dxa"/>
                  <w:vAlign w:val="center"/>
                </w:tcPr>
                <w:p>
                  <w:pPr>
                    <w:autoSpaceDE w:val="0"/>
                    <w:autoSpaceDN w:val="0"/>
                    <w:adjustRightInd w:val="0"/>
                    <w:snapToGrid w:val="0"/>
                    <w:jc w:val="center"/>
                    <w:rPr>
                      <w:b/>
                      <w:bCs/>
                      <w:color w:val="auto"/>
                      <w:kern w:val="0"/>
                      <w:szCs w:val="21"/>
                    </w:rPr>
                  </w:pPr>
                  <w:r>
                    <w:rPr>
                      <w:b/>
                      <w:bCs/>
                      <w:color w:val="auto"/>
                      <w:kern w:val="0"/>
                      <w:szCs w:val="21"/>
                    </w:rPr>
                    <w:t>事故类型</w:t>
                  </w:r>
                </w:p>
              </w:tc>
              <w:tc>
                <w:tcPr>
                  <w:tcW w:w="1589" w:type="dxa"/>
                  <w:vAlign w:val="center"/>
                </w:tcPr>
                <w:p>
                  <w:pPr>
                    <w:adjustRightInd w:val="0"/>
                    <w:snapToGrid w:val="0"/>
                    <w:jc w:val="center"/>
                    <w:rPr>
                      <w:b/>
                      <w:bCs/>
                      <w:color w:val="auto"/>
                      <w:kern w:val="0"/>
                      <w:szCs w:val="21"/>
                    </w:rPr>
                  </w:pPr>
                  <w:r>
                    <w:rPr>
                      <w:b/>
                      <w:bCs/>
                      <w:color w:val="auto"/>
                      <w:kern w:val="0"/>
                      <w:szCs w:val="21"/>
                    </w:rPr>
                    <w:t>监测项目</w:t>
                  </w:r>
                </w:p>
              </w:tc>
              <w:tc>
                <w:tcPr>
                  <w:tcW w:w="2610" w:type="dxa"/>
                  <w:vAlign w:val="center"/>
                </w:tcPr>
                <w:p>
                  <w:pPr>
                    <w:adjustRightInd w:val="0"/>
                    <w:snapToGrid w:val="0"/>
                    <w:jc w:val="center"/>
                    <w:rPr>
                      <w:b/>
                      <w:bCs/>
                      <w:color w:val="auto"/>
                      <w:kern w:val="0"/>
                      <w:szCs w:val="21"/>
                    </w:rPr>
                  </w:pPr>
                  <w:r>
                    <w:rPr>
                      <w:b/>
                      <w:bCs/>
                      <w:color w:val="auto"/>
                      <w:kern w:val="0"/>
                      <w:szCs w:val="21"/>
                    </w:rPr>
                    <w:t>监测点位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164" w:type="dxa"/>
                  <w:vMerge w:val="restart"/>
                  <w:vAlign w:val="center"/>
                </w:tcPr>
                <w:p>
                  <w:pPr>
                    <w:adjustRightInd w:val="0"/>
                    <w:snapToGrid w:val="0"/>
                    <w:jc w:val="center"/>
                    <w:rPr>
                      <w:rFonts w:hint="eastAsia" w:eastAsia="宋体"/>
                      <w:color w:val="auto"/>
                      <w:kern w:val="0"/>
                      <w:szCs w:val="21"/>
                      <w:lang w:val="en-US" w:eastAsia="zh-CN"/>
                    </w:rPr>
                  </w:pPr>
                  <w:r>
                    <w:rPr>
                      <w:rFonts w:hint="eastAsia"/>
                      <w:color w:val="auto"/>
                      <w:kern w:val="0"/>
                      <w:szCs w:val="21"/>
                      <w:lang w:val="en-US" w:eastAsia="zh-CN"/>
                    </w:rPr>
                    <w:t>大气</w:t>
                  </w:r>
                </w:p>
              </w:tc>
              <w:tc>
                <w:tcPr>
                  <w:tcW w:w="2164" w:type="dxa"/>
                  <w:vAlign w:val="center"/>
                </w:tcPr>
                <w:p>
                  <w:pPr>
                    <w:adjustRightInd w:val="0"/>
                    <w:snapToGrid w:val="0"/>
                    <w:jc w:val="center"/>
                    <w:rPr>
                      <w:color w:val="auto"/>
                      <w:kern w:val="0"/>
                      <w:szCs w:val="21"/>
                    </w:rPr>
                  </w:pPr>
                  <w:r>
                    <w:rPr>
                      <w:color w:val="auto"/>
                      <w:kern w:val="0"/>
                      <w:szCs w:val="21"/>
                    </w:rPr>
                    <w:t>废气装置损坏</w:t>
                  </w:r>
                </w:p>
              </w:tc>
              <w:tc>
                <w:tcPr>
                  <w:tcW w:w="1589" w:type="dxa"/>
                  <w:vAlign w:val="center"/>
                </w:tcPr>
                <w:p>
                  <w:pPr>
                    <w:adjustRightInd w:val="0"/>
                    <w:snapToGrid w:val="0"/>
                    <w:jc w:val="center"/>
                    <w:rPr>
                      <w:rFonts w:hint="default" w:eastAsia="宋体"/>
                      <w:color w:val="auto"/>
                      <w:kern w:val="0"/>
                      <w:szCs w:val="21"/>
                      <w:lang w:val="en-US" w:eastAsia="zh-CN"/>
                    </w:rPr>
                  </w:pPr>
                  <w:r>
                    <w:rPr>
                      <w:color w:val="auto"/>
                      <w:kern w:val="0"/>
                      <w:szCs w:val="21"/>
                    </w:rPr>
                    <w:t>颗粒物、非甲烷总烃</w:t>
                  </w:r>
                  <w:r>
                    <w:rPr>
                      <w:rFonts w:hint="eastAsia"/>
                      <w:color w:val="auto"/>
                      <w:kern w:val="0"/>
                      <w:szCs w:val="21"/>
                      <w:lang w:eastAsia="zh-CN"/>
                    </w:rPr>
                    <w:t>、</w:t>
                  </w:r>
                  <w:r>
                    <w:rPr>
                      <w:rFonts w:hint="eastAsia"/>
                      <w:color w:val="auto"/>
                      <w:kern w:val="0"/>
                      <w:szCs w:val="21"/>
                      <w:lang w:val="en-US" w:eastAsia="zh-CN"/>
                    </w:rPr>
                    <w:t>MDI</w:t>
                  </w:r>
                </w:p>
              </w:tc>
              <w:tc>
                <w:tcPr>
                  <w:tcW w:w="2610" w:type="dxa"/>
                  <w:vMerge w:val="restart"/>
                  <w:vAlign w:val="center"/>
                </w:tcPr>
                <w:p>
                  <w:pPr>
                    <w:adjustRightInd w:val="0"/>
                    <w:snapToGrid w:val="0"/>
                    <w:jc w:val="center"/>
                    <w:rPr>
                      <w:color w:val="auto"/>
                      <w:kern w:val="0"/>
                      <w:szCs w:val="21"/>
                    </w:rPr>
                  </w:pPr>
                  <w:r>
                    <w:rPr>
                      <w:color w:val="auto"/>
                      <w:kern w:val="0"/>
                      <w:szCs w:val="21"/>
                    </w:rPr>
                    <w:t>厂区下风向100m处G1、厂区下风向300m处G2、厂区下风向500m处G3</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164" w:type="dxa"/>
                  <w:vMerge w:val="continue"/>
                  <w:vAlign w:val="center"/>
                </w:tcPr>
                <w:p>
                  <w:pPr>
                    <w:adjustRightInd w:val="0"/>
                    <w:snapToGrid w:val="0"/>
                    <w:jc w:val="center"/>
                    <w:rPr>
                      <w:color w:val="auto"/>
                      <w:kern w:val="0"/>
                      <w:szCs w:val="21"/>
                    </w:rPr>
                  </w:pPr>
                </w:p>
              </w:tc>
              <w:tc>
                <w:tcPr>
                  <w:tcW w:w="2164" w:type="dxa"/>
                  <w:vAlign w:val="center"/>
                </w:tcPr>
                <w:p>
                  <w:pPr>
                    <w:adjustRightInd w:val="0"/>
                    <w:snapToGrid w:val="0"/>
                    <w:jc w:val="center"/>
                    <w:rPr>
                      <w:color w:val="auto"/>
                      <w:kern w:val="0"/>
                      <w:szCs w:val="21"/>
                    </w:rPr>
                  </w:pPr>
                  <w:r>
                    <w:rPr>
                      <w:color w:val="auto"/>
                      <w:kern w:val="0"/>
                      <w:szCs w:val="21"/>
                    </w:rPr>
                    <w:t>生产车间、原料仓库火灾爆炸事故</w:t>
                  </w:r>
                </w:p>
              </w:tc>
              <w:tc>
                <w:tcPr>
                  <w:tcW w:w="1589" w:type="dxa"/>
                  <w:vAlign w:val="center"/>
                </w:tcPr>
                <w:p>
                  <w:pPr>
                    <w:adjustRightInd w:val="0"/>
                    <w:snapToGrid w:val="0"/>
                    <w:jc w:val="center"/>
                    <w:rPr>
                      <w:rFonts w:hint="default" w:eastAsia="宋体"/>
                      <w:color w:val="auto"/>
                      <w:kern w:val="0"/>
                      <w:szCs w:val="21"/>
                      <w:lang w:val="en-US" w:eastAsia="zh-CN"/>
                    </w:rPr>
                  </w:pPr>
                  <w:r>
                    <w:rPr>
                      <w:color w:val="auto"/>
                      <w:kern w:val="0"/>
                      <w:szCs w:val="21"/>
                    </w:rPr>
                    <w:t>VOCs</w:t>
                  </w:r>
                  <w:r>
                    <w:rPr>
                      <w:rFonts w:hint="eastAsia"/>
                      <w:color w:val="auto"/>
                      <w:kern w:val="0"/>
                      <w:szCs w:val="21"/>
                      <w:lang w:eastAsia="zh-CN"/>
                    </w:rPr>
                    <w:t>、</w:t>
                  </w:r>
                  <w:r>
                    <w:rPr>
                      <w:rFonts w:hint="eastAsia"/>
                      <w:color w:val="auto"/>
                      <w:kern w:val="0"/>
                      <w:szCs w:val="21"/>
                      <w:lang w:val="en-US" w:eastAsia="zh-CN"/>
                    </w:rPr>
                    <w:t>CO、氰化物、氮氧化物</w:t>
                  </w:r>
                </w:p>
              </w:tc>
              <w:tc>
                <w:tcPr>
                  <w:tcW w:w="2610" w:type="dxa"/>
                  <w:vMerge w:val="continue"/>
                  <w:vAlign w:val="center"/>
                </w:tcPr>
                <w:p>
                  <w:pPr>
                    <w:widowControl/>
                    <w:jc w:val="center"/>
                    <w:rPr>
                      <w:color w:val="auto"/>
                      <w:kern w:val="0"/>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23" w:hRule="atLeast"/>
              </w:trPr>
              <w:tc>
                <w:tcPr>
                  <w:tcW w:w="2164" w:type="dxa"/>
                  <w:vAlign w:val="center"/>
                </w:tcPr>
                <w:p>
                  <w:pPr>
                    <w:adjustRightInd w:val="0"/>
                    <w:snapToGrid w:val="0"/>
                    <w:jc w:val="center"/>
                    <w:rPr>
                      <w:rFonts w:hint="eastAsia" w:eastAsia="宋体"/>
                      <w:color w:val="auto"/>
                      <w:kern w:val="0"/>
                      <w:szCs w:val="21"/>
                      <w:lang w:val="en-US" w:eastAsia="zh-CN"/>
                    </w:rPr>
                  </w:pPr>
                  <w:r>
                    <w:rPr>
                      <w:rFonts w:hint="eastAsia"/>
                      <w:color w:val="auto"/>
                      <w:kern w:val="0"/>
                      <w:szCs w:val="21"/>
                      <w:lang w:val="en-US" w:eastAsia="zh-CN"/>
                    </w:rPr>
                    <w:t>地表水</w:t>
                  </w:r>
                </w:p>
              </w:tc>
              <w:tc>
                <w:tcPr>
                  <w:tcW w:w="2164" w:type="dxa"/>
                  <w:vAlign w:val="center"/>
                </w:tcPr>
                <w:p>
                  <w:pPr>
                    <w:adjustRightInd w:val="0"/>
                    <w:snapToGrid w:val="0"/>
                    <w:jc w:val="center"/>
                    <w:rPr>
                      <w:rFonts w:hint="default" w:eastAsia="宋体"/>
                      <w:color w:val="auto"/>
                      <w:kern w:val="0"/>
                      <w:szCs w:val="21"/>
                      <w:lang w:val="en-US" w:eastAsia="zh-CN"/>
                    </w:rPr>
                  </w:pPr>
                  <w:r>
                    <w:rPr>
                      <w:rFonts w:hint="eastAsia"/>
                      <w:color w:val="auto"/>
                      <w:kern w:val="0"/>
                      <w:szCs w:val="21"/>
                      <w:lang w:val="en-US" w:eastAsia="zh-CN"/>
                    </w:rPr>
                    <w:t>生产火灾事故产生消防废水</w:t>
                  </w:r>
                </w:p>
              </w:tc>
              <w:tc>
                <w:tcPr>
                  <w:tcW w:w="1589" w:type="dxa"/>
                  <w:vAlign w:val="center"/>
                </w:tcPr>
                <w:p>
                  <w:pPr>
                    <w:adjustRightInd w:val="0"/>
                    <w:snapToGrid w:val="0"/>
                    <w:jc w:val="center"/>
                    <w:rPr>
                      <w:rFonts w:hint="default" w:eastAsia="宋体"/>
                      <w:color w:val="auto"/>
                      <w:kern w:val="0"/>
                      <w:szCs w:val="21"/>
                      <w:lang w:val="en-US" w:eastAsia="zh-CN"/>
                    </w:rPr>
                  </w:pPr>
                  <w:r>
                    <w:rPr>
                      <w:color w:val="auto"/>
                      <w:szCs w:val="21"/>
                    </w:rPr>
                    <w:t>pH、COD、氨氮</w:t>
                  </w:r>
                  <w:r>
                    <w:rPr>
                      <w:rFonts w:hint="eastAsia"/>
                      <w:color w:val="auto"/>
                      <w:szCs w:val="21"/>
                      <w:lang w:eastAsia="zh-CN"/>
                    </w:rPr>
                    <w:t>、</w:t>
                  </w:r>
                  <w:r>
                    <w:rPr>
                      <w:rFonts w:hint="eastAsia"/>
                      <w:color w:val="auto"/>
                      <w:szCs w:val="21"/>
                      <w:lang w:val="en-US" w:eastAsia="zh-CN"/>
                    </w:rPr>
                    <w:t>石油类</w:t>
                  </w:r>
                </w:p>
              </w:tc>
              <w:tc>
                <w:tcPr>
                  <w:tcW w:w="2610" w:type="dxa"/>
                  <w:vAlign w:val="center"/>
                </w:tcPr>
                <w:p>
                  <w:pPr>
                    <w:widowControl/>
                    <w:jc w:val="center"/>
                    <w:rPr>
                      <w:rFonts w:hint="default" w:eastAsia="宋体"/>
                      <w:color w:val="auto"/>
                      <w:kern w:val="0"/>
                      <w:szCs w:val="21"/>
                      <w:lang w:val="en-US" w:eastAsia="zh-CN"/>
                    </w:rPr>
                  </w:pPr>
                  <w:r>
                    <w:rPr>
                      <w:rFonts w:hint="eastAsia"/>
                      <w:color w:val="auto"/>
                      <w:kern w:val="0"/>
                      <w:szCs w:val="21"/>
                      <w:lang w:val="en-US" w:eastAsia="zh-CN"/>
                    </w:rPr>
                    <w:t>雨水受纳河流</w:t>
                  </w:r>
                </w:p>
              </w:tc>
            </w:tr>
          </w:tbl>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4</w:t>
            </w:r>
            <w:r>
              <w:rPr>
                <w:rFonts w:hint="eastAsia" w:ascii="Times New Roman" w:hAnsi="Times New Roman" w:eastAsia="宋体" w:cs="Times New Roman"/>
                <w:color w:val="auto"/>
                <w:sz w:val="24"/>
                <w:szCs w:val="21"/>
                <w:highlight w:val="none"/>
              </w:rPr>
              <w:t>）环境风险分析</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该项目环境风险简单分析内容见表</w:t>
            </w:r>
            <w:r>
              <w:rPr>
                <w:rFonts w:ascii="Times New Roman" w:hAnsi="Times New Roman" w:eastAsia="宋体" w:cs="Times New Roman"/>
                <w:color w:val="auto"/>
                <w:sz w:val="24"/>
                <w:szCs w:val="21"/>
                <w:highlight w:val="none"/>
              </w:rPr>
              <w:t>4.</w:t>
            </w:r>
            <w:r>
              <w:rPr>
                <w:rFonts w:hint="eastAsia" w:ascii="Times New Roman" w:hAnsi="Times New Roman" w:eastAsia="宋体" w:cs="Times New Roman"/>
                <w:color w:val="auto"/>
                <w:sz w:val="24"/>
                <w:szCs w:val="21"/>
                <w:highlight w:val="none"/>
                <w:lang w:val="en-US" w:eastAsia="zh-CN"/>
              </w:rPr>
              <w:t>6-</w:t>
            </w:r>
            <w:r>
              <w:rPr>
                <w:rFonts w:hint="eastAsia" w:cs="Times New Roman"/>
                <w:color w:val="auto"/>
                <w:sz w:val="24"/>
                <w:szCs w:val="21"/>
                <w:highlight w:val="none"/>
                <w:lang w:val="en-US" w:eastAsia="zh-CN"/>
              </w:rPr>
              <w:t>5</w:t>
            </w:r>
            <w:r>
              <w:rPr>
                <w:rFonts w:hint="eastAsia" w:ascii="Times New Roman" w:hAnsi="Times New Roman" w:eastAsia="宋体" w:cs="Times New Roman"/>
                <w:color w:val="auto"/>
                <w:sz w:val="24"/>
                <w:szCs w:val="21"/>
                <w:highlight w:val="none"/>
              </w:rPr>
              <w:t>。</w:t>
            </w:r>
          </w:p>
          <w:p>
            <w:pPr>
              <w:tabs>
                <w:tab w:val="left" w:pos="360"/>
              </w:tabs>
              <w:autoSpaceDE w:val="0"/>
              <w:autoSpaceDN w:val="0"/>
              <w:adjustRightInd w:val="0"/>
              <w:spacing w:line="240" w:lineRule="auto"/>
              <w:jc w:val="center"/>
              <w:rPr>
                <w:rFonts w:ascii="Times New Roman" w:hAnsi="Times New Roman" w:eastAsia="宋体" w:cs="Times New Roman"/>
                <w:color w:val="auto"/>
                <w:sz w:val="24"/>
                <w:szCs w:val="21"/>
                <w:highlight w:val="none"/>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w:t>
            </w:r>
            <w:r>
              <w:rPr>
                <w:rFonts w:hint="eastAsia" w:ascii="Times New Roman" w:hAnsi="Times New Roman" w:eastAsia="宋体" w:cs="Times New Roman"/>
                <w:b/>
                <w:bCs/>
                <w:color w:val="auto"/>
                <w:sz w:val="24"/>
                <w:szCs w:val="21"/>
                <w:highlight w:val="none"/>
                <w:lang w:val="en-US" w:eastAsia="zh-CN"/>
              </w:rPr>
              <w:t>.6-</w:t>
            </w:r>
            <w:r>
              <w:rPr>
                <w:rFonts w:hint="eastAsia" w:cs="Times New Roman"/>
                <w:b/>
                <w:bCs/>
                <w:color w:val="auto"/>
                <w:sz w:val="24"/>
                <w:szCs w:val="21"/>
                <w:highlight w:val="none"/>
                <w:lang w:val="en-US" w:eastAsia="zh-CN"/>
              </w:rPr>
              <w:t>5</w:t>
            </w:r>
            <w:r>
              <w:rPr>
                <w:rFonts w:hint="eastAsia" w:ascii="Times New Roman" w:hAnsi="Times New Roman" w:eastAsia="宋体" w:cs="Times New Roman"/>
                <w:b/>
                <w:bCs/>
                <w:color w:val="auto"/>
                <w:sz w:val="24"/>
                <w:szCs w:val="21"/>
                <w:highlight w:val="none"/>
              </w:rPr>
              <w:t>建设项目环境风险简单分析内容表</w:t>
            </w:r>
          </w:p>
          <w:tbl>
            <w:tblPr>
              <w:tblStyle w:val="25"/>
              <w:tblW w:w="8527" w:type="dxa"/>
              <w:jc w:val="center"/>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727"/>
              <w:gridCol w:w="1468"/>
              <w:gridCol w:w="1325"/>
              <w:gridCol w:w="4007"/>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7" w:type="dxa"/>
                  <w:tcBorders>
                    <w:top w:val="single" w:color="auto" w:sz="12" w:space="0"/>
                    <w:left w:val="nil"/>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ascii="Times New Roman" w:hAnsi="Times New Roman" w:eastAsia="宋体" w:cs="Times New Roman"/>
                      <w:b/>
                      <w:bCs/>
                      <w:color w:val="auto"/>
                      <w:sz w:val="21"/>
                      <w:szCs w:val="16"/>
                      <w:highlight w:val="none"/>
                    </w:rPr>
                  </w:pPr>
                  <w:r>
                    <w:rPr>
                      <w:rFonts w:hint="eastAsia" w:ascii="Times New Roman" w:hAnsi="Times New Roman" w:eastAsia="宋体" w:cs="Times New Roman"/>
                      <w:b/>
                      <w:bCs/>
                      <w:color w:val="auto"/>
                      <w:sz w:val="21"/>
                      <w:szCs w:val="16"/>
                      <w:highlight w:val="none"/>
                    </w:rPr>
                    <w:t>项目名称</w:t>
                  </w:r>
                </w:p>
              </w:tc>
              <w:tc>
                <w:tcPr>
                  <w:tcW w:w="6800" w:type="dxa"/>
                  <w:gridSpan w:val="3"/>
                  <w:tcBorders>
                    <w:top w:val="single" w:color="auto" w:sz="12" w:space="0"/>
                    <w:left w:val="single" w:color="auto" w:sz="4" w:space="0"/>
                    <w:bottom w:val="single" w:color="auto" w:sz="4" w:space="0"/>
                    <w:right w:val="nil"/>
                  </w:tcBorders>
                  <w:vAlign w:val="center"/>
                </w:tcPr>
                <w:p>
                  <w:pPr>
                    <w:tabs>
                      <w:tab w:val="left" w:pos="360"/>
                    </w:tabs>
                    <w:autoSpaceDE w:val="0"/>
                    <w:autoSpaceDN w:val="0"/>
                    <w:adjustRightInd w:val="0"/>
                    <w:spacing w:line="240" w:lineRule="auto"/>
                    <w:jc w:val="center"/>
                    <w:rPr>
                      <w:rFonts w:hint="eastAsia" w:ascii="Times New Roman" w:hAnsi="Times New Roman" w:eastAsia="宋体" w:cs="Times New Roman"/>
                      <w:color w:val="auto"/>
                      <w:sz w:val="21"/>
                      <w:szCs w:val="16"/>
                      <w:highlight w:val="none"/>
                      <w:lang w:eastAsia="zh-CN"/>
                    </w:rPr>
                  </w:pPr>
                  <w:r>
                    <w:rPr>
                      <w:rFonts w:hint="eastAsia" w:cs="Times New Roman"/>
                      <w:color w:val="auto"/>
                      <w:sz w:val="21"/>
                      <w:szCs w:val="16"/>
                      <w:highlight w:val="none"/>
                      <w:lang w:eastAsia="zh-CN"/>
                    </w:rPr>
                    <w:t>南通汉德家用电器有限公司</w:t>
                  </w:r>
                  <w:r>
                    <w:rPr>
                      <w:rFonts w:hint="eastAsia" w:ascii="Times New Roman" w:hAnsi="Times New Roman" w:eastAsia="宋体" w:cs="Times New Roman"/>
                      <w:color w:val="auto"/>
                      <w:sz w:val="21"/>
                      <w:szCs w:val="16"/>
                      <w:highlight w:val="none"/>
                      <w:lang w:eastAsia="zh-CN"/>
                    </w:rPr>
                    <w:t>年产5000万个滚筒刷、5000万个板刷、5000万个漆刷生产项目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7" w:type="dxa"/>
                  <w:tcBorders>
                    <w:top w:val="single" w:color="auto" w:sz="4" w:space="0"/>
                    <w:left w:val="nil"/>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ascii="Times New Roman" w:hAnsi="Times New Roman" w:eastAsia="宋体" w:cs="Times New Roman"/>
                      <w:b/>
                      <w:bCs/>
                      <w:color w:val="auto"/>
                      <w:sz w:val="21"/>
                      <w:szCs w:val="16"/>
                      <w:highlight w:val="none"/>
                    </w:rPr>
                  </w:pPr>
                  <w:r>
                    <w:rPr>
                      <w:rFonts w:hint="eastAsia" w:ascii="Times New Roman" w:hAnsi="Times New Roman" w:eastAsia="宋体" w:cs="Times New Roman"/>
                      <w:b/>
                      <w:bCs/>
                      <w:color w:val="auto"/>
                      <w:sz w:val="21"/>
                      <w:szCs w:val="16"/>
                      <w:highlight w:val="none"/>
                    </w:rPr>
                    <w:t>建设地点</w:t>
                  </w: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hint="eastAsia"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rPr>
                    <w:t>江苏省</w:t>
                  </w:r>
                </w:p>
              </w:tc>
              <w:tc>
                <w:tcPr>
                  <w:tcW w:w="1325" w:type="dxa"/>
                  <w:tcBorders>
                    <w:top w:val="single" w:color="auto" w:sz="4" w:space="0"/>
                    <w:left w:val="single" w:color="auto" w:sz="4" w:space="0"/>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hint="eastAsia"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rPr>
                    <w:t>南通市</w:t>
                  </w:r>
                </w:p>
              </w:tc>
              <w:tc>
                <w:tcPr>
                  <w:tcW w:w="4007" w:type="dxa"/>
                  <w:tcBorders>
                    <w:top w:val="single" w:color="auto" w:sz="4" w:space="0"/>
                    <w:left w:val="single" w:color="auto" w:sz="4" w:space="0"/>
                    <w:bottom w:val="single" w:color="auto" w:sz="4" w:space="0"/>
                    <w:right w:val="nil"/>
                  </w:tcBorders>
                  <w:vAlign w:val="center"/>
                </w:tcPr>
                <w:p>
                  <w:pPr>
                    <w:tabs>
                      <w:tab w:val="left" w:pos="360"/>
                    </w:tabs>
                    <w:autoSpaceDE w:val="0"/>
                    <w:autoSpaceDN w:val="0"/>
                    <w:adjustRightInd w:val="0"/>
                    <w:spacing w:line="240" w:lineRule="auto"/>
                    <w:jc w:val="center"/>
                    <w:rPr>
                      <w:rFonts w:hint="eastAsia" w:ascii="Times New Roman" w:hAnsi="Times New Roman" w:eastAsia="宋体" w:cs="Times New Roman"/>
                      <w:color w:val="auto"/>
                      <w:sz w:val="21"/>
                      <w:szCs w:val="16"/>
                      <w:highlight w:val="none"/>
                    </w:rPr>
                  </w:pPr>
                  <w:r>
                    <w:rPr>
                      <w:rFonts w:hint="default" w:ascii="Times New Roman" w:hAnsi="Times New Roman" w:eastAsia="宋体" w:cs="Times New Roman"/>
                      <w:color w:val="auto"/>
                      <w:sz w:val="21"/>
                      <w:szCs w:val="16"/>
                      <w:highlight w:val="none"/>
                      <w:lang w:val="en-US" w:eastAsia="zh-CN"/>
                    </w:rPr>
                    <w:t>江苏省如皋市城北街道起凤西路118号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7" w:type="dxa"/>
                  <w:tcBorders>
                    <w:top w:val="single" w:color="auto" w:sz="4" w:space="0"/>
                    <w:left w:val="nil"/>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ascii="Times New Roman" w:hAnsi="Times New Roman" w:eastAsia="宋体" w:cs="Times New Roman"/>
                      <w:b/>
                      <w:bCs/>
                      <w:color w:val="auto"/>
                      <w:sz w:val="21"/>
                      <w:szCs w:val="16"/>
                      <w:highlight w:val="none"/>
                    </w:rPr>
                  </w:pPr>
                  <w:r>
                    <w:rPr>
                      <w:rFonts w:hint="eastAsia" w:ascii="Times New Roman" w:hAnsi="Times New Roman" w:eastAsia="宋体" w:cs="Times New Roman"/>
                      <w:b/>
                      <w:bCs/>
                      <w:color w:val="auto"/>
                      <w:sz w:val="21"/>
                      <w:szCs w:val="16"/>
                      <w:highlight w:val="none"/>
                    </w:rPr>
                    <w:t>危险物质分布</w:t>
                  </w:r>
                </w:p>
              </w:tc>
              <w:tc>
                <w:tcPr>
                  <w:tcW w:w="6800" w:type="dxa"/>
                  <w:gridSpan w:val="3"/>
                  <w:tcBorders>
                    <w:top w:val="single" w:color="auto" w:sz="4" w:space="0"/>
                    <w:left w:val="single" w:color="auto" w:sz="4" w:space="0"/>
                    <w:bottom w:val="single" w:color="auto" w:sz="4" w:space="0"/>
                    <w:right w:val="nil"/>
                  </w:tcBorders>
                  <w:vAlign w:val="center"/>
                </w:tcPr>
                <w:p>
                  <w:pPr>
                    <w:tabs>
                      <w:tab w:val="left" w:pos="360"/>
                    </w:tabs>
                    <w:autoSpaceDE w:val="0"/>
                    <w:autoSpaceDN w:val="0"/>
                    <w:adjustRightInd w:val="0"/>
                    <w:spacing w:line="240" w:lineRule="auto"/>
                    <w:jc w:val="center"/>
                    <w:rPr>
                      <w:rFonts w:hint="eastAsia"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rPr>
                    <w:t>项目主要风险</w:t>
                  </w:r>
                  <w:r>
                    <w:rPr>
                      <w:rFonts w:hint="eastAsia" w:ascii="Times New Roman" w:hAnsi="Times New Roman" w:eastAsia="宋体" w:cs="Times New Roman"/>
                      <w:color w:val="auto"/>
                      <w:sz w:val="21"/>
                      <w:szCs w:val="16"/>
                      <w:highlight w:val="none"/>
                      <w:lang w:val="en-US" w:eastAsia="zh-CN"/>
                    </w:rPr>
                    <w:t>物质</w:t>
                  </w:r>
                  <w:r>
                    <w:rPr>
                      <w:rFonts w:hint="eastAsia" w:ascii="Times New Roman" w:hAnsi="Times New Roman" w:eastAsia="宋体" w:cs="Times New Roman"/>
                      <w:color w:val="auto"/>
                      <w:sz w:val="21"/>
                      <w:szCs w:val="16"/>
                      <w:highlight w:val="none"/>
                    </w:rPr>
                    <w:t>为</w:t>
                  </w:r>
                  <w:r>
                    <w:rPr>
                      <w:rFonts w:hint="eastAsia" w:cs="Times New Roman"/>
                      <w:color w:val="auto"/>
                      <w:sz w:val="21"/>
                      <w:szCs w:val="16"/>
                      <w:highlight w:val="none"/>
                      <w:lang w:val="en-US" w:eastAsia="zh-CN"/>
                    </w:rPr>
                    <w:t>聚氨酯AB胶</w:t>
                  </w:r>
                  <w:r>
                    <w:rPr>
                      <w:rFonts w:hint="eastAsia" w:ascii="Times New Roman" w:hAnsi="Times New Roman" w:eastAsia="宋体" w:cs="Times New Roman"/>
                      <w:color w:val="auto"/>
                      <w:sz w:val="21"/>
                      <w:szCs w:val="16"/>
                      <w:highlight w:val="none"/>
                      <w:lang w:val="en-US" w:eastAsia="zh-CN"/>
                    </w:rPr>
                    <w:t>、</w:t>
                  </w:r>
                  <w:r>
                    <w:rPr>
                      <w:rFonts w:hint="eastAsia" w:cs="Times New Roman"/>
                      <w:color w:val="auto"/>
                      <w:sz w:val="21"/>
                      <w:szCs w:val="16"/>
                      <w:highlight w:val="none"/>
                      <w:lang w:val="en-US" w:eastAsia="zh-CN"/>
                    </w:rPr>
                    <w:t>环氧胶</w:t>
                  </w:r>
                  <w:r>
                    <w:rPr>
                      <w:rFonts w:hint="eastAsia" w:ascii="Times New Roman" w:hAnsi="Times New Roman" w:eastAsia="宋体" w:cs="Times New Roman"/>
                      <w:color w:val="auto"/>
                      <w:sz w:val="21"/>
                      <w:szCs w:val="16"/>
                      <w:highlight w:val="none"/>
                      <w:lang w:val="en-US" w:eastAsia="zh-CN"/>
                    </w:rPr>
                    <w:t>、</w:t>
                  </w:r>
                  <w:r>
                    <w:rPr>
                      <w:rFonts w:hint="eastAsia" w:cs="Times New Roman"/>
                      <w:color w:val="auto"/>
                      <w:sz w:val="21"/>
                      <w:szCs w:val="16"/>
                      <w:highlight w:val="none"/>
                      <w:lang w:val="en-US" w:eastAsia="zh-CN"/>
                    </w:rPr>
                    <w:t>水基胶、</w:t>
                  </w:r>
                  <w:r>
                    <w:rPr>
                      <w:rFonts w:hint="eastAsia" w:ascii="Times New Roman" w:hAnsi="Times New Roman" w:eastAsia="宋体" w:cs="Times New Roman"/>
                      <w:color w:val="auto"/>
                      <w:sz w:val="21"/>
                      <w:szCs w:val="16"/>
                      <w:highlight w:val="none"/>
                      <w:lang w:val="en-US" w:eastAsia="zh-CN"/>
                    </w:rPr>
                    <w:t>植绒胶、水性漆、</w:t>
                  </w:r>
                  <w:r>
                    <w:rPr>
                      <w:rFonts w:hint="eastAsia" w:cs="Times New Roman"/>
                      <w:color w:val="auto"/>
                      <w:sz w:val="21"/>
                      <w:szCs w:val="16"/>
                      <w:highlight w:val="none"/>
                      <w:lang w:val="en-US" w:eastAsia="zh-CN"/>
                    </w:rPr>
                    <w:t>危险废物</w:t>
                  </w:r>
                  <w:r>
                    <w:rPr>
                      <w:rFonts w:hint="eastAsia" w:ascii="Times New Roman" w:hAnsi="Times New Roman" w:eastAsia="宋体" w:cs="Times New Roman"/>
                      <w:color w:val="auto"/>
                      <w:sz w:val="21"/>
                      <w:szCs w:val="16"/>
                      <w:highlight w:val="none"/>
                      <w:lang w:val="en-US" w:eastAsia="zh-CN"/>
                    </w:rPr>
                    <w:t>等</w:t>
                  </w:r>
                  <w:r>
                    <w:rPr>
                      <w:rFonts w:hint="eastAsia" w:ascii="Times New Roman" w:hAnsi="Times New Roman" w:eastAsia="宋体" w:cs="Times New Roman"/>
                      <w:color w:val="auto"/>
                      <w:sz w:val="21"/>
                      <w:szCs w:val="16"/>
                      <w:highlight w:val="none"/>
                    </w:rPr>
                    <w:t>，危险废物放于</w:t>
                  </w:r>
                  <w:r>
                    <w:rPr>
                      <w:rFonts w:hint="eastAsia" w:ascii="Times New Roman" w:hAnsi="Times New Roman" w:eastAsia="宋体" w:cs="Times New Roman"/>
                      <w:color w:val="auto"/>
                      <w:sz w:val="21"/>
                      <w:szCs w:val="16"/>
                      <w:highlight w:val="none"/>
                      <w:lang w:eastAsia="zh-CN"/>
                    </w:rPr>
                    <w:t>危废堆场</w:t>
                  </w:r>
                  <w:r>
                    <w:rPr>
                      <w:rFonts w:hint="eastAsia" w:ascii="Times New Roman" w:hAnsi="Times New Roman" w:eastAsia="宋体" w:cs="Times New Roman"/>
                      <w:color w:val="auto"/>
                      <w:sz w:val="21"/>
                      <w:szCs w:val="16"/>
                      <w:highlight w:val="none"/>
                    </w:rPr>
                    <w:t>。</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7" w:type="dxa"/>
                  <w:tcBorders>
                    <w:top w:val="single" w:color="auto" w:sz="4" w:space="0"/>
                    <w:left w:val="nil"/>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ascii="Times New Roman" w:hAnsi="Times New Roman" w:eastAsia="宋体" w:cs="Times New Roman"/>
                      <w:b/>
                      <w:bCs/>
                      <w:color w:val="auto"/>
                      <w:sz w:val="21"/>
                      <w:szCs w:val="16"/>
                      <w:highlight w:val="none"/>
                    </w:rPr>
                  </w:pPr>
                  <w:r>
                    <w:rPr>
                      <w:rFonts w:hint="eastAsia" w:ascii="Times New Roman" w:hAnsi="Times New Roman" w:eastAsia="宋体" w:cs="Times New Roman"/>
                      <w:b/>
                      <w:bCs/>
                      <w:color w:val="auto"/>
                      <w:sz w:val="21"/>
                      <w:szCs w:val="16"/>
                      <w:highlight w:val="none"/>
                    </w:rPr>
                    <w:t>环境影响途径及危害后果（大气、地表水、地下水等）</w:t>
                  </w:r>
                </w:p>
              </w:tc>
              <w:tc>
                <w:tcPr>
                  <w:tcW w:w="6800" w:type="dxa"/>
                  <w:gridSpan w:val="3"/>
                  <w:tcBorders>
                    <w:top w:val="single" w:color="auto" w:sz="4" w:space="0"/>
                    <w:left w:val="single" w:color="auto" w:sz="4" w:space="0"/>
                    <w:bottom w:val="single" w:color="auto" w:sz="4" w:space="0"/>
                    <w:right w:val="nil"/>
                  </w:tcBorders>
                  <w:vAlign w:val="center"/>
                </w:tcPr>
                <w:p>
                  <w:pPr>
                    <w:tabs>
                      <w:tab w:val="left" w:pos="360"/>
                    </w:tabs>
                    <w:autoSpaceDE w:val="0"/>
                    <w:autoSpaceDN w:val="0"/>
                    <w:adjustRightInd w:val="0"/>
                    <w:spacing w:line="240" w:lineRule="auto"/>
                    <w:rPr>
                      <w:rFonts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lang w:val="en-US" w:eastAsia="zh-CN"/>
                    </w:rPr>
                    <w:t>①</w:t>
                  </w:r>
                  <w:r>
                    <w:rPr>
                      <w:rFonts w:hint="eastAsia" w:ascii="Times New Roman" w:hAnsi="Times New Roman" w:eastAsia="宋体" w:cs="Times New Roman"/>
                      <w:color w:val="auto"/>
                      <w:sz w:val="21"/>
                      <w:szCs w:val="16"/>
                      <w:highlight w:val="none"/>
                    </w:rPr>
                    <w:t>项目废气处理设施正常运行时，可以保证废气中污染物均能达标排放。当废气处理设施发生故障时，会造成大量未处理达标的废气直接排入空气中，对环境空气造成较大的影响。</w:t>
                  </w:r>
                </w:p>
                <w:p>
                  <w:pPr>
                    <w:tabs>
                      <w:tab w:val="left" w:pos="360"/>
                    </w:tabs>
                    <w:autoSpaceDE w:val="0"/>
                    <w:autoSpaceDN w:val="0"/>
                    <w:adjustRightInd w:val="0"/>
                    <w:spacing w:line="240" w:lineRule="auto"/>
                    <w:rPr>
                      <w:rFonts w:hint="eastAsia"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lang w:val="en-US" w:eastAsia="zh-CN"/>
                    </w:rPr>
                    <w:t>②</w:t>
                  </w:r>
                  <w:r>
                    <w:rPr>
                      <w:rFonts w:hint="eastAsia" w:ascii="Times New Roman" w:hAnsi="Times New Roman" w:eastAsia="宋体" w:cs="Times New Roman"/>
                      <w:color w:val="auto"/>
                      <w:sz w:val="21"/>
                      <w:szCs w:val="16"/>
                      <w:highlight w:val="none"/>
                    </w:rPr>
                    <w:t>项目废气处理设施长期未清理、更换，可能导致吸附高浓度VOCs</w:t>
                  </w:r>
                  <w:r>
                    <w:rPr>
                      <w:rFonts w:hint="eastAsia" w:ascii="Times New Roman" w:hAnsi="Times New Roman" w:eastAsia="宋体" w:cs="Times New Roman"/>
                      <w:color w:val="auto"/>
                      <w:sz w:val="21"/>
                      <w:szCs w:val="16"/>
                      <w:highlight w:val="none"/>
                      <w:lang w:val="en-US" w:eastAsia="zh-CN"/>
                    </w:rPr>
                    <w:t>装置</w:t>
                  </w:r>
                  <w:r>
                    <w:rPr>
                      <w:rFonts w:hint="eastAsia" w:ascii="Times New Roman" w:hAnsi="Times New Roman" w:eastAsia="宋体" w:cs="Times New Roman"/>
                      <w:color w:val="auto"/>
                      <w:sz w:val="21"/>
                      <w:szCs w:val="16"/>
                      <w:highlight w:val="none"/>
                    </w:rPr>
                    <w:t>堆积</w:t>
                  </w:r>
                  <w:r>
                    <w:rPr>
                      <w:rFonts w:hint="eastAsia" w:ascii="Times New Roman" w:hAnsi="Times New Roman" w:eastAsia="宋体" w:cs="Times New Roman"/>
                      <w:color w:val="auto"/>
                      <w:sz w:val="21"/>
                      <w:szCs w:val="16"/>
                      <w:highlight w:val="none"/>
                      <w:lang w:eastAsia="zh-CN"/>
                    </w:rPr>
                    <w:t>，</w:t>
                  </w:r>
                  <w:r>
                    <w:rPr>
                      <w:rFonts w:hint="eastAsia" w:ascii="Times New Roman" w:hAnsi="Times New Roman" w:eastAsia="宋体" w:cs="Times New Roman"/>
                      <w:color w:val="auto"/>
                      <w:sz w:val="21"/>
                      <w:szCs w:val="16"/>
                      <w:highlight w:val="none"/>
                      <w:lang w:val="en-US" w:eastAsia="zh-CN"/>
                    </w:rPr>
                    <w:t>造成温度过高</w:t>
                  </w:r>
                  <w:r>
                    <w:rPr>
                      <w:rFonts w:hint="eastAsia" w:ascii="Times New Roman" w:hAnsi="Times New Roman" w:eastAsia="宋体" w:cs="Times New Roman"/>
                      <w:color w:val="auto"/>
                      <w:sz w:val="21"/>
                      <w:szCs w:val="16"/>
                      <w:highlight w:val="none"/>
                    </w:rPr>
                    <w:t>等，引起的火灾爆炸，对大气环境、水环境等均会造成较大影响。</w:t>
                  </w:r>
                </w:p>
                <w:p>
                  <w:pPr>
                    <w:tabs>
                      <w:tab w:val="left" w:pos="360"/>
                    </w:tabs>
                    <w:autoSpaceDE w:val="0"/>
                    <w:autoSpaceDN w:val="0"/>
                    <w:adjustRightInd w:val="0"/>
                    <w:spacing w:line="240" w:lineRule="auto"/>
                    <w:rPr>
                      <w:rFonts w:hint="default" w:ascii="Times New Roman" w:hAnsi="Times New Roman" w:eastAsia="宋体" w:cs="Times New Roman"/>
                      <w:color w:val="auto"/>
                      <w:sz w:val="21"/>
                      <w:szCs w:val="16"/>
                      <w:highlight w:val="none"/>
                      <w:lang w:val="en-US" w:eastAsia="zh-CN"/>
                    </w:rPr>
                  </w:pPr>
                  <w:r>
                    <w:rPr>
                      <w:rFonts w:hint="eastAsia" w:ascii="Times New Roman" w:hAnsi="Times New Roman" w:eastAsia="宋体" w:cs="Times New Roman"/>
                      <w:color w:val="auto"/>
                      <w:sz w:val="21"/>
                      <w:szCs w:val="16"/>
                      <w:highlight w:val="none"/>
                      <w:lang w:val="en-US" w:eastAsia="zh-CN"/>
                    </w:rPr>
                    <w:t>③</w:t>
                  </w:r>
                  <w:r>
                    <w:rPr>
                      <w:rFonts w:hint="eastAsia" w:cs="Times New Roman"/>
                      <w:color w:val="auto"/>
                      <w:sz w:val="21"/>
                      <w:szCs w:val="16"/>
                      <w:highlight w:val="none"/>
                      <w:lang w:val="en-US" w:eastAsia="zh-CN"/>
                    </w:rPr>
                    <w:t>危废堆场</w:t>
                  </w:r>
                  <w:r>
                    <w:rPr>
                      <w:rFonts w:hint="eastAsia" w:ascii="Times New Roman" w:hAnsi="Times New Roman" w:eastAsia="宋体" w:cs="Times New Roman"/>
                      <w:color w:val="auto"/>
                      <w:sz w:val="21"/>
                      <w:szCs w:val="16"/>
                      <w:highlight w:val="none"/>
                      <w:lang w:val="en-US" w:eastAsia="zh-CN"/>
                    </w:rPr>
                    <w:t>内危险废物在存放过程中如储存不当，管理不善，导致危险废物</w:t>
                  </w:r>
                  <w:r>
                    <w:rPr>
                      <w:rFonts w:hint="eastAsia" w:cs="Times New Roman"/>
                      <w:color w:val="auto"/>
                      <w:sz w:val="21"/>
                      <w:szCs w:val="16"/>
                      <w:highlight w:val="none"/>
                      <w:lang w:val="en-US" w:eastAsia="zh-CN"/>
                    </w:rPr>
                    <w:t>泄漏</w:t>
                  </w:r>
                  <w:r>
                    <w:rPr>
                      <w:rFonts w:hint="eastAsia" w:ascii="Times New Roman" w:hAnsi="Times New Roman" w:eastAsia="宋体" w:cs="Times New Roman"/>
                      <w:color w:val="auto"/>
                      <w:sz w:val="21"/>
                      <w:szCs w:val="16"/>
                      <w:highlight w:val="none"/>
                      <w:lang w:val="en-US" w:eastAsia="zh-CN"/>
                    </w:rPr>
                    <w:t>、渗漏，流入外环境，会造成周边地表水环境、土壤环境等造成影响。</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727" w:type="dxa"/>
                  <w:tcBorders>
                    <w:top w:val="single" w:color="auto" w:sz="4" w:space="0"/>
                    <w:left w:val="nil"/>
                    <w:bottom w:val="single" w:color="auto" w:sz="4" w:space="0"/>
                    <w:right w:val="single" w:color="auto" w:sz="4" w:space="0"/>
                  </w:tcBorders>
                  <w:vAlign w:val="center"/>
                </w:tcPr>
                <w:p>
                  <w:pPr>
                    <w:tabs>
                      <w:tab w:val="left" w:pos="360"/>
                    </w:tabs>
                    <w:autoSpaceDE w:val="0"/>
                    <w:autoSpaceDN w:val="0"/>
                    <w:adjustRightInd w:val="0"/>
                    <w:spacing w:line="240" w:lineRule="auto"/>
                    <w:jc w:val="center"/>
                    <w:rPr>
                      <w:rFonts w:ascii="Times New Roman" w:hAnsi="Times New Roman" w:eastAsia="宋体" w:cs="Times New Roman"/>
                      <w:b/>
                      <w:bCs/>
                      <w:color w:val="auto"/>
                      <w:sz w:val="21"/>
                      <w:szCs w:val="16"/>
                      <w:highlight w:val="none"/>
                    </w:rPr>
                  </w:pPr>
                  <w:r>
                    <w:rPr>
                      <w:rFonts w:hint="eastAsia" w:ascii="Times New Roman" w:hAnsi="Times New Roman" w:eastAsia="宋体" w:cs="Times New Roman"/>
                      <w:b/>
                      <w:bCs/>
                      <w:color w:val="auto"/>
                      <w:sz w:val="21"/>
                      <w:szCs w:val="16"/>
                      <w:highlight w:val="none"/>
                    </w:rPr>
                    <w:t>风险防范措施要求</w:t>
                  </w:r>
                </w:p>
              </w:tc>
              <w:tc>
                <w:tcPr>
                  <w:tcW w:w="6800" w:type="dxa"/>
                  <w:gridSpan w:val="3"/>
                  <w:tcBorders>
                    <w:top w:val="single" w:color="auto" w:sz="4" w:space="0"/>
                    <w:left w:val="single" w:color="auto" w:sz="4" w:space="0"/>
                    <w:bottom w:val="single" w:color="auto" w:sz="4" w:space="0"/>
                    <w:right w:val="nil"/>
                  </w:tcBorders>
                  <w:vAlign w:val="center"/>
                </w:tcPr>
                <w:p>
                  <w:pPr>
                    <w:tabs>
                      <w:tab w:val="left" w:pos="360"/>
                    </w:tabs>
                    <w:autoSpaceDE w:val="0"/>
                    <w:autoSpaceDN w:val="0"/>
                    <w:adjustRightInd w:val="0"/>
                    <w:spacing w:line="240" w:lineRule="auto"/>
                    <w:rPr>
                      <w:rFonts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rPr>
                    <w:t>该项目加强</w:t>
                  </w:r>
                  <w:r>
                    <w:rPr>
                      <w:rFonts w:hint="eastAsia" w:cs="Times New Roman"/>
                      <w:color w:val="auto"/>
                      <w:sz w:val="21"/>
                      <w:szCs w:val="16"/>
                      <w:highlight w:val="none"/>
                      <w:lang w:eastAsia="zh-CN"/>
                    </w:rPr>
                    <w:t>危废堆场</w:t>
                  </w:r>
                  <w:r>
                    <w:rPr>
                      <w:rFonts w:hint="eastAsia" w:ascii="Times New Roman" w:hAnsi="Times New Roman" w:eastAsia="宋体" w:cs="Times New Roman"/>
                      <w:color w:val="auto"/>
                      <w:sz w:val="21"/>
                      <w:szCs w:val="16"/>
                      <w:highlight w:val="none"/>
                    </w:rPr>
                    <w:t>、废气处理设备</w:t>
                  </w:r>
                  <w:r>
                    <w:rPr>
                      <w:rFonts w:hint="eastAsia" w:ascii="Times New Roman" w:hAnsi="Times New Roman" w:eastAsia="宋体" w:cs="Times New Roman"/>
                      <w:color w:val="auto"/>
                      <w:sz w:val="21"/>
                      <w:szCs w:val="16"/>
                      <w:highlight w:val="none"/>
                      <w:lang w:eastAsia="zh-CN"/>
                    </w:rPr>
                    <w:t>、</w:t>
                  </w:r>
                  <w:r>
                    <w:rPr>
                      <w:rFonts w:hint="eastAsia" w:ascii="Times New Roman" w:hAnsi="Times New Roman" w:eastAsia="宋体" w:cs="Times New Roman"/>
                      <w:color w:val="auto"/>
                      <w:sz w:val="21"/>
                      <w:szCs w:val="16"/>
                      <w:highlight w:val="none"/>
                      <w:lang w:val="en-US" w:eastAsia="zh-CN"/>
                    </w:rPr>
                    <w:t>生产车间</w:t>
                  </w:r>
                  <w:r>
                    <w:rPr>
                      <w:rFonts w:hint="eastAsia" w:ascii="Times New Roman" w:hAnsi="Times New Roman" w:eastAsia="宋体" w:cs="Times New Roman"/>
                      <w:color w:val="auto"/>
                      <w:sz w:val="21"/>
                      <w:szCs w:val="16"/>
                      <w:highlight w:val="none"/>
                    </w:rPr>
                    <w:t>的日常管理，定期进行检查；必要时对液态风险物质设置防渗托盘；</w:t>
                  </w:r>
                  <w:r>
                    <w:rPr>
                      <w:rFonts w:hint="eastAsia" w:cs="Times New Roman"/>
                      <w:color w:val="auto"/>
                      <w:sz w:val="21"/>
                      <w:szCs w:val="16"/>
                      <w:highlight w:val="none"/>
                      <w:lang w:val="en-US" w:eastAsia="zh-CN"/>
                    </w:rPr>
                    <w:t>危废堆场</w:t>
                  </w:r>
                  <w:r>
                    <w:rPr>
                      <w:rFonts w:hint="eastAsia" w:ascii="Times New Roman" w:hAnsi="Times New Roman" w:eastAsia="宋体" w:cs="Times New Roman"/>
                      <w:color w:val="auto"/>
                      <w:sz w:val="21"/>
                      <w:szCs w:val="16"/>
                      <w:highlight w:val="none"/>
                      <w:lang w:val="en-US" w:eastAsia="zh-CN"/>
                    </w:rPr>
                    <w:t>内危险废物采用合适的包装桶包装后储存，定期委托有资质单位合理处置，涉及液态的危险废物设置防渗托盘；</w:t>
                  </w:r>
                  <w:r>
                    <w:rPr>
                      <w:rFonts w:hint="eastAsia" w:ascii="Times New Roman" w:hAnsi="Times New Roman" w:eastAsia="宋体" w:cs="Times New Roman"/>
                      <w:color w:val="auto"/>
                      <w:sz w:val="21"/>
                      <w:szCs w:val="16"/>
                      <w:highlight w:val="none"/>
                    </w:rPr>
                    <w:t>厂区设置消防系统，配备必要的消防器材，禁止明火和生产火花；根据生产情况和环评要求，注意废气处理设施的日常养护维修，保证其正常运行，定期更换</w:t>
                  </w:r>
                  <w:r>
                    <w:rPr>
                      <w:rFonts w:hint="eastAsia" w:ascii="Times New Roman" w:hAnsi="Times New Roman" w:eastAsia="宋体" w:cs="Times New Roman"/>
                      <w:color w:val="auto"/>
                      <w:sz w:val="21"/>
                      <w:szCs w:val="16"/>
                      <w:highlight w:val="none"/>
                      <w:lang w:val="en-US" w:eastAsia="zh-CN"/>
                    </w:rPr>
                    <w:t>废气处理设施</w:t>
                  </w:r>
                  <w:r>
                    <w:rPr>
                      <w:rFonts w:hint="eastAsia" w:ascii="Times New Roman" w:hAnsi="Times New Roman" w:eastAsia="宋体" w:cs="Times New Roman"/>
                      <w:color w:val="auto"/>
                      <w:sz w:val="21"/>
                      <w:szCs w:val="16"/>
                      <w:highlight w:val="none"/>
                    </w:rPr>
                    <w:t>，注意日常养护维修避免因</w:t>
                  </w:r>
                  <w:r>
                    <w:rPr>
                      <w:rFonts w:hint="eastAsia" w:ascii="Times New Roman" w:hAnsi="Times New Roman" w:eastAsia="宋体" w:cs="Times New Roman"/>
                      <w:color w:val="auto"/>
                      <w:sz w:val="21"/>
                      <w:szCs w:val="16"/>
                      <w:highlight w:val="none"/>
                      <w:lang w:val="en-US" w:eastAsia="zh-CN"/>
                    </w:rPr>
                    <w:t>温度过高导致火灾、</w:t>
                  </w:r>
                  <w:r>
                    <w:rPr>
                      <w:rFonts w:hint="eastAsia" w:ascii="Times New Roman" w:hAnsi="Times New Roman" w:eastAsia="宋体" w:cs="Times New Roman"/>
                      <w:color w:val="auto"/>
                      <w:sz w:val="21"/>
                      <w:szCs w:val="16"/>
                      <w:highlight w:val="none"/>
                    </w:rPr>
                    <w:t>爆炸事故，避免因处理设施故障导致废气非正常排放事故发生；</w:t>
                  </w:r>
                  <w:r>
                    <w:rPr>
                      <w:rFonts w:hint="eastAsia" w:ascii="Times New Roman" w:hAnsi="Times New Roman" w:eastAsia="宋体" w:cs="Times New Roman"/>
                      <w:color w:val="auto"/>
                      <w:sz w:val="21"/>
                      <w:szCs w:val="16"/>
                      <w:highlight w:val="none"/>
                      <w:lang w:val="en-US" w:eastAsia="zh-CN"/>
                    </w:rPr>
                    <w:t>加强对生产车间内涉及高温加热的生产装置的管理和维护，定期对员工进行培训</w:t>
                  </w:r>
                  <w:r>
                    <w:rPr>
                      <w:rFonts w:hint="eastAsia" w:ascii="Times New Roman" w:hAnsi="Times New Roman" w:eastAsia="宋体" w:cs="Times New Roman"/>
                      <w:color w:val="auto"/>
                      <w:sz w:val="21"/>
                      <w:szCs w:val="16"/>
                      <w:highlight w:val="none"/>
                      <w:lang w:eastAsia="zh-CN"/>
                    </w:rPr>
                    <w:t>；</w:t>
                  </w:r>
                  <w:r>
                    <w:rPr>
                      <w:rFonts w:hint="eastAsia" w:ascii="Times New Roman" w:hAnsi="Times New Roman" w:eastAsia="宋体" w:cs="Times New Roman"/>
                      <w:color w:val="auto"/>
                      <w:sz w:val="21"/>
                      <w:szCs w:val="16"/>
                      <w:highlight w:val="none"/>
                    </w:rPr>
                    <w:t>定期开展对职工的安全生产教育，提高全员安全生产意识；对可能发生的事故，建设单位可定期根据应急计划和预案，进行演习，使各部门在事故发生后能有步骤、有秩序地采取各项应急措施。</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527" w:type="dxa"/>
                  <w:gridSpan w:val="4"/>
                  <w:tcBorders>
                    <w:top w:val="single" w:color="auto" w:sz="4" w:space="0"/>
                    <w:left w:val="nil"/>
                    <w:bottom w:val="single" w:color="auto" w:sz="12" w:space="0"/>
                    <w:right w:val="nil"/>
                  </w:tcBorders>
                  <w:vAlign w:val="center"/>
                </w:tcPr>
                <w:p>
                  <w:pPr>
                    <w:tabs>
                      <w:tab w:val="left" w:pos="360"/>
                    </w:tabs>
                    <w:autoSpaceDE w:val="0"/>
                    <w:autoSpaceDN w:val="0"/>
                    <w:adjustRightInd w:val="0"/>
                    <w:spacing w:line="240" w:lineRule="auto"/>
                    <w:rPr>
                      <w:rFonts w:ascii="Times New Roman" w:hAnsi="Times New Roman" w:eastAsia="宋体" w:cs="Times New Roman"/>
                      <w:color w:val="auto"/>
                      <w:sz w:val="21"/>
                      <w:szCs w:val="16"/>
                      <w:highlight w:val="none"/>
                    </w:rPr>
                  </w:pPr>
                  <w:r>
                    <w:rPr>
                      <w:rFonts w:hint="eastAsia" w:ascii="Times New Roman" w:hAnsi="Times New Roman" w:eastAsia="宋体" w:cs="Times New Roman"/>
                      <w:b/>
                      <w:bCs/>
                      <w:color w:val="auto"/>
                      <w:sz w:val="21"/>
                      <w:szCs w:val="16"/>
                      <w:highlight w:val="none"/>
                    </w:rPr>
                    <w:t>填表说明：</w:t>
                  </w:r>
                </w:p>
                <w:p>
                  <w:pPr>
                    <w:tabs>
                      <w:tab w:val="left" w:pos="360"/>
                    </w:tabs>
                    <w:autoSpaceDE w:val="0"/>
                    <w:autoSpaceDN w:val="0"/>
                    <w:adjustRightInd w:val="0"/>
                    <w:spacing w:line="240" w:lineRule="auto"/>
                    <w:rPr>
                      <w:rFonts w:ascii="Times New Roman" w:hAnsi="Times New Roman" w:eastAsia="宋体" w:cs="Times New Roman"/>
                      <w:color w:val="auto"/>
                      <w:sz w:val="21"/>
                      <w:szCs w:val="16"/>
                      <w:highlight w:val="none"/>
                    </w:rPr>
                  </w:pPr>
                  <w:r>
                    <w:rPr>
                      <w:rFonts w:hint="eastAsia" w:ascii="Times New Roman" w:hAnsi="Times New Roman" w:eastAsia="宋体" w:cs="Times New Roman"/>
                      <w:color w:val="auto"/>
                      <w:sz w:val="21"/>
                      <w:szCs w:val="16"/>
                      <w:highlight w:val="none"/>
                    </w:rPr>
                    <w:t>该项目主要风</w:t>
                  </w:r>
                  <w:r>
                    <w:rPr>
                      <w:rFonts w:hint="eastAsia" w:ascii="Times New Roman" w:hAnsi="Times New Roman" w:eastAsia="宋体" w:cs="Times New Roman"/>
                      <w:color w:val="auto"/>
                      <w:sz w:val="21"/>
                      <w:szCs w:val="21"/>
                      <w:highlight w:val="none"/>
                    </w:rPr>
                    <w:t>险物质为</w:t>
                  </w:r>
                  <w:r>
                    <w:rPr>
                      <w:rFonts w:hint="eastAsia" w:cs="Times New Roman"/>
                      <w:color w:val="auto"/>
                      <w:sz w:val="21"/>
                      <w:szCs w:val="16"/>
                      <w:highlight w:val="none"/>
                      <w:lang w:val="en-US" w:eastAsia="zh-CN"/>
                    </w:rPr>
                    <w:t>聚氨酯AB胶</w:t>
                  </w:r>
                  <w:r>
                    <w:rPr>
                      <w:rFonts w:hint="eastAsia" w:ascii="Times New Roman" w:hAnsi="Times New Roman" w:eastAsia="宋体" w:cs="Times New Roman"/>
                      <w:color w:val="auto"/>
                      <w:sz w:val="21"/>
                      <w:szCs w:val="16"/>
                      <w:highlight w:val="none"/>
                      <w:lang w:val="en-US" w:eastAsia="zh-CN"/>
                    </w:rPr>
                    <w:t>、</w:t>
                  </w:r>
                  <w:r>
                    <w:rPr>
                      <w:rFonts w:hint="eastAsia" w:cs="Times New Roman"/>
                      <w:color w:val="auto"/>
                      <w:sz w:val="21"/>
                      <w:szCs w:val="16"/>
                      <w:highlight w:val="none"/>
                      <w:lang w:val="en-US" w:eastAsia="zh-CN"/>
                    </w:rPr>
                    <w:t>环氧胶</w:t>
                  </w:r>
                  <w:r>
                    <w:rPr>
                      <w:rFonts w:hint="eastAsia" w:ascii="Times New Roman" w:hAnsi="Times New Roman" w:eastAsia="宋体" w:cs="Times New Roman"/>
                      <w:color w:val="auto"/>
                      <w:sz w:val="21"/>
                      <w:szCs w:val="16"/>
                      <w:highlight w:val="none"/>
                      <w:lang w:val="en-US" w:eastAsia="zh-CN"/>
                    </w:rPr>
                    <w:t>、</w:t>
                  </w:r>
                  <w:r>
                    <w:rPr>
                      <w:rFonts w:hint="eastAsia" w:cs="Times New Roman"/>
                      <w:color w:val="auto"/>
                      <w:sz w:val="21"/>
                      <w:szCs w:val="16"/>
                      <w:highlight w:val="none"/>
                      <w:lang w:val="en-US" w:eastAsia="zh-CN"/>
                    </w:rPr>
                    <w:t>水基胶、</w:t>
                  </w:r>
                  <w:r>
                    <w:rPr>
                      <w:rFonts w:hint="eastAsia" w:ascii="Times New Roman" w:hAnsi="Times New Roman" w:eastAsia="宋体" w:cs="Times New Roman"/>
                      <w:color w:val="auto"/>
                      <w:sz w:val="21"/>
                      <w:szCs w:val="16"/>
                      <w:highlight w:val="none"/>
                      <w:lang w:val="en-US" w:eastAsia="zh-CN"/>
                    </w:rPr>
                    <w:t>植绒胶、水性漆、</w:t>
                  </w:r>
                  <w:r>
                    <w:rPr>
                      <w:rFonts w:hint="eastAsia" w:cs="Times New Roman"/>
                      <w:color w:val="auto"/>
                      <w:sz w:val="21"/>
                      <w:szCs w:val="16"/>
                      <w:highlight w:val="none"/>
                      <w:lang w:val="en-US" w:eastAsia="zh-CN"/>
                    </w:rPr>
                    <w:t>危险废物</w:t>
                  </w:r>
                  <w:r>
                    <w:rPr>
                      <w:rFonts w:hint="eastAsia" w:ascii="Times New Roman" w:hAnsi="Times New Roman" w:eastAsia="宋体" w:cs="Times New Roman"/>
                      <w:color w:val="auto"/>
                      <w:sz w:val="21"/>
                      <w:szCs w:val="21"/>
                      <w:highlight w:val="none"/>
                    </w:rPr>
                    <w:t>，结合风险物质临界量计算可知，</w:t>
                  </w:r>
                  <w:r>
                    <w:rPr>
                      <w:rFonts w:hint="eastAsia" w:ascii="Times New Roman" w:hAnsi="Times New Roman" w:eastAsia="宋体" w:cs="Times New Roman"/>
                      <w:color w:val="auto"/>
                      <w:sz w:val="21"/>
                      <w:szCs w:val="21"/>
                      <w:highlight w:val="none"/>
                      <w:lang w:val="en-US" w:eastAsia="zh-CN"/>
                    </w:rPr>
                    <w:t>本项目</w:t>
                  </w:r>
                  <w:r>
                    <w:rPr>
                      <w:rFonts w:ascii="Times New Roman" w:hAnsi="Times New Roman" w:eastAsia="宋体" w:cs="Times New Roman"/>
                      <w:color w:val="auto"/>
                      <w:sz w:val="21"/>
                      <w:szCs w:val="21"/>
                      <w:highlight w:val="none"/>
                    </w:rPr>
                    <w:t>Q&lt;1</w:t>
                  </w:r>
                  <w:r>
                    <w:rPr>
                      <w:rFonts w:hint="eastAsia" w:ascii="Times New Roman" w:hAnsi="Times New Roman" w:eastAsia="宋体" w:cs="Times New Roman"/>
                      <w:color w:val="auto"/>
                      <w:sz w:val="21"/>
                      <w:szCs w:val="21"/>
                      <w:highlight w:val="none"/>
                      <w:lang w:eastAsia="zh-CN"/>
                    </w:rPr>
                    <w:t>，</w:t>
                  </w:r>
                  <w:r>
                    <w:rPr>
                      <w:rFonts w:hint="eastAsia" w:ascii="Times New Roman" w:hAnsi="Times New Roman" w:eastAsia="宋体" w:cs="Times New Roman"/>
                      <w:color w:val="auto"/>
                      <w:sz w:val="21"/>
                      <w:szCs w:val="16"/>
                      <w:highlight w:val="none"/>
                    </w:rPr>
                    <w:t>风险潜势为</w:t>
                  </w:r>
                  <w:r>
                    <w:rPr>
                      <w:rFonts w:ascii="Times New Roman" w:hAnsi="Times New Roman" w:eastAsia="宋体" w:cs="Times New Roman"/>
                      <w:color w:val="auto"/>
                      <w:sz w:val="21"/>
                      <w:szCs w:val="16"/>
                      <w:highlight w:val="none"/>
                    </w:rPr>
                    <w:t>I</w:t>
                  </w:r>
                  <w:r>
                    <w:rPr>
                      <w:rFonts w:hint="eastAsia" w:ascii="Times New Roman" w:hAnsi="Times New Roman" w:eastAsia="宋体" w:cs="Times New Roman"/>
                      <w:color w:val="auto"/>
                      <w:sz w:val="21"/>
                      <w:szCs w:val="16"/>
                      <w:highlight w:val="none"/>
                    </w:rPr>
                    <w:t>。评价等级为简单分析。</w:t>
                  </w:r>
                </w:p>
              </w:tc>
            </w:tr>
          </w:tbl>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1"/>
                <w:highlight w:val="none"/>
              </w:rPr>
              <w:t>（</w:t>
            </w:r>
            <w:r>
              <w:rPr>
                <w:rFonts w:ascii="Times New Roman" w:hAnsi="Times New Roman" w:eastAsia="宋体" w:cs="Times New Roman"/>
                <w:color w:val="auto"/>
                <w:sz w:val="24"/>
                <w:szCs w:val="21"/>
                <w:highlight w:val="none"/>
              </w:rPr>
              <w:t>5</w:t>
            </w:r>
            <w:r>
              <w:rPr>
                <w:rFonts w:hint="eastAsia" w:ascii="Times New Roman" w:hAnsi="Times New Roman" w:eastAsia="宋体" w:cs="Times New Roman"/>
                <w:color w:val="auto"/>
                <w:sz w:val="24"/>
                <w:szCs w:val="21"/>
                <w:highlight w:val="none"/>
              </w:rPr>
              <w:t>）环境风险防范应急措施</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为减少危险物质可能造成的环境风险，应从生产管理、危险物质贮存、工艺技术设计、自动控制设计、电气及电讯、消防及火灾报警系统等方面制定相应的环境风险防范措施：</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①生产管理：项目设备布局应严格按照防火规范进行平面布置，定期检查、维护</w:t>
            </w:r>
            <w:r>
              <w:rPr>
                <w:rFonts w:hint="eastAsia" w:cs="Times New Roman"/>
                <w:color w:val="auto"/>
                <w:sz w:val="24"/>
                <w:szCs w:val="21"/>
                <w:highlight w:val="none"/>
                <w:lang w:eastAsia="zh-CN"/>
              </w:rPr>
              <w:t>危废堆场</w:t>
            </w:r>
            <w:r>
              <w:rPr>
                <w:rFonts w:hint="eastAsia" w:ascii="Times New Roman" w:hAnsi="Times New Roman" w:eastAsia="宋体" w:cs="Times New Roman"/>
                <w:color w:val="auto"/>
                <w:sz w:val="24"/>
                <w:szCs w:val="21"/>
                <w:highlight w:val="none"/>
              </w:rPr>
              <w:t>、原料仓库等相关设备及贮存间，以确保正常运行。本项目车间内均已设置明显的禁火标志。</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②危险物质贮存：</w:t>
            </w:r>
            <w:r>
              <w:rPr>
                <w:rFonts w:hint="eastAsia" w:cs="Times New Roman"/>
                <w:color w:val="auto"/>
                <w:sz w:val="24"/>
                <w:szCs w:val="21"/>
                <w:highlight w:val="none"/>
                <w:lang w:eastAsia="zh-CN"/>
              </w:rPr>
              <w:t>危废</w:t>
            </w:r>
            <w:r>
              <w:rPr>
                <w:rFonts w:hint="eastAsia" w:cs="Times New Roman"/>
                <w:color w:val="auto"/>
                <w:sz w:val="24"/>
                <w:szCs w:val="21"/>
                <w:highlight w:val="none"/>
                <w:lang w:val="en-US" w:eastAsia="zh-CN"/>
              </w:rPr>
              <w:t>仓库</w:t>
            </w:r>
            <w:r>
              <w:rPr>
                <w:rFonts w:hint="eastAsia" w:ascii="Times New Roman" w:hAnsi="Times New Roman" w:eastAsia="宋体" w:cs="Times New Roman"/>
                <w:color w:val="auto"/>
                <w:sz w:val="24"/>
                <w:szCs w:val="21"/>
                <w:highlight w:val="none"/>
              </w:rPr>
              <w:t>面积</w:t>
            </w:r>
            <w:r>
              <w:rPr>
                <w:rFonts w:hint="eastAsia" w:cs="Times New Roman"/>
                <w:color w:val="auto"/>
                <w:sz w:val="24"/>
                <w:szCs w:val="21"/>
                <w:highlight w:val="none"/>
                <w:lang w:val="en-US" w:eastAsia="zh-CN"/>
              </w:rPr>
              <w:t>20</w:t>
            </w:r>
            <w:r>
              <w:rPr>
                <w:rFonts w:ascii="Times New Roman" w:hAnsi="Times New Roman" w:eastAsia="宋体" w:cs="Times New Roman"/>
                <w:color w:val="auto"/>
                <w:sz w:val="24"/>
                <w:szCs w:val="21"/>
                <w:highlight w:val="none"/>
              </w:rPr>
              <w:t>m</w:t>
            </w:r>
            <w:r>
              <w:rPr>
                <w:rFonts w:ascii="Times New Roman" w:hAnsi="Times New Roman" w:eastAsia="宋体" w:cs="Times New Roman"/>
                <w:color w:val="auto"/>
                <w:sz w:val="24"/>
                <w:szCs w:val="21"/>
                <w:highlight w:val="none"/>
                <w:vertAlign w:val="superscript"/>
              </w:rPr>
              <w:t>2</w:t>
            </w:r>
            <w:r>
              <w:rPr>
                <w:rFonts w:hint="eastAsia" w:ascii="Times New Roman" w:hAnsi="Times New Roman" w:eastAsia="宋体" w:cs="Times New Roman"/>
                <w:color w:val="auto"/>
                <w:sz w:val="24"/>
                <w:szCs w:val="21"/>
                <w:highlight w:val="none"/>
              </w:rPr>
              <w:t>。</w:t>
            </w:r>
            <w:r>
              <w:rPr>
                <w:rFonts w:hint="eastAsia" w:cs="Times New Roman"/>
                <w:color w:val="auto"/>
                <w:sz w:val="24"/>
                <w:szCs w:val="21"/>
                <w:highlight w:val="none"/>
                <w:lang w:eastAsia="zh-CN"/>
              </w:rPr>
              <w:t>危废堆场</w:t>
            </w:r>
            <w:r>
              <w:rPr>
                <w:rFonts w:hint="eastAsia" w:ascii="Times New Roman" w:hAnsi="Times New Roman" w:eastAsia="宋体" w:cs="Times New Roman"/>
                <w:color w:val="auto"/>
                <w:sz w:val="24"/>
                <w:szCs w:val="21"/>
                <w:highlight w:val="none"/>
              </w:rPr>
              <w:t>为独立封闭建筑，已做硬化、防腐、防渗处理；</w:t>
            </w:r>
            <w:r>
              <w:rPr>
                <w:rFonts w:hint="eastAsia" w:cs="Times New Roman"/>
                <w:color w:val="auto"/>
                <w:sz w:val="24"/>
                <w:szCs w:val="21"/>
                <w:highlight w:val="none"/>
                <w:lang w:eastAsia="zh-CN"/>
              </w:rPr>
              <w:t>危废堆场</w:t>
            </w:r>
            <w:r>
              <w:rPr>
                <w:rFonts w:hint="eastAsia" w:ascii="Times New Roman" w:hAnsi="Times New Roman" w:eastAsia="宋体" w:cs="Times New Roman"/>
                <w:color w:val="auto"/>
                <w:sz w:val="24"/>
                <w:szCs w:val="21"/>
                <w:highlight w:val="none"/>
              </w:rPr>
              <w:t>实现危废规范存放，危险废物已进行包装，无散装现象，每一包装袋均已张贴危险废物标签。</w:t>
            </w:r>
            <w:r>
              <w:rPr>
                <w:rFonts w:hint="eastAsia" w:cs="Times New Roman"/>
                <w:color w:val="auto"/>
                <w:sz w:val="24"/>
                <w:szCs w:val="21"/>
                <w:highlight w:val="none"/>
                <w:lang w:eastAsia="zh-CN"/>
              </w:rPr>
              <w:t>危废堆场</w:t>
            </w:r>
            <w:r>
              <w:rPr>
                <w:rFonts w:hint="eastAsia" w:ascii="Times New Roman" w:hAnsi="Times New Roman" w:eastAsia="宋体" w:cs="Times New Roman"/>
                <w:color w:val="auto"/>
                <w:sz w:val="24"/>
                <w:szCs w:val="21"/>
                <w:highlight w:val="none"/>
              </w:rPr>
              <w:t>采取防渗漏、防雨淋、防流失措施。</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③工艺技术设计：在项目正式运行前，制定出供正常、异常或紧急状态下的操作和维修计划，并对操作和维修人员进行岗前培训，避免因严重操作失误而造成人为事故。</w:t>
            </w:r>
          </w:p>
          <w:p>
            <w:pPr>
              <w:tabs>
                <w:tab w:val="left" w:pos="360"/>
              </w:tabs>
              <w:autoSpaceDE w:val="0"/>
              <w:autoSpaceDN w:val="0"/>
              <w:adjustRightInd w:val="0"/>
              <w:spacing w:line="360" w:lineRule="auto"/>
              <w:ind w:firstLine="482"/>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④自动控制设计：安装火灾设备检测仪表、消防自控设施。</w:t>
            </w:r>
          </w:p>
          <w:p>
            <w:pPr>
              <w:tabs>
                <w:tab w:val="left" w:pos="360"/>
              </w:tabs>
              <w:autoSpaceDE w:val="0"/>
              <w:autoSpaceDN w:val="0"/>
              <w:adjustRightInd w:val="0"/>
              <w:spacing w:line="360" w:lineRule="auto"/>
              <w:ind w:firstLine="482"/>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⑤电气及电讯：厂区配备对讲机等电讯设备。</w:t>
            </w:r>
          </w:p>
          <w:p>
            <w:pPr>
              <w:tabs>
                <w:tab w:val="left" w:pos="360"/>
              </w:tabs>
              <w:autoSpaceDE w:val="0"/>
              <w:autoSpaceDN w:val="0"/>
              <w:adjustRightInd w:val="0"/>
              <w:spacing w:line="360" w:lineRule="auto"/>
              <w:ind w:firstLine="482"/>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⑥消防及火灾报警系统：项目需设有足够的灭火设施。这些设施包括自动报警系统、干粉灭火系统、泡沫消防栓、消火栓系统等，一旦发生火灾，能保证企业有足够的灭火装置，将火灾损失降到最低。</w:t>
            </w:r>
          </w:p>
          <w:p>
            <w:pPr>
              <w:spacing w:line="360" w:lineRule="auto"/>
              <w:ind w:firstLine="482"/>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⑦废气事故排放防范措施</w:t>
            </w:r>
          </w:p>
          <w:p>
            <w:pPr>
              <w:spacing w:line="360" w:lineRule="auto"/>
              <w:ind w:firstLine="482"/>
              <w:rPr>
                <w:rFonts w:ascii="Times New Roman" w:hAnsi="Times New Roman" w:eastAsia="宋体" w:cs="Times New Roman"/>
                <w:color w:val="auto"/>
                <w:sz w:val="24"/>
                <w:szCs w:val="21"/>
                <w:highlight w:val="none"/>
              </w:rPr>
            </w:pPr>
            <w:r>
              <w:rPr>
                <w:rFonts w:ascii="Times New Roman" w:hAnsi="Times New Roman" w:eastAsia="宋体" w:cs="Times New Roman"/>
                <w:color w:val="auto"/>
                <w:sz w:val="24"/>
                <w:szCs w:val="21"/>
                <w:highlight w:val="none"/>
              </w:rPr>
              <w:t>a.</w:t>
            </w:r>
            <w:r>
              <w:rPr>
                <w:rFonts w:hint="eastAsia" w:ascii="Times New Roman" w:hAnsi="Times New Roman" w:eastAsia="宋体" w:cs="Times New Roman"/>
                <w:color w:val="auto"/>
                <w:sz w:val="24"/>
                <w:szCs w:val="21"/>
                <w:highlight w:val="none"/>
              </w:rPr>
              <w:t>平时加强对各废气处理设备的维护保养，及时发现处理设备的隐患，并及时进行维修，确保废气处理系统正常运行；</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b.建立健全的环保机构，配置必要的监测仪器，对管理人员和技术人员进行岗位培训，对废气处理实行全过程跟踪控制；</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c.项目应设有备用电源和备用处理设备，以备停电或设备出现故障时保障废气全部排入处理系统进行处理以达标排放；</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⑧废水事故排放防范措施</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根据《关于做好生态环境和应急管理部门联动工作的意见》（苏环办〔2020〕101号），企业要对脱硫脱硝、煤改气、挥发性有机物回收、污水处理、粉尘处理、RTO焚烧炉等六类环境治理设施开展安全风险辨识管控，要健全内部污染防治设施稳定运行和管理责任制度，严格依据标准规范建设环境治理设施，确保环境治理设施安全、稳定、有效运行。</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本项目废水主要为生活污水，基本不会发生废水事故。考虑化粪池的使用情况，可能出现排放浓度过高的情况，应做到平时加强污水处理设施的维护保养，及时发现处理设备的隐患，并及时进行维修，定期清理污泥，确保废水处理系统正常运行。</w:t>
            </w:r>
          </w:p>
          <w:p>
            <w:pPr>
              <w:tabs>
                <w:tab w:val="left" w:pos="360"/>
              </w:tabs>
              <w:autoSpaceDE w:val="0"/>
              <w:autoSpaceDN w:val="0"/>
              <w:adjustRightInd w:val="0"/>
              <w:spacing w:line="360" w:lineRule="auto"/>
              <w:ind w:firstLine="480"/>
              <w:rPr>
                <w:rFonts w:hint="default" w:ascii="Times New Roman" w:hAnsi="Times New Roman" w:eastAsia="宋体" w:cs="Times New Roman"/>
                <w:color w:val="auto"/>
                <w:sz w:val="24"/>
                <w:szCs w:val="21"/>
                <w:highlight w:val="none"/>
                <w:lang w:val="en-US" w:eastAsia="zh-CN"/>
              </w:rPr>
            </w:pPr>
            <w:r>
              <w:rPr>
                <w:rFonts w:hint="eastAsia" w:cs="Times New Roman"/>
                <w:color w:val="auto"/>
                <w:sz w:val="24"/>
                <w:szCs w:val="21"/>
                <w:highlight w:val="none"/>
                <w:lang w:val="en-US" w:eastAsia="zh-CN"/>
              </w:rPr>
              <w:t>⑨事故应急措施</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lang w:val="en-US" w:eastAsia="zh-CN"/>
              </w:rPr>
            </w:pPr>
            <w:r>
              <w:rPr>
                <w:rFonts w:hint="eastAsia" w:ascii="Times New Roman" w:hAnsi="Times New Roman" w:eastAsia="宋体" w:cs="Times New Roman"/>
                <w:color w:val="auto"/>
                <w:sz w:val="24"/>
                <w:szCs w:val="21"/>
                <w:highlight w:val="none"/>
                <w:lang w:val="en-US" w:eastAsia="zh-CN"/>
              </w:rPr>
              <w:t>根据《事故状态下水体污染的预防与控制技术要求》（Q/SY1190-2013）计算本项目所需事故应急池容积。事故储存设施总有效容积：</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V总=（V1+V2-V3）max+V4+V5</w:t>
            </w:r>
          </w:p>
          <w:p>
            <w:pPr>
              <w:tabs>
                <w:tab w:val="left" w:pos="360"/>
              </w:tabs>
              <w:autoSpaceDE w:val="0"/>
              <w:autoSpaceDN w:val="0"/>
              <w:adjustRightInd w:val="0"/>
              <w:spacing w:line="360" w:lineRule="auto"/>
              <w:ind w:firstLine="480"/>
              <w:rPr>
                <w:rFonts w:hint="eastAsia" w:ascii="Times New Roman" w:hAnsi="Times New Roman" w:eastAsia="宋体" w:cs="Times New Roman"/>
                <w:color w:val="auto"/>
                <w:sz w:val="24"/>
                <w:szCs w:val="21"/>
                <w:highlight w:val="none"/>
                <w:lang w:val="en-US" w:eastAsia="zh-CN"/>
              </w:rPr>
            </w:pPr>
            <w:r>
              <w:rPr>
                <w:rFonts w:hint="default" w:ascii="Times New Roman" w:hAnsi="Times New Roman" w:eastAsia="宋体" w:cs="Times New Roman"/>
                <w:color w:val="auto"/>
                <w:sz w:val="24"/>
                <w:szCs w:val="21"/>
                <w:highlight w:val="none"/>
              </w:rPr>
              <w:t>式中，（V1+V2-V3）max——应急事故废水最大计算量，m</w:t>
            </w:r>
            <w:r>
              <w:rPr>
                <w:rFonts w:hint="default" w:ascii="Times New Roman" w:hAnsi="Times New Roman" w:eastAsia="宋体" w:cs="Times New Roman"/>
                <w:color w:val="auto"/>
                <w:sz w:val="24"/>
                <w:szCs w:val="21"/>
                <w:highlight w:val="none"/>
                <w:vertAlign w:val="superscript"/>
              </w:rPr>
              <w:t>3</w:t>
            </w:r>
            <w:r>
              <w:rPr>
                <w:rFonts w:hint="default" w:ascii="Times New Roman" w:hAnsi="Times New Roman" w:eastAsia="宋体" w:cs="Times New Roman"/>
                <w:color w:val="auto"/>
                <w:sz w:val="24"/>
                <w:szCs w:val="21"/>
                <w:highlight w:val="none"/>
                <w:lang w:eastAsia="zh-CN"/>
              </w:rPr>
              <w:t>；</w:t>
            </w:r>
          </w:p>
          <w:p>
            <w:pPr>
              <w:tabs>
                <w:tab w:val="left" w:pos="360"/>
              </w:tabs>
              <w:autoSpaceDE w:val="0"/>
              <w:autoSpaceDN w:val="0"/>
              <w:adjustRightInd w:val="0"/>
              <w:spacing w:line="360" w:lineRule="auto"/>
              <w:ind w:firstLine="480"/>
              <w:rPr>
                <w:rFonts w:hint="eastAsia" w:cs="Times New Roman"/>
                <w:color w:val="auto"/>
                <w:sz w:val="24"/>
                <w:szCs w:val="21"/>
                <w:highlight w:val="none"/>
                <w:lang w:val="en-US" w:eastAsia="zh-CN"/>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1</w:t>
            </w:r>
            <w:r>
              <w:rPr>
                <w:rFonts w:ascii="Times New Roman" w:hAnsi="Times New Roman" w:eastAsia="宋体" w:cs="Times New Roman"/>
                <w:color w:val="auto"/>
                <w:sz w:val="24"/>
                <w:szCs w:val="24"/>
                <w:highlight w:val="none"/>
              </w:rPr>
              <w:t>--收集系统范围内发生事故的一个罐组或一套装置的物料量，本项目V</w:t>
            </w:r>
            <w:r>
              <w:rPr>
                <w:rFonts w:ascii="Times New Roman" w:hAnsi="Times New Roman" w:eastAsia="宋体" w:cs="Times New Roman"/>
                <w:color w:val="auto"/>
                <w:sz w:val="24"/>
                <w:szCs w:val="24"/>
                <w:highlight w:val="none"/>
                <w:vertAlign w:val="subscript"/>
              </w:rPr>
              <w:t>1</w:t>
            </w:r>
            <w:r>
              <w:rPr>
                <w:rFonts w:ascii="Times New Roman" w:hAnsi="Times New Roman" w:eastAsia="宋体" w:cs="Times New Roman"/>
                <w:color w:val="auto"/>
                <w:sz w:val="24"/>
                <w:szCs w:val="24"/>
                <w:highlight w:val="none"/>
              </w:rPr>
              <w:t>取</w:t>
            </w:r>
            <w:r>
              <w:rPr>
                <w:rFonts w:hint="eastAsia" w:ascii="Times New Roman" w:hAnsi="Times New Roman"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2</w:t>
            </w:r>
            <w:r>
              <w:rPr>
                <w:rFonts w:ascii="Times New Roman" w:hAnsi="Times New Roman" w:eastAsia="宋体" w:cs="Times New Roman"/>
                <w:color w:val="auto"/>
                <w:sz w:val="24"/>
                <w:szCs w:val="24"/>
                <w:highlight w:val="none"/>
              </w:rPr>
              <w:t>--发生事故的罐组或装置的消防水量，m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2</w:t>
            </w:r>
            <w:r>
              <w:rPr>
                <w:rFonts w:ascii="Times New Roman" w:hAnsi="Times New Roman" w:eastAsia="宋体" w:cs="Times New Roman"/>
                <w:color w:val="auto"/>
                <w:sz w:val="24"/>
                <w:szCs w:val="24"/>
                <w:highlight w:val="none"/>
              </w:rPr>
              <w:t>=∑Q</w:t>
            </w:r>
            <w:r>
              <w:rPr>
                <w:rFonts w:ascii="Times New Roman" w:hAnsi="Times New Roman" w:eastAsia="宋体" w:cs="Times New Roman"/>
                <w:color w:val="auto"/>
                <w:sz w:val="24"/>
                <w:szCs w:val="24"/>
                <w:highlight w:val="none"/>
                <w:vertAlign w:val="subscript"/>
              </w:rPr>
              <w:t>消</w:t>
            </w:r>
            <w:r>
              <w:rPr>
                <w:rFonts w:ascii="Times New Roman" w:hAnsi="Times New Roman" w:eastAsia="宋体" w:cs="Times New Roman"/>
                <w:color w:val="auto"/>
                <w:sz w:val="24"/>
                <w:szCs w:val="24"/>
                <w:highlight w:val="none"/>
              </w:rPr>
              <w:t>t</w:t>
            </w:r>
            <w:r>
              <w:rPr>
                <w:rFonts w:ascii="Times New Roman" w:hAnsi="Times New Roman" w:eastAsia="宋体" w:cs="Times New Roman"/>
                <w:color w:val="auto"/>
                <w:sz w:val="24"/>
                <w:szCs w:val="24"/>
                <w:highlight w:val="none"/>
                <w:vertAlign w:val="subscript"/>
              </w:rPr>
              <w:t>消</w:t>
            </w:r>
          </w:p>
          <w:p>
            <w:pPr>
              <w:tabs>
                <w:tab w:val="left" w:pos="360"/>
              </w:tabs>
              <w:autoSpaceDE w:val="0"/>
              <w:autoSpaceDN w:val="0"/>
              <w:adjustRightInd w:val="0"/>
              <w:spacing w:line="360" w:lineRule="auto"/>
              <w:ind w:firstLine="480"/>
              <w:rPr>
                <w:rFonts w:hint="eastAsia" w:cs="Times New Roman"/>
                <w:color w:val="auto"/>
                <w:sz w:val="24"/>
                <w:szCs w:val="21"/>
                <w:highlight w:val="none"/>
                <w:lang w:val="en-US" w:eastAsia="zh-CN"/>
              </w:rPr>
            </w:pPr>
            <w:r>
              <w:rPr>
                <w:rFonts w:ascii="Times New Roman" w:hAnsi="Times New Roman" w:eastAsia="宋体" w:cs="Times New Roman"/>
                <w:color w:val="auto"/>
                <w:sz w:val="24"/>
                <w:szCs w:val="24"/>
                <w:highlight w:val="none"/>
              </w:rPr>
              <w:t>Q</w:t>
            </w:r>
            <w:r>
              <w:rPr>
                <w:rFonts w:ascii="Times New Roman" w:hAnsi="Times New Roman" w:eastAsia="宋体" w:cs="Times New Roman"/>
                <w:color w:val="auto"/>
                <w:sz w:val="24"/>
                <w:szCs w:val="24"/>
                <w:highlight w:val="none"/>
                <w:vertAlign w:val="subscript"/>
              </w:rPr>
              <w:t>消</w:t>
            </w:r>
            <w:r>
              <w:rPr>
                <w:rFonts w:ascii="Times New Roman" w:hAnsi="Times New Roman" w:eastAsia="宋体" w:cs="Times New Roman"/>
                <w:color w:val="auto"/>
                <w:sz w:val="24"/>
                <w:szCs w:val="24"/>
                <w:highlight w:val="none"/>
              </w:rPr>
              <w:t>--发生事故的罐组或装置的同时使用的消防设施给水流量，m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/h，</w:t>
            </w:r>
            <w:r>
              <w:rPr>
                <w:rFonts w:hint="eastAsia" w:ascii="Times New Roman" w:hAnsi="Times New Roman" w:eastAsia="宋体" w:cs="Times New Roman"/>
                <w:color w:val="auto"/>
                <w:sz w:val="24"/>
                <w:szCs w:val="24"/>
                <w:highlight w:val="none"/>
                <w:lang w:val="en-US" w:eastAsia="zh-CN"/>
              </w:rPr>
              <w:t>根据</w:t>
            </w:r>
            <w:r>
              <w:rPr>
                <w:rFonts w:hint="eastAsia" w:ascii="Times New Roman" w:hAnsi="Times New Roman" w:eastAsia="宋体" w:cs="Times New Roman"/>
                <w:color w:val="auto"/>
                <w:sz w:val="24"/>
                <w:szCs w:val="24"/>
              </w:rPr>
              <w:t>《消防给水及消火栓系统技术规范》（GB50974-2014）</w:t>
            </w:r>
            <w:r>
              <w:rPr>
                <w:rFonts w:hint="eastAsia" w:ascii="Times New Roman" w:hAnsi="Times New Roman" w:eastAsia="宋体" w:cs="Times New Roman"/>
                <w:color w:val="auto"/>
                <w:sz w:val="24"/>
                <w:szCs w:val="24"/>
                <w:lang w:val="en-US" w:eastAsia="zh-CN"/>
              </w:rPr>
              <w:t>表3.3.2建筑物室外消火栓设计流量，本项目</w:t>
            </w:r>
            <w:r>
              <w:rPr>
                <w:rFonts w:hint="eastAsia" w:ascii="Times New Roman" w:hAnsi="Times New Roman" w:cs="Times New Roman"/>
                <w:color w:val="auto"/>
                <w:sz w:val="24"/>
                <w:szCs w:val="24"/>
                <w:lang w:val="en-US" w:eastAsia="zh-CN"/>
              </w:rPr>
              <w:t>厂房设计为丙类</w:t>
            </w:r>
            <w:r>
              <w:rPr>
                <w:rFonts w:hint="eastAsia" w:ascii="Times New Roman" w:hAnsi="Times New Roman" w:eastAsia="宋体" w:cs="Times New Roman"/>
                <w:color w:val="auto"/>
                <w:sz w:val="24"/>
                <w:szCs w:val="24"/>
                <w:lang w:val="en-US" w:eastAsia="zh-CN"/>
              </w:rPr>
              <w:t>，设计流量取</w:t>
            </w:r>
            <w:r>
              <w:rPr>
                <w:rFonts w:hint="eastAsia" w:ascii="Times New Roman" w:hAnsi="Times New Roman" w:cs="Times New Roman"/>
                <w:color w:val="auto"/>
                <w:sz w:val="24"/>
                <w:szCs w:val="24"/>
                <w:lang w:val="en-US" w:eastAsia="zh-CN"/>
              </w:rPr>
              <w:t>20</w:t>
            </w:r>
            <w:r>
              <w:rPr>
                <w:rFonts w:ascii="Times New Roman" w:hAnsi="Times New Roman" w:eastAsia="宋体" w:cs="Times New Roman"/>
                <w:color w:val="auto"/>
                <w:sz w:val="24"/>
                <w:szCs w:val="24"/>
                <w:highlight w:val="none"/>
              </w:rPr>
              <w:t>L/s</w:t>
            </w:r>
            <w:r>
              <w:rPr>
                <w:rFonts w:hint="eastAsia" w:ascii="Times New Roman" w:hAnsi="Times New Roman" w:eastAsia="宋体" w:cs="Times New Roman"/>
                <w:color w:val="auto"/>
                <w:sz w:val="24"/>
                <w:szCs w:val="24"/>
                <w:highlight w:val="none"/>
                <w:lang w:eastAsia="zh-CN"/>
              </w:rPr>
              <w:t>（</w:t>
            </w:r>
            <w:r>
              <w:rPr>
                <w:rFonts w:hint="eastAsia" w:ascii="Times New Roman" w:hAnsi="Times New Roman" w:cs="Times New Roman"/>
                <w:color w:val="auto"/>
                <w:sz w:val="24"/>
                <w:szCs w:val="24"/>
                <w:highlight w:val="none"/>
                <w:lang w:val="en-US" w:eastAsia="zh-CN"/>
              </w:rPr>
              <w:t>72</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/h</w:t>
            </w:r>
            <w:r>
              <w:rPr>
                <w:rFonts w:hint="eastAsia" w:ascii="Times New Roman" w:hAnsi="Times New Roman" w:eastAsia="宋体" w:cs="Times New Roman"/>
                <w:color w:val="auto"/>
                <w:sz w:val="24"/>
                <w:szCs w:val="24"/>
                <w:highlight w:val="none"/>
                <w:lang w:eastAsia="zh-CN"/>
              </w:rPr>
              <w:t>）。</w:t>
            </w:r>
          </w:p>
          <w:p>
            <w:pPr>
              <w:tabs>
                <w:tab w:val="left" w:pos="360"/>
              </w:tabs>
              <w:autoSpaceDE w:val="0"/>
              <w:autoSpaceDN w:val="0"/>
              <w:adjustRightInd w:val="0"/>
              <w:spacing w:line="360" w:lineRule="auto"/>
              <w:ind w:firstLine="480"/>
              <w:rPr>
                <w:rFonts w:hint="eastAsia" w:cs="Times New Roman"/>
                <w:color w:val="auto"/>
                <w:sz w:val="24"/>
                <w:szCs w:val="21"/>
                <w:highlight w:val="none"/>
                <w:lang w:val="en-US" w:eastAsia="zh-CN"/>
              </w:rPr>
            </w:pPr>
            <w:r>
              <w:rPr>
                <w:rFonts w:ascii="Times New Roman" w:hAnsi="Times New Roman" w:eastAsia="宋体" w:cs="Times New Roman"/>
                <w:color w:val="auto"/>
                <w:sz w:val="24"/>
                <w:szCs w:val="24"/>
                <w:highlight w:val="none"/>
              </w:rPr>
              <w:t>t</w:t>
            </w:r>
            <w:r>
              <w:rPr>
                <w:rFonts w:ascii="Times New Roman" w:hAnsi="Times New Roman" w:eastAsia="宋体" w:cs="Times New Roman"/>
                <w:color w:val="auto"/>
                <w:sz w:val="24"/>
                <w:szCs w:val="24"/>
                <w:highlight w:val="none"/>
                <w:vertAlign w:val="subscript"/>
              </w:rPr>
              <w:t>消</w:t>
            </w:r>
            <w:r>
              <w:rPr>
                <w:rFonts w:ascii="Times New Roman" w:hAnsi="Times New Roman" w:eastAsia="宋体" w:cs="Times New Roman"/>
                <w:color w:val="auto"/>
                <w:sz w:val="24"/>
                <w:szCs w:val="24"/>
                <w:highlight w:val="none"/>
              </w:rPr>
              <w:t>--消防设施对应的设计消防历时，h，</w:t>
            </w:r>
            <w:r>
              <w:rPr>
                <w:rFonts w:hint="eastAsia" w:cs="Times New Roman"/>
                <w:color w:val="auto"/>
                <w:sz w:val="24"/>
                <w:szCs w:val="24"/>
                <w:highlight w:val="none"/>
                <w:lang w:val="en-US" w:eastAsia="zh-CN"/>
              </w:rPr>
              <w:t>根据</w:t>
            </w:r>
            <w:r>
              <w:rPr>
                <w:rFonts w:hint="eastAsia" w:ascii="Times New Roman" w:hAnsi="Times New Roman" w:eastAsia="宋体" w:cs="Times New Roman"/>
                <w:color w:val="auto"/>
                <w:sz w:val="24"/>
                <w:szCs w:val="24"/>
              </w:rPr>
              <w:t>《消防给水及消火栓系统技术规范》（GB50974-2014）</w:t>
            </w:r>
            <w:r>
              <w:rPr>
                <w:rFonts w:hint="eastAsia" w:ascii="Times New Roman" w:hAnsi="Times New Roman" w:eastAsia="宋体" w:cs="Times New Roman"/>
                <w:color w:val="auto"/>
                <w:sz w:val="24"/>
                <w:szCs w:val="24"/>
                <w:highlight w:val="none"/>
                <w:lang w:val="en-US" w:eastAsia="zh-CN"/>
              </w:rPr>
              <w:t>表3.6.2不同场所的火灾延续时间，火灾延续时间取</w:t>
            </w:r>
            <w:r>
              <w:rPr>
                <w:rFonts w:hint="eastAsia" w:cs="Times New Roman"/>
                <w:color w:val="auto"/>
                <w:sz w:val="24"/>
                <w:szCs w:val="24"/>
                <w:highlight w:val="none"/>
                <w:lang w:val="en-US" w:eastAsia="zh-CN"/>
              </w:rPr>
              <w:t>3</w:t>
            </w:r>
            <w:r>
              <w:rPr>
                <w:rFonts w:hint="eastAsia" w:ascii="Times New Roman" w:hAnsi="Times New Roman" w:eastAsia="宋体" w:cs="Times New Roman"/>
                <w:color w:val="auto"/>
                <w:sz w:val="24"/>
                <w:szCs w:val="24"/>
                <w:highlight w:val="none"/>
                <w:lang w:val="en-US" w:eastAsia="zh-CN"/>
              </w:rPr>
              <w:t>h。</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则V</w:t>
            </w:r>
            <w:r>
              <w:rPr>
                <w:rFonts w:ascii="Times New Roman" w:hAnsi="Times New Roman" w:eastAsia="宋体" w:cs="Times New Roman"/>
                <w:color w:val="auto"/>
                <w:sz w:val="24"/>
                <w:szCs w:val="24"/>
                <w:highlight w:val="none"/>
                <w:vertAlign w:val="subscript"/>
              </w:rPr>
              <w:t>2</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216</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3</w:t>
            </w:r>
            <w:r>
              <w:rPr>
                <w:rFonts w:ascii="Times New Roman" w:hAnsi="Times New Roman" w:eastAsia="宋体" w:cs="Times New Roman"/>
                <w:color w:val="auto"/>
                <w:sz w:val="24"/>
                <w:szCs w:val="24"/>
                <w:highlight w:val="none"/>
              </w:rPr>
              <w:t>--发生事故时可以转输到其他储存或处理设施的物料量，m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，本项目雨水管道全长约</w:t>
            </w:r>
            <w:r>
              <w:rPr>
                <w:rFonts w:hint="eastAsia" w:cs="Times New Roman"/>
                <w:color w:val="auto"/>
                <w:sz w:val="24"/>
                <w:szCs w:val="24"/>
                <w:highlight w:val="none"/>
                <w:lang w:val="en-US" w:eastAsia="zh-CN"/>
              </w:rPr>
              <w:t>900</w:t>
            </w:r>
            <w:r>
              <w:rPr>
                <w:rFonts w:ascii="Times New Roman" w:hAnsi="Times New Roman" w:eastAsia="宋体" w:cs="Times New Roman"/>
                <w:color w:val="auto"/>
                <w:sz w:val="24"/>
                <w:szCs w:val="24"/>
                <w:highlight w:val="none"/>
              </w:rPr>
              <w:t>m，雨水管径以</w:t>
            </w:r>
            <w:r>
              <w:rPr>
                <w:rFonts w:hint="eastAsia" w:cs="Times New Roman"/>
                <w:color w:val="auto"/>
                <w:sz w:val="24"/>
                <w:szCs w:val="24"/>
                <w:highlight w:val="none"/>
                <w:lang w:val="en-US" w:eastAsia="zh-CN"/>
              </w:rPr>
              <w:t>30</w:t>
            </w:r>
            <w:r>
              <w:rPr>
                <w:rFonts w:ascii="Times New Roman" w:hAnsi="Times New Roman" w:eastAsia="宋体" w:cs="Times New Roman"/>
                <w:color w:val="auto"/>
                <w:sz w:val="24"/>
                <w:szCs w:val="24"/>
                <w:highlight w:val="none"/>
              </w:rPr>
              <w:t>cm计，则V</w:t>
            </w:r>
            <w:r>
              <w:rPr>
                <w:rFonts w:ascii="Times New Roman" w:hAnsi="Times New Roman" w:eastAsia="宋体" w:cs="Times New Roman"/>
                <w:color w:val="auto"/>
                <w:sz w:val="24"/>
                <w:szCs w:val="24"/>
                <w:highlight w:val="none"/>
                <w:vertAlign w:val="subscript"/>
              </w:rPr>
              <w:t>3</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63.59</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4</w:t>
            </w:r>
            <w:r>
              <w:rPr>
                <w:rFonts w:ascii="Times New Roman" w:hAnsi="Times New Roman" w:eastAsia="宋体" w:cs="Times New Roman"/>
                <w:color w:val="auto"/>
                <w:sz w:val="24"/>
                <w:szCs w:val="24"/>
                <w:highlight w:val="none"/>
              </w:rPr>
              <w:t>--发生事故时仍必须进入该收集系统的生产废水量，m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，本项目取</w:t>
            </w:r>
            <w:r>
              <w:rPr>
                <w:rFonts w:hint="eastAsia" w:ascii="Times New Roman" w:hAnsi="Times New Roman"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5</w:t>
            </w:r>
            <w:r>
              <w:rPr>
                <w:rFonts w:ascii="Times New Roman" w:hAnsi="Times New Roman" w:eastAsia="宋体" w:cs="Times New Roman"/>
                <w:color w:val="auto"/>
                <w:sz w:val="24"/>
                <w:szCs w:val="24"/>
                <w:highlight w:val="none"/>
              </w:rPr>
              <w:t>--发生事故时可能进入该收集系统的降雨量，m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jc w:val="center"/>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Q=10q•F</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式中：</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q—降雨强度，mm；按平均日降雨量；</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rPr>
              <w:t>F—区域面积，公顷，项目</w:t>
            </w:r>
            <w:r>
              <w:rPr>
                <w:rFonts w:hint="eastAsia" w:ascii="Times New Roman" w:hAnsi="Times New Roman" w:eastAsia="宋体" w:cs="Times New Roman"/>
                <w:color w:val="auto"/>
                <w:sz w:val="24"/>
                <w:szCs w:val="24"/>
                <w:highlight w:val="none"/>
                <w:lang w:val="en-US" w:eastAsia="zh-CN"/>
              </w:rPr>
              <w:t>生产区</w:t>
            </w:r>
            <w:r>
              <w:rPr>
                <w:rFonts w:hint="eastAsia" w:ascii="Times New Roman" w:hAnsi="Times New Roman" w:eastAsia="宋体" w:cs="Times New Roman"/>
                <w:color w:val="auto"/>
                <w:sz w:val="24"/>
                <w:szCs w:val="24"/>
                <w:highlight w:val="none"/>
              </w:rPr>
              <w:t>区域面积约</w:t>
            </w:r>
            <w:r>
              <w:rPr>
                <w:rFonts w:hint="eastAsia" w:ascii="Times New Roman" w:hAnsi="Times New Roman" w:eastAsia="宋体" w:cs="Times New Roman"/>
                <w:color w:val="auto"/>
                <w:sz w:val="24"/>
                <w:szCs w:val="24"/>
                <w:highlight w:val="none"/>
                <w:lang w:val="en-US" w:eastAsia="zh-CN"/>
              </w:rPr>
              <w:t>1.07</w:t>
            </w:r>
            <w:r>
              <w:rPr>
                <w:rFonts w:hint="eastAsia" w:ascii="Times New Roman" w:hAnsi="Times New Roman" w:eastAsia="宋体" w:cs="Times New Roman"/>
                <w:color w:val="auto"/>
                <w:sz w:val="24"/>
                <w:szCs w:val="24"/>
                <w:highlight w:val="none"/>
              </w:rPr>
              <w:t>公顷</w:t>
            </w:r>
          </w:p>
          <w:p>
            <w:pPr>
              <w:keepNext w:val="0"/>
              <w:keepLines w:val="0"/>
              <w:pageBreakBefore w:val="0"/>
              <w:widowControl w:val="0"/>
              <w:kinsoku/>
              <w:overflowPunct/>
              <w:topLinePunct w:val="0"/>
              <w:autoSpaceDE/>
              <w:autoSpaceDN/>
              <w:bidi w:val="0"/>
              <w:adjustRightInd w:val="0"/>
              <w:snapToGrid w:val="0"/>
              <w:spacing w:line="360" w:lineRule="auto"/>
              <w:ind w:firstLine="480" w:firstLineChars="200"/>
              <w:textAlignment w:val="auto"/>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如皋市年平均降雨量10</w:t>
            </w:r>
            <w:r>
              <w:rPr>
                <w:rFonts w:hint="eastAsia" w:ascii="Times New Roman" w:hAnsi="Times New Roman" w:eastAsia="宋体" w:cs="Times New Roman"/>
                <w:color w:val="auto"/>
                <w:sz w:val="24"/>
                <w:szCs w:val="24"/>
                <w:highlight w:val="none"/>
                <w:lang w:val="en-US" w:eastAsia="zh-CN"/>
              </w:rPr>
              <w:t>00</w:t>
            </w:r>
            <w:r>
              <w:rPr>
                <w:rFonts w:hint="eastAsia" w:ascii="Times New Roman" w:hAnsi="Times New Roman" w:eastAsia="宋体" w:cs="Times New Roman"/>
                <w:color w:val="auto"/>
                <w:sz w:val="24"/>
                <w:szCs w:val="24"/>
                <w:highlight w:val="none"/>
              </w:rPr>
              <w:t>mm，年平均降雨日数为1</w:t>
            </w:r>
            <w:r>
              <w:rPr>
                <w:rFonts w:hint="eastAsia" w:ascii="Times New Roman" w:hAnsi="Times New Roman" w:eastAsia="宋体" w:cs="Times New Roman"/>
                <w:color w:val="auto"/>
                <w:sz w:val="24"/>
                <w:szCs w:val="24"/>
                <w:highlight w:val="none"/>
                <w:lang w:val="en-US" w:eastAsia="zh-CN"/>
              </w:rPr>
              <w:t>50</w:t>
            </w:r>
            <w:r>
              <w:rPr>
                <w:rFonts w:hint="eastAsia" w:ascii="Times New Roman" w:hAnsi="Times New Roman" w:eastAsia="宋体" w:cs="Times New Roman"/>
                <w:color w:val="auto"/>
                <w:sz w:val="24"/>
                <w:szCs w:val="24"/>
                <w:highlight w:val="none"/>
              </w:rPr>
              <w:t>天，故平均日降雨量为</w:t>
            </w:r>
            <w:r>
              <w:rPr>
                <w:rFonts w:hint="eastAsia" w:ascii="Times New Roman" w:hAnsi="Times New Roman" w:eastAsia="宋体" w:cs="Times New Roman"/>
                <w:color w:val="auto"/>
                <w:sz w:val="24"/>
                <w:szCs w:val="24"/>
                <w:highlight w:val="none"/>
                <w:lang w:val="en-US" w:eastAsia="zh-CN"/>
              </w:rPr>
              <w:t>6.67</w:t>
            </w:r>
            <w:r>
              <w:rPr>
                <w:rFonts w:hint="eastAsia" w:ascii="Times New Roman" w:hAnsi="Times New Roman" w:eastAsia="宋体" w:cs="Times New Roman"/>
                <w:color w:val="auto"/>
                <w:sz w:val="24"/>
                <w:szCs w:val="24"/>
                <w:highlight w:val="none"/>
              </w:rPr>
              <w:t>mm。</w:t>
            </w:r>
          </w:p>
          <w:p>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val="en-US" w:eastAsia="zh-CN"/>
              </w:rPr>
              <w:t>V</w:t>
            </w:r>
            <w:r>
              <w:rPr>
                <w:rFonts w:hint="eastAsia" w:cs="Times New Roman"/>
                <w:color w:val="auto"/>
                <w:sz w:val="24"/>
                <w:szCs w:val="24"/>
                <w:highlight w:val="none"/>
                <w:vertAlign w:val="subscript"/>
                <w:lang w:val="en-US" w:eastAsia="zh-CN"/>
              </w:rPr>
              <w:t>5</w:t>
            </w:r>
            <w:r>
              <w:rPr>
                <w:rFonts w:hint="eastAsia" w:cs="Times New Roman"/>
                <w:color w:val="auto"/>
                <w:sz w:val="24"/>
                <w:szCs w:val="24"/>
                <w:highlight w:val="none"/>
                <w:lang w:val="en-US" w:eastAsia="zh-CN"/>
              </w:rPr>
              <w:t>=10*6.67*1.07=71.37</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p>
          <w:p>
            <w:pPr>
              <w:keepNext w:val="0"/>
              <w:keepLines w:val="0"/>
              <w:pageBreakBefore w:val="0"/>
              <w:widowControl w:val="0"/>
              <w:kinsoku/>
              <w:wordWrap w:val="0"/>
              <w:overflowPunct/>
              <w:topLinePunct w:val="0"/>
              <w:autoSpaceDE/>
              <w:autoSpaceDN/>
              <w:bidi w:val="0"/>
              <w:adjustRightInd w:val="0"/>
              <w:snapToGrid w:val="0"/>
              <w:spacing w:line="360" w:lineRule="auto"/>
              <w:ind w:firstLine="480" w:firstLineChars="200"/>
              <w:textAlignment w:val="auto"/>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总</w:t>
            </w: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1</w:t>
            </w: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2</w:t>
            </w: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3</w:t>
            </w:r>
            <w:r>
              <w:rPr>
                <w:rFonts w:ascii="Times New Roman" w:hAnsi="Times New Roman" w:eastAsia="宋体" w:cs="Times New Roman"/>
                <w:color w:val="auto"/>
                <w:sz w:val="24"/>
                <w:szCs w:val="24"/>
                <w:highlight w:val="none"/>
              </w:rPr>
              <w:t>）max+V</w:t>
            </w:r>
            <w:r>
              <w:rPr>
                <w:rFonts w:ascii="Times New Roman" w:hAnsi="Times New Roman" w:eastAsia="宋体" w:cs="Times New Roman"/>
                <w:color w:val="auto"/>
                <w:sz w:val="24"/>
                <w:szCs w:val="24"/>
                <w:highlight w:val="none"/>
                <w:vertAlign w:val="subscript"/>
              </w:rPr>
              <w:t>4</w:t>
            </w:r>
            <w:r>
              <w:rPr>
                <w:rFonts w:ascii="Times New Roman" w:hAnsi="Times New Roman" w:eastAsia="宋体" w:cs="Times New Roman"/>
                <w:color w:val="auto"/>
                <w:sz w:val="24"/>
                <w:szCs w:val="24"/>
                <w:highlight w:val="none"/>
              </w:rPr>
              <w:t>+V</w:t>
            </w:r>
            <w:r>
              <w:rPr>
                <w:rFonts w:ascii="Times New Roman" w:hAnsi="Times New Roman" w:eastAsia="宋体" w:cs="Times New Roman"/>
                <w:color w:val="auto"/>
                <w:sz w:val="24"/>
                <w:szCs w:val="24"/>
                <w:highlight w:val="none"/>
                <w:vertAlign w:val="subscript"/>
              </w:rPr>
              <w:t>5</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216</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63.59</w:t>
            </w:r>
            <w:r>
              <w:rPr>
                <w:rFonts w:ascii="Times New Roman" w:hAnsi="Times New Roman" w:eastAsia="宋体" w:cs="Times New Roman"/>
                <w:color w:val="auto"/>
                <w:sz w:val="24"/>
                <w:szCs w:val="24"/>
                <w:highlight w:val="none"/>
              </w:rPr>
              <w:t>）max+</w:t>
            </w:r>
            <w:r>
              <w:rPr>
                <w:rFonts w:hint="eastAsia" w:cs="Times New Roman"/>
                <w:color w:val="auto"/>
                <w:sz w:val="24"/>
                <w:szCs w:val="24"/>
                <w:highlight w:val="none"/>
                <w:lang w:val="en-US" w:eastAsia="zh-CN"/>
              </w:rPr>
              <w:t>0</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71.37</w:t>
            </w:r>
            <w:r>
              <w:rPr>
                <w:rFonts w:ascii="Times New Roman" w:hAnsi="Times New Roman" w:eastAsia="宋体" w:cs="Times New Roman"/>
                <w:color w:val="auto"/>
                <w:sz w:val="24"/>
                <w:szCs w:val="24"/>
                <w:highlight w:val="none"/>
              </w:rPr>
              <w:t>=</w:t>
            </w:r>
            <w:r>
              <w:rPr>
                <w:rFonts w:hint="eastAsia" w:cs="Times New Roman"/>
                <w:color w:val="auto"/>
                <w:sz w:val="24"/>
                <w:szCs w:val="24"/>
                <w:highlight w:val="none"/>
                <w:lang w:val="en-US" w:eastAsia="zh-CN"/>
              </w:rPr>
              <w:t>223.78</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ascii="Times New Roman" w:hAnsi="Times New Roman" w:eastAsia="宋体" w:cs="Times New Roman"/>
                <w:color w:val="auto"/>
                <w:sz w:val="24"/>
                <w:szCs w:val="24"/>
                <w:highlight w:val="none"/>
              </w:rPr>
              <w:t>。</w:t>
            </w:r>
          </w:p>
          <w:p>
            <w:pPr>
              <w:tabs>
                <w:tab w:val="left" w:pos="360"/>
              </w:tabs>
              <w:autoSpaceDE w:val="0"/>
              <w:autoSpaceDN w:val="0"/>
              <w:adjustRightInd w:val="0"/>
              <w:spacing w:line="360" w:lineRule="auto"/>
              <w:ind w:firstLine="480"/>
              <w:rPr>
                <w:rFonts w:hint="default" w:eastAsia="宋体" w:cs="Times New Roman"/>
                <w:color w:val="auto"/>
                <w:sz w:val="24"/>
                <w:szCs w:val="21"/>
                <w:highlight w:val="none"/>
                <w:lang w:val="en-US" w:eastAsia="zh-CN"/>
              </w:rPr>
            </w:pPr>
            <w:r>
              <w:rPr>
                <w:rFonts w:hint="eastAsia" w:cs="Times New Roman"/>
                <w:color w:val="auto"/>
                <w:sz w:val="24"/>
                <w:szCs w:val="21"/>
                <w:highlight w:val="none"/>
                <w:lang w:val="en-US" w:eastAsia="zh-CN"/>
              </w:rPr>
              <w:t>本项目应建设不少于230</w:t>
            </w:r>
            <w:r>
              <w:rPr>
                <w:rFonts w:ascii="Times New Roman" w:hAnsi="Times New Roman" w:eastAsia="宋体" w:cs="Times New Roman"/>
                <w:color w:val="auto"/>
                <w:sz w:val="24"/>
                <w:szCs w:val="24"/>
                <w:highlight w:val="none"/>
              </w:rPr>
              <w:t>m</w:t>
            </w:r>
            <w:r>
              <w:rPr>
                <w:rFonts w:ascii="Times New Roman" w:hAnsi="Times New Roman" w:eastAsia="宋体" w:cs="Times New Roman"/>
                <w:color w:val="auto"/>
                <w:sz w:val="24"/>
                <w:szCs w:val="24"/>
                <w:highlight w:val="none"/>
                <w:vertAlign w:val="superscript"/>
              </w:rPr>
              <w:t>3</w:t>
            </w:r>
            <w:r>
              <w:rPr>
                <w:rFonts w:hint="eastAsia" w:cs="Times New Roman"/>
                <w:color w:val="auto"/>
                <w:sz w:val="24"/>
                <w:szCs w:val="24"/>
                <w:highlight w:val="none"/>
                <w:lang w:val="en-US" w:eastAsia="zh-CN"/>
              </w:rPr>
              <w:t>的事故应急池，能满足本项目事故状态下废水的收集。事故应急池需采取钢筋混凝土结构，采用相应的防渗措施，且事故池地下设计，满足自流要求，发生事故时废水可自流进入事故池，收集的事故废水委外处理。</w:t>
            </w:r>
          </w:p>
          <w:p>
            <w:pPr>
              <w:tabs>
                <w:tab w:val="left" w:pos="360"/>
              </w:tabs>
              <w:autoSpaceDE w:val="0"/>
              <w:autoSpaceDN w:val="0"/>
              <w:adjustRightInd w:val="0"/>
              <w:spacing w:line="360" w:lineRule="auto"/>
              <w:ind w:firstLine="480"/>
              <w:rPr>
                <w:rFonts w:hint="default" w:cs="Times New Roman"/>
                <w:color w:val="auto"/>
                <w:sz w:val="24"/>
                <w:szCs w:val="21"/>
                <w:highlight w:val="none"/>
                <w:lang w:val="en-US" w:eastAsia="zh-CN"/>
              </w:rPr>
            </w:pPr>
            <w:r>
              <w:rPr>
                <w:rFonts w:hint="eastAsia" w:cs="Times New Roman"/>
                <w:color w:val="auto"/>
                <w:sz w:val="24"/>
                <w:szCs w:val="21"/>
                <w:highlight w:val="none"/>
                <w:lang w:val="en-US" w:eastAsia="zh-CN"/>
              </w:rPr>
              <w:t>事故废水收集系统见下图。</w:t>
            </w:r>
          </w:p>
          <w:p>
            <w:pPr>
              <w:keepNext w:val="0"/>
              <w:keepLines w:val="0"/>
              <w:pageBreakBefore w:val="0"/>
              <w:widowControl w:val="0"/>
              <w:tabs>
                <w:tab w:val="left" w:pos="360"/>
              </w:tabs>
              <w:kinsoku/>
              <w:wordWrap/>
              <w:overflowPunct/>
              <w:topLinePunct w:val="0"/>
              <w:autoSpaceDE w:val="0"/>
              <w:autoSpaceDN w:val="0"/>
              <w:bidi w:val="0"/>
              <w:adjustRightInd w:val="0"/>
              <w:snapToGrid/>
              <w:spacing w:line="240" w:lineRule="auto"/>
              <w:ind w:firstLine="0"/>
              <w:jc w:val="center"/>
              <w:textAlignment w:val="auto"/>
              <w:rPr>
                <w:rFonts w:hint="default" w:ascii="Times New Roman" w:hAnsi="Times New Roman" w:eastAsia="宋体" w:cs="Times New Roman"/>
                <w:b/>
                <w:bCs/>
                <w:color w:val="auto"/>
                <w:sz w:val="24"/>
                <w:szCs w:val="21"/>
                <w:highlight w:val="none"/>
                <w:lang w:val="en-US" w:eastAsia="zh-CN"/>
              </w:rPr>
            </w:pPr>
            <w:r>
              <w:rPr>
                <w:rFonts w:hint="eastAsia" w:ascii="Times New Roman" w:hAnsi="Times New Roman" w:eastAsia="宋体" w:cs="Times New Roman"/>
                <w:b/>
                <w:bCs/>
                <w:color w:val="auto"/>
                <w:sz w:val="24"/>
                <w:szCs w:val="21"/>
                <w:highlight w:val="none"/>
              </w:rPr>
              <w:drawing>
                <wp:anchor distT="0" distB="0" distL="114300" distR="114300" simplePos="0" relativeHeight="251662336" behindDoc="0" locked="0" layoutInCell="1" allowOverlap="1">
                  <wp:simplePos x="0" y="0"/>
                  <wp:positionH relativeFrom="column">
                    <wp:posOffset>1228725</wp:posOffset>
                  </wp:positionH>
                  <wp:positionV relativeFrom="paragraph">
                    <wp:posOffset>29210</wp:posOffset>
                  </wp:positionV>
                  <wp:extent cx="2876550" cy="1765300"/>
                  <wp:effectExtent l="0" t="0" r="0" b="6350"/>
                  <wp:wrapTopAndBottom/>
                  <wp:docPr id="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7"/>
                          <pic:cNvPicPr>
                            <a:picLocks noChangeAspect="1"/>
                          </pic:cNvPicPr>
                        </pic:nvPicPr>
                        <pic:blipFill>
                          <a:blip r:embed="rId73"/>
                          <a:stretch>
                            <a:fillRect/>
                          </a:stretch>
                        </pic:blipFill>
                        <pic:spPr>
                          <a:xfrm>
                            <a:off x="0" y="0"/>
                            <a:ext cx="2876550" cy="1765300"/>
                          </a:xfrm>
                          <a:prstGeom prst="rect">
                            <a:avLst/>
                          </a:prstGeom>
                          <a:noFill/>
                          <a:ln>
                            <a:noFill/>
                          </a:ln>
                        </pic:spPr>
                      </pic:pic>
                    </a:graphicData>
                  </a:graphic>
                </wp:anchor>
              </w:drawing>
            </w:r>
            <w:r>
              <w:rPr>
                <w:rFonts w:hint="eastAsia" w:ascii="Times New Roman" w:hAnsi="Times New Roman" w:eastAsia="宋体" w:cs="Times New Roman"/>
                <w:b/>
                <w:bCs/>
                <w:color w:val="auto"/>
                <w:sz w:val="24"/>
                <w:szCs w:val="21"/>
                <w:highlight w:val="none"/>
                <w:lang w:val="en-US" w:eastAsia="zh-CN"/>
              </w:rPr>
              <w:t>图4-</w:t>
            </w:r>
            <w:r>
              <w:rPr>
                <w:rFonts w:hint="eastAsia" w:cs="Times New Roman"/>
                <w:b/>
                <w:bCs/>
                <w:color w:val="auto"/>
                <w:sz w:val="24"/>
                <w:szCs w:val="21"/>
                <w:highlight w:val="none"/>
                <w:lang w:val="en-US" w:eastAsia="zh-CN"/>
              </w:rPr>
              <w:t>4</w:t>
            </w:r>
            <w:r>
              <w:rPr>
                <w:rFonts w:hint="eastAsia" w:ascii="Times New Roman" w:hAnsi="Times New Roman" w:eastAsia="宋体" w:cs="Times New Roman"/>
                <w:b/>
                <w:bCs/>
                <w:color w:val="auto"/>
                <w:sz w:val="24"/>
                <w:szCs w:val="21"/>
                <w:highlight w:val="none"/>
                <w:lang w:val="en-US" w:eastAsia="zh-CN"/>
              </w:rPr>
              <w:t>项目事故水收集系统</w:t>
            </w:r>
          </w:p>
          <w:p>
            <w:pPr>
              <w:tabs>
                <w:tab w:val="left" w:pos="360"/>
              </w:tabs>
              <w:autoSpaceDE w:val="0"/>
              <w:autoSpaceDN w:val="0"/>
              <w:adjustRightInd w:val="0"/>
              <w:spacing w:line="360" w:lineRule="auto"/>
              <w:ind w:firstLine="480"/>
              <w:rPr>
                <w:rFonts w:hint="default" w:cs="Times New Roman"/>
                <w:color w:val="auto"/>
                <w:sz w:val="24"/>
                <w:szCs w:val="21"/>
                <w:highlight w:val="none"/>
                <w:lang w:val="en-US" w:eastAsia="zh-CN"/>
              </w:rPr>
            </w:pPr>
            <w:r>
              <w:rPr>
                <w:rFonts w:hint="eastAsia" w:cs="Times New Roman"/>
                <w:color w:val="auto"/>
                <w:sz w:val="24"/>
                <w:szCs w:val="21"/>
                <w:highlight w:val="none"/>
                <w:lang w:val="en-US" w:eastAsia="zh-CN"/>
              </w:rPr>
              <w:t>事故状态下，厂区所有事故废水必须全部收集，事故废水防范和处理见图4-5。</w:t>
            </w:r>
          </w:p>
          <w:p>
            <w:pPr>
              <w:keepNext w:val="0"/>
              <w:keepLines w:val="0"/>
              <w:pageBreakBefore w:val="0"/>
              <w:widowControl w:val="0"/>
              <w:tabs>
                <w:tab w:val="left" w:pos="360"/>
              </w:tabs>
              <w:kinsoku/>
              <w:wordWrap/>
              <w:overflowPunct/>
              <w:topLinePunct w:val="0"/>
              <w:autoSpaceDE w:val="0"/>
              <w:autoSpaceDN w:val="0"/>
              <w:bidi w:val="0"/>
              <w:adjustRightInd w:val="0"/>
              <w:snapToGrid/>
              <w:spacing w:line="240" w:lineRule="auto"/>
              <w:ind w:firstLine="0"/>
              <w:jc w:val="center"/>
              <w:textAlignment w:val="auto"/>
              <w:rPr>
                <w:rFonts w:hint="default" w:ascii="Times New Roman" w:hAnsi="Times New Roman" w:eastAsia="宋体" w:cs="Times New Roman"/>
                <w:b/>
                <w:bCs/>
                <w:color w:val="auto"/>
                <w:sz w:val="24"/>
                <w:szCs w:val="21"/>
                <w:highlight w:val="none"/>
                <w:lang w:val="en-US" w:eastAsia="zh-CN"/>
              </w:rPr>
            </w:pPr>
            <w:r>
              <w:rPr>
                <w:color w:val="auto"/>
              </w:rPr>
              <w:drawing>
                <wp:anchor distT="0" distB="0" distL="114300" distR="114300" simplePos="0" relativeHeight="251663360" behindDoc="0" locked="0" layoutInCell="1" allowOverlap="1">
                  <wp:simplePos x="0" y="0"/>
                  <wp:positionH relativeFrom="column">
                    <wp:posOffset>1028700</wp:posOffset>
                  </wp:positionH>
                  <wp:positionV relativeFrom="paragraph">
                    <wp:posOffset>53975</wp:posOffset>
                  </wp:positionV>
                  <wp:extent cx="3043555" cy="1586865"/>
                  <wp:effectExtent l="0" t="0" r="4445" b="13335"/>
                  <wp:wrapTopAndBottom/>
                  <wp:docPr id="3"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8"/>
                          <pic:cNvPicPr>
                            <a:picLocks noChangeAspect="1"/>
                          </pic:cNvPicPr>
                        </pic:nvPicPr>
                        <pic:blipFill>
                          <a:blip r:embed="rId74"/>
                          <a:stretch>
                            <a:fillRect/>
                          </a:stretch>
                        </pic:blipFill>
                        <pic:spPr>
                          <a:xfrm>
                            <a:off x="0" y="0"/>
                            <a:ext cx="3043555" cy="1586865"/>
                          </a:xfrm>
                          <a:prstGeom prst="rect">
                            <a:avLst/>
                          </a:prstGeom>
                          <a:noFill/>
                          <a:ln>
                            <a:noFill/>
                          </a:ln>
                        </pic:spPr>
                      </pic:pic>
                    </a:graphicData>
                  </a:graphic>
                </wp:anchor>
              </w:drawing>
            </w:r>
            <w:r>
              <w:rPr>
                <w:rFonts w:hint="eastAsia" w:ascii="Times New Roman" w:hAnsi="Times New Roman" w:eastAsia="宋体" w:cs="Times New Roman"/>
                <w:b/>
                <w:bCs/>
                <w:color w:val="auto"/>
                <w:sz w:val="24"/>
                <w:szCs w:val="21"/>
                <w:highlight w:val="none"/>
                <w:lang w:val="en-US" w:eastAsia="zh-CN"/>
              </w:rPr>
              <w:t>图4-5事故废水防范和处理流程示意图</w:t>
            </w:r>
          </w:p>
          <w:p>
            <w:pPr>
              <w:tabs>
                <w:tab w:val="left" w:pos="360"/>
              </w:tabs>
              <w:autoSpaceDE w:val="0"/>
              <w:autoSpaceDN w:val="0"/>
              <w:adjustRightInd w:val="0"/>
              <w:spacing w:line="360" w:lineRule="auto"/>
              <w:ind w:firstLine="480"/>
              <w:rPr>
                <w:rFonts w:hint="eastAsia" w:cs="Times New Roman"/>
                <w:color w:val="auto"/>
                <w:sz w:val="24"/>
                <w:szCs w:val="21"/>
                <w:highlight w:val="none"/>
                <w:lang w:val="en-US" w:eastAsia="zh-CN"/>
              </w:rPr>
            </w:pPr>
            <w:r>
              <w:rPr>
                <w:rFonts w:hint="eastAsia" w:cs="Times New Roman"/>
                <w:color w:val="auto"/>
                <w:sz w:val="24"/>
                <w:szCs w:val="21"/>
                <w:highlight w:val="none"/>
                <w:lang w:val="en-US" w:eastAsia="zh-CN"/>
              </w:rPr>
              <w:t>废水收集流程说明：</w:t>
            </w:r>
          </w:p>
          <w:p>
            <w:pPr>
              <w:tabs>
                <w:tab w:val="left" w:pos="360"/>
              </w:tabs>
              <w:autoSpaceDE w:val="0"/>
              <w:autoSpaceDN w:val="0"/>
              <w:adjustRightInd w:val="0"/>
              <w:spacing w:line="360" w:lineRule="auto"/>
              <w:ind w:firstLine="480"/>
              <w:rPr>
                <w:rFonts w:hint="eastAsia" w:cs="Times New Roman"/>
                <w:color w:val="auto"/>
                <w:sz w:val="24"/>
                <w:szCs w:val="21"/>
                <w:highlight w:val="none"/>
                <w:lang w:val="en-US" w:eastAsia="zh-CN"/>
              </w:rPr>
            </w:pPr>
            <w:r>
              <w:rPr>
                <w:rFonts w:hint="eastAsia" w:cs="Times New Roman"/>
                <w:color w:val="auto"/>
                <w:sz w:val="24"/>
                <w:szCs w:val="21"/>
                <w:highlight w:val="none"/>
                <w:lang w:val="en-US" w:eastAsia="zh-CN"/>
              </w:rPr>
              <w:t>正常生产情况下，阀门1、3开启，阀门2关闭，事故状况下，阀门1、3关闭，阀门2开启，对消防污水和事故废水进行收集，收集的污水排入污水处理厂处理。采取上述措施后，因消防水排放而发生周围地表水污染事故的可能性极小。</w:t>
            </w:r>
          </w:p>
          <w:p>
            <w:pPr>
              <w:tabs>
                <w:tab w:val="left" w:pos="360"/>
              </w:tabs>
              <w:autoSpaceDE w:val="0"/>
              <w:autoSpaceDN w:val="0"/>
              <w:adjustRightInd w:val="0"/>
              <w:spacing w:line="360" w:lineRule="auto"/>
              <w:ind w:firstLine="480"/>
              <w:rPr>
                <w:rFonts w:hint="default" w:ascii="Times New Roman" w:hAnsi="Times New Roman" w:eastAsia="宋体" w:cs="Times New Roman"/>
                <w:color w:val="auto"/>
                <w:sz w:val="24"/>
                <w:szCs w:val="21"/>
                <w:highlight w:val="none"/>
                <w:lang w:val="en-US" w:eastAsia="zh-CN"/>
              </w:rPr>
            </w:pPr>
            <w:r>
              <w:rPr>
                <w:rFonts w:hint="eastAsia" w:cs="Times New Roman"/>
                <w:color w:val="auto"/>
                <w:sz w:val="24"/>
                <w:szCs w:val="21"/>
                <w:highlight w:val="none"/>
                <w:lang w:eastAsia="zh-CN"/>
              </w:rPr>
              <w:t>（</w:t>
            </w:r>
            <w:r>
              <w:rPr>
                <w:rFonts w:hint="eastAsia" w:cs="Times New Roman"/>
                <w:color w:val="auto"/>
                <w:sz w:val="24"/>
                <w:szCs w:val="21"/>
                <w:highlight w:val="none"/>
                <w:lang w:val="en-US" w:eastAsia="zh-CN"/>
              </w:rPr>
              <w:t>6</w:t>
            </w:r>
            <w:r>
              <w:rPr>
                <w:rFonts w:hint="eastAsia" w:cs="Times New Roman"/>
                <w:color w:val="auto"/>
                <w:sz w:val="24"/>
                <w:szCs w:val="21"/>
                <w:highlight w:val="none"/>
                <w:lang w:eastAsia="zh-CN"/>
              </w:rPr>
              <w:t>）</w:t>
            </w:r>
            <w:r>
              <w:rPr>
                <w:rFonts w:hint="eastAsia" w:cs="Times New Roman"/>
                <w:color w:val="auto"/>
                <w:sz w:val="24"/>
                <w:szCs w:val="21"/>
                <w:highlight w:val="none"/>
                <w:lang w:val="en-US" w:eastAsia="zh-CN"/>
              </w:rPr>
              <w:t>环境风险应急预案</w:t>
            </w:r>
          </w:p>
          <w:p>
            <w:pPr>
              <w:tabs>
                <w:tab w:val="left" w:pos="360"/>
              </w:tabs>
              <w:autoSpaceDE w:val="0"/>
              <w:autoSpaceDN w:val="0"/>
              <w:adjustRightInd w:val="0"/>
              <w:spacing w:line="360" w:lineRule="auto"/>
              <w:ind w:firstLine="480"/>
              <w:rPr>
                <w:rFonts w:ascii="Times New Roman" w:hAnsi="Times New Roman" w:eastAsia="宋体" w:cs="Times New Roman"/>
                <w:color w:val="auto"/>
                <w:sz w:val="24"/>
                <w:szCs w:val="21"/>
                <w:highlight w:val="none"/>
              </w:rPr>
            </w:pPr>
            <w:r>
              <w:rPr>
                <w:rFonts w:hint="eastAsia" w:ascii="Times New Roman" w:hAnsi="Times New Roman" w:eastAsia="宋体" w:cs="Times New Roman"/>
                <w:color w:val="auto"/>
                <w:sz w:val="24"/>
                <w:szCs w:val="21"/>
                <w:highlight w:val="none"/>
              </w:rPr>
              <w:t>企业在制定环境风险应急预案时，应包括表</w:t>
            </w:r>
            <w:r>
              <w:rPr>
                <w:rFonts w:ascii="Times New Roman" w:hAnsi="Times New Roman" w:eastAsia="宋体" w:cs="Times New Roman"/>
                <w:color w:val="auto"/>
                <w:sz w:val="24"/>
                <w:szCs w:val="21"/>
                <w:highlight w:val="none"/>
              </w:rPr>
              <w:t>4.</w:t>
            </w:r>
            <w:r>
              <w:rPr>
                <w:rFonts w:hint="eastAsia" w:ascii="Times New Roman" w:hAnsi="Times New Roman" w:eastAsia="宋体" w:cs="Times New Roman"/>
                <w:color w:val="auto"/>
                <w:sz w:val="24"/>
                <w:szCs w:val="21"/>
                <w:highlight w:val="none"/>
                <w:lang w:val="en-US" w:eastAsia="zh-CN"/>
              </w:rPr>
              <w:t>6-</w:t>
            </w:r>
            <w:r>
              <w:rPr>
                <w:rFonts w:hint="eastAsia" w:cs="Times New Roman"/>
                <w:color w:val="auto"/>
                <w:sz w:val="24"/>
                <w:szCs w:val="21"/>
                <w:highlight w:val="none"/>
                <w:lang w:val="en-US" w:eastAsia="zh-CN"/>
              </w:rPr>
              <w:t>6</w:t>
            </w:r>
            <w:r>
              <w:rPr>
                <w:rFonts w:hint="eastAsia" w:ascii="Times New Roman" w:hAnsi="Times New Roman" w:eastAsia="宋体" w:cs="Times New Roman"/>
                <w:color w:val="auto"/>
                <w:sz w:val="24"/>
                <w:szCs w:val="21"/>
                <w:highlight w:val="none"/>
              </w:rPr>
              <w:t>。</w:t>
            </w:r>
          </w:p>
          <w:p>
            <w:pPr>
              <w:keepNext w:val="0"/>
              <w:keepLines w:val="0"/>
              <w:pageBreakBefore w:val="0"/>
              <w:widowControl w:val="0"/>
              <w:tabs>
                <w:tab w:val="left" w:pos="360"/>
              </w:tabs>
              <w:kinsoku/>
              <w:wordWrap/>
              <w:overflowPunct/>
              <w:topLinePunct w:val="0"/>
              <w:autoSpaceDE w:val="0"/>
              <w:autoSpaceDN w:val="0"/>
              <w:bidi w:val="0"/>
              <w:adjustRightInd w:val="0"/>
              <w:snapToGrid/>
              <w:spacing w:line="240" w:lineRule="auto"/>
              <w:ind w:firstLine="0"/>
              <w:jc w:val="center"/>
              <w:textAlignment w:val="auto"/>
              <w:rPr>
                <w:rFonts w:ascii="Times New Roman" w:hAnsi="Times New Roman" w:eastAsia="宋体" w:cs="Times New Roman"/>
                <w:b/>
                <w:bCs/>
                <w:color w:val="auto"/>
                <w:sz w:val="24"/>
                <w:szCs w:val="21"/>
                <w:highlight w:val="none"/>
              </w:rPr>
            </w:pPr>
            <w:r>
              <w:rPr>
                <w:rFonts w:hint="eastAsia" w:ascii="Times New Roman" w:hAnsi="Times New Roman" w:eastAsia="宋体" w:cs="Times New Roman"/>
                <w:b/>
                <w:bCs/>
                <w:color w:val="auto"/>
                <w:sz w:val="24"/>
                <w:szCs w:val="21"/>
                <w:highlight w:val="none"/>
              </w:rPr>
              <w:t>表</w:t>
            </w:r>
            <w:r>
              <w:rPr>
                <w:rFonts w:ascii="Times New Roman" w:hAnsi="Times New Roman" w:eastAsia="宋体" w:cs="Times New Roman"/>
                <w:b/>
                <w:bCs/>
                <w:color w:val="auto"/>
                <w:sz w:val="24"/>
                <w:szCs w:val="21"/>
                <w:highlight w:val="none"/>
              </w:rPr>
              <w:t>4</w:t>
            </w:r>
            <w:r>
              <w:rPr>
                <w:rFonts w:hint="eastAsia" w:ascii="Times New Roman" w:hAnsi="Times New Roman" w:eastAsia="宋体" w:cs="Times New Roman"/>
                <w:b/>
                <w:bCs/>
                <w:color w:val="auto"/>
                <w:sz w:val="24"/>
                <w:szCs w:val="21"/>
                <w:highlight w:val="none"/>
                <w:lang w:val="en-US" w:eastAsia="zh-CN"/>
              </w:rPr>
              <w:t>.6-</w:t>
            </w:r>
            <w:r>
              <w:rPr>
                <w:rFonts w:hint="eastAsia" w:cs="Times New Roman"/>
                <w:b/>
                <w:bCs/>
                <w:color w:val="auto"/>
                <w:sz w:val="24"/>
                <w:szCs w:val="21"/>
                <w:highlight w:val="none"/>
                <w:lang w:val="en-US" w:eastAsia="zh-CN"/>
              </w:rPr>
              <w:t>6</w:t>
            </w:r>
            <w:r>
              <w:rPr>
                <w:rFonts w:hint="eastAsia" w:ascii="Times New Roman" w:hAnsi="Times New Roman" w:eastAsia="宋体" w:cs="Times New Roman"/>
                <w:b/>
                <w:bCs/>
                <w:color w:val="auto"/>
                <w:sz w:val="24"/>
                <w:szCs w:val="21"/>
                <w:highlight w:val="none"/>
              </w:rPr>
              <w:t>环境风险应急预案内容</w:t>
            </w:r>
          </w:p>
          <w:tbl>
            <w:tblPr>
              <w:tblStyle w:val="25"/>
              <w:tblW w:w="8442" w:type="dxa"/>
              <w:tblInd w:w="0" w:type="dxa"/>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690"/>
              <w:gridCol w:w="2729"/>
              <w:gridCol w:w="5023"/>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12"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序号</w:t>
                  </w:r>
                </w:p>
              </w:tc>
              <w:tc>
                <w:tcPr>
                  <w:tcW w:w="2729" w:type="dxa"/>
                  <w:tcBorders>
                    <w:top w:val="single" w:color="auto" w:sz="12" w:space="0"/>
                    <w:left w:val="single" w:color="auto" w:sz="4" w:space="0"/>
                    <w:bottom w:val="single" w:color="auto" w:sz="4" w:space="0"/>
                    <w:right w:val="single" w:color="auto" w:sz="4" w:space="0"/>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项目</w:t>
                  </w:r>
                </w:p>
              </w:tc>
              <w:tc>
                <w:tcPr>
                  <w:tcW w:w="5023" w:type="dxa"/>
                  <w:tcBorders>
                    <w:top w:val="single" w:color="auto" w:sz="12" w:space="0"/>
                    <w:left w:val="single" w:color="auto" w:sz="4" w:space="0"/>
                    <w:bottom w:val="single" w:color="auto" w:sz="4" w:space="0"/>
                    <w:right w:val="nil"/>
                  </w:tcBorders>
                  <w:vAlign w:val="center"/>
                </w:tcPr>
                <w:p>
                  <w:pPr>
                    <w:spacing w:line="240" w:lineRule="auto"/>
                    <w:jc w:val="center"/>
                    <w:rPr>
                      <w:rFonts w:ascii="Times New Roman" w:hAnsi="Times New Roman" w:eastAsia="宋体" w:cs="Times New Roman"/>
                      <w:b/>
                      <w:bCs/>
                      <w:color w:val="auto"/>
                      <w:sz w:val="21"/>
                      <w:szCs w:val="21"/>
                      <w:highlight w:val="none"/>
                    </w:rPr>
                  </w:pPr>
                  <w:r>
                    <w:rPr>
                      <w:rFonts w:hint="eastAsia" w:ascii="Times New Roman" w:hAnsi="Times New Roman" w:eastAsia="宋体" w:cs="Times New Roman"/>
                      <w:b/>
                      <w:bCs/>
                      <w:color w:val="auto"/>
                      <w:sz w:val="21"/>
                      <w:szCs w:val="21"/>
                      <w:highlight w:val="none"/>
                    </w:rPr>
                    <w:t>内容及要求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1</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应急组织机构、人员</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公司应急机构人员</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2</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预案分级响应条件</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规定预案的级别及分级响应程序</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3</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应急救援保障</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应急设施、设备与器材等</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4</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报警、通讯联络方式</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sz w:val="21"/>
                      <w:szCs w:val="21"/>
                      <w:highlight w:val="none"/>
                    </w:rPr>
                    <w:t>规定应急状态下的报警通讯方式；交通保障、管制</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5</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应急环境监测、抢险、救援及控制措施</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sz w:val="21"/>
                      <w:szCs w:val="21"/>
                      <w:highlight w:val="none"/>
                    </w:rPr>
                    <w:t>由环境监测站负责对事故现场进行监测，对事故性质、参数与后果进行评估，为指挥部门提供决策根据</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6</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应急检测、防护措施、清除</w:t>
                  </w:r>
                  <w:r>
                    <w:rPr>
                      <w:rFonts w:hint="eastAsia" w:cs="Times New Roman"/>
                      <w:color w:val="auto"/>
                      <w:sz w:val="21"/>
                      <w:szCs w:val="21"/>
                      <w:highlight w:val="none"/>
                      <w:lang w:eastAsia="zh-CN"/>
                    </w:rPr>
                    <w:t>泄漏</w:t>
                  </w:r>
                  <w:r>
                    <w:rPr>
                      <w:rFonts w:hint="eastAsia" w:ascii="Times New Roman" w:hAnsi="Times New Roman" w:eastAsia="宋体" w:cs="Times New Roman"/>
                      <w:color w:val="auto"/>
                      <w:sz w:val="21"/>
                      <w:szCs w:val="21"/>
                      <w:highlight w:val="none"/>
                    </w:rPr>
                    <w:t>措施器材</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sz w:val="21"/>
                      <w:szCs w:val="21"/>
                      <w:highlight w:val="none"/>
                    </w:rPr>
                    <w:t>事故现场、邻近区域、控制防火区域，控制和清除污染措施及相应设备</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7</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人员紧急撤离、疏散</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撤离组织计划及救护，医疗救护与公众健康</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4"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8</w:t>
                  </w:r>
                </w:p>
              </w:tc>
              <w:tc>
                <w:tcPr>
                  <w:tcW w:w="2729" w:type="dxa"/>
                  <w:tcBorders>
                    <w:top w:val="single" w:color="auto" w:sz="4" w:space="0"/>
                    <w:left w:val="single" w:color="auto" w:sz="4" w:space="0"/>
                    <w:bottom w:val="single" w:color="auto" w:sz="4"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事故应急救援关闭程序与恢复措施</w:t>
                  </w:r>
                </w:p>
              </w:tc>
              <w:tc>
                <w:tcPr>
                  <w:tcW w:w="5023" w:type="dxa"/>
                  <w:tcBorders>
                    <w:top w:val="single" w:color="auto" w:sz="4" w:space="0"/>
                    <w:left w:val="single" w:color="auto" w:sz="4" w:space="0"/>
                    <w:bottom w:val="single" w:color="auto" w:sz="4"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专业队伍抢救结束后，做好事故现场善后处置，临近区域解除事故警戒及善后恢复措施，现场调查、清理、清洗工作恢复生产状态，组织生产</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trPr>
              <w:tc>
                <w:tcPr>
                  <w:tcW w:w="690" w:type="dxa"/>
                  <w:tcBorders>
                    <w:top w:val="single" w:color="auto" w:sz="4" w:space="0"/>
                    <w:left w:val="nil"/>
                    <w:bottom w:val="single" w:color="auto" w:sz="12" w:space="0"/>
                    <w:right w:val="single" w:color="auto" w:sz="4" w:space="0"/>
                  </w:tcBorders>
                  <w:vAlign w:val="center"/>
                </w:tcPr>
                <w:p>
                  <w:pPr>
                    <w:spacing w:line="240" w:lineRule="auto"/>
                    <w:jc w:val="center"/>
                    <w:rPr>
                      <w:rFonts w:ascii="Times New Roman" w:hAnsi="Times New Roman" w:eastAsia="宋体" w:cs="Times New Roman"/>
                      <w:color w:val="auto"/>
                      <w:sz w:val="21"/>
                      <w:szCs w:val="21"/>
                      <w:highlight w:val="none"/>
                    </w:rPr>
                  </w:pPr>
                  <w:r>
                    <w:rPr>
                      <w:rFonts w:ascii="Times New Roman" w:hAnsi="Times New Roman" w:eastAsia="宋体" w:cs="Times New Roman"/>
                      <w:color w:val="auto"/>
                      <w:sz w:val="21"/>
                      <w:szCs w:val="21"/>
                      <w:highlight w:val="none"/>
                    </w:rPr>
                    <w:t>9</w:t>
                  </w:r>
                </w:p>
              </w:tc>
              <w:tc>
                <w:tcPr>
                  <w:tcW w:w="2729" w:type="dxa"/>
                  <w:tcBorders>
                    <w:top w:val="single" w:color="auto" w:sz="4" w:space="0"/>
                    <w:left w:val="single" w:color="auto" w:sz="4" w:space="0"/>
                    <w:bottom w:val="single" w:color="auto" w:sz="12" w:space="0"/>
                    <w:right w:val="single" w:color="auto" w:sz="4" w:space="0"/>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应急培训计划</w:t>
                  </w:r>
                </w:p>
              </w:tc>
              <w:tc>
                <w:tcPr>
                  <w:tcW w:w="5023" w:type="dxa"/>
                  <w:tcBorders>
                    <w:top w:val="single" w:color="auto" w:sz="4" w:space="0"/>
                    <w:left w:val="single" w:color="auto" w:sz="4" w:space="0"/>
                    <w:bottom w:val="single" w:color="auto" w:sz="12" w:space="0"/>
                    <w:right w:val="nil"/>
                  </w:tcBorders>
                  <w:vAlign w:val="center"/>
                </w:tcPr>
                <w:p>
                  <w:pPr>
                    <w:spacing w:line="240" w:lineRule="auto"/>
                    <w:jc w:val="left"/>
                    <w:rPr>
                      <w:rFonts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rPr>
                    <w:t>制定计划，安排人员培训与演练</w:t>
                  </w:r>
                </w:p>
              </w:tc>
            </w:tr>
          </w:tbl>
          <w:p>
            <w:pPr>
              <w:spacing w:line="360" w:lineRule="auto"/>
              <w:ind w:firstLine="482"/>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1"/>
                <w:highlight w:val="none"/>
              </w:rPr>
              <w:t>2</w:t>
            </w:r>
            <w:r>
              <w:rPr>
                <w:rFonts w:hint="eastAsia" w:ascii="Times New Roman" w:hAnsi="Times New Roman" w:eastAsia="宋体" w:cs="Times New Roman"/>
                <w:b/>
                <w:bCs/>
                <w:color w:val="auto"/>
                <w:sz w:val="24"/>
                <w:szCs w:val="21"/>
                <w:highlight w:val="none"/>
              </w:rPr>
              <w:t>、环境风险评价结论</w:t>
            </w:r>
          </w:p>
          <w:p>
            <w:pPr>
              <w:snapToGrid w:val="0"/>
              <w:spacing w:line="360" w:lineRule="auto"/>
              <w:ind w:firstLine="480" w:firstLineChars="200"/>
              <w:rPr>
                <w:rFonts w:hint="default" w:ascii="Times New Roman" w:hAnsi="Times New Roman" w:cs="Times New Roman" w:eastAsiaTheme="minorEastAsia"/>
                <w:color w:val="auto"/>
                <w:kern w:val="0"/>
                <w:sz w:val="21"/>
                <w:szCs w:val="21"/>
                <w:highlight w:val="none"/>
              </w:rPr>
            </w:pPr>
            <w:r>
              <w:rPr>
                <w:rFonts w:hint="eastAsia" w:ascii="Times New Roman" w:hAnsi="Times New Roman" w:eastAsia="宋体" w:cs="Times New Roman"/>
                <w:color w:val="auto"/>
                <w:sz w:val="24"/>
                <w:szCs w:val="21"/>
                <w:highlight w:val="none"/>
              </w:rPr>
              <w:t>本项目不构成重大危险源，项目营运过程中严格执行“三同时”制度，落实本报告提出的各项措施、建立和落实各项风险预警防范措施和事故应急计划，杜绝重大安全事故和重大环境污染事故的发生，可使项目建成后风险水平处于可接受程度。</w:t>
            </w:r>
          </w:p>
          <w:p>
            <w:pPr>
              <w:spacing w:line="360" w:lineRule="auto"/>
              <w:rPr>
                <w:rFonts w:hint="default" w:ascii="Times New Roman" w:hAnsi="Times New Roman" w:eastAsia="宋体" w:cs="Times New Roman"/>
                <w:b/>
                <w:bCs/>
                <w:color w:val="auto"/>
                <w:szCs w:val="21"/>
              </w:rPr>
            </w:pPr>
            <w:r>
              <w:rPr>
                <w:rFonts w:hint="eastAsia" w:ascii="Times New Roman" w:hAnsi="Times New Roman" w:eastAsia="宋体" w:cs="Times New Roman"/>
                <w:b/>
                <w:bCs/>
                <w:color w:val="auto"/>
                <w:szCs w:val="21"/>
                <w:lang w:val="en-US" w:eastAsia="zh-CN"/>
              </w:rPr>
              <w:t>七、</w:t>
            </w:r>
            <w:r>
              <w:rPr>
                <w:rFonts w:hint="default" w:ascii="Times New Roman" w:hAnsi="Times New Roman" w:eastAsia="宋体" w:cs="Times New Roman"/>
                <w:b/>
                <w:bCs/>
                <w:color w:val="auto"/>
                <w:szCs w:val="21"/>
              </w:rPr>
              <w:t>电磁辐射</w:t>
            </w:r>
          </w:p>
          <w:p>
            <w:pPr>
              <w:snapToGrid w:val="0"/>
              <w:spacing w:line="360" w:lineRule="auto"/>
              <w:ind w:firstLine="420" w:firstLineChars="200"/>
              <w:rPr>
                <w:rFonts w:hint="default" w:ascii="Times New Roman" w:hAnsi="Times New Roman" w:cs="Times New Roman" w:eastAsiaTheme="minorEastAsia"/>
                <w:color w:val="auto"/>
                <w:kern w:val="0"/>
                <w:sz w:val="21"/>
                <w:szCs w:val="21"/>
                <w:highlight w:val="none"/>
              </w:rPr>
            </w:pPr>
            <w:r>
              <w:rPr>
                <w:rFonts w:hint="default" w:ascii="Times New Roman" w:hAnsi="Times New Roman" w:eastAsia="宋体" w:cs="Times New Roman"/>
                <w:bCs/>
                <w:color w:val="auto"/>
                <w:szCs w:val="21"/>
              </w:rPr>
              <w:t>本项目不涉及电磁辐射。</w:t>
            </w:r>
          </w:p>
        </w:tc>
      </w:tr>
    </w:tbl>
    <w:p>
      <w:pPr>
        <w:rPr>
          <w:rFonts w:hint="default" w:ascii="Times New Roman" w:hAnsi="Times New Roman" w:cs="Times New Roman"/>
          <w:color w:val="auto"/>
          <w:highlight w:val="none"/>
        </w:rPr>
        <w:sectPr>
          <w:pgSz w:w="11906" w:h="16838"/>
          <w:pgMar w:top="1803" w:right="1440" w:bottom="1803"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2"/>
        <w:keepNext w:val="0"/>
        <w:keepLines w:val="0"/>
        <w:pageBreakBefore w:val="0"/>
        <w:widowControl/>
        <w:kinsoku/>
        <w:wordWrap/>
        <w:overflowPunct/>
        <w:topLinePunct w:val="0"/>
        <w:autoSpaceDE/>
        <w:autoSpaceDN/>
        <w:bidi w:val="0"/>
        <w:adjustRightInd/>
        <w:snapToGrid/>
        <w:spacing w:before="0" w:beforeAutospacing="0" w:after="0" w:afterAutospacing="0"/>
        <w:jc w:val="center"/>
        <w:textAlignment w:val="auto"/>
        <w:outlineLvl w:val="0"/>
        <w:rPr>
          <w:rFonts w:hint="default" w:ascii="Times New Roman" w:hAnsi="Times New Roman" w:cs="Times New Roman"/>
          <w:b/>
          <w:snapToGrid w:val="0"/>
          <w:color w:val="auto"/>
          <w:sz w:val="30"/>
          <w:szCs w:val="30"/>
          <w:highlight w:val="none"/>
        </w:rPr>
      </w:pPr>
      <w:r>
        <w:rPr>
          <w:rFonts w:hint="default" w:ascii="Times New Roman" w:hAnsi="Times New Roman" w:cs="Times New Roman"/>
          <w:b/>
          <w:snapToGrid w:val="0"/>
          <w:color w:val="auto"/>
          <w:sz w:val="30"/>
          <w:szCs w:val="30"/>
          <w:highlight w:val="none"/>
        </w:rPr>
        <w:t>五、</w:t>
      </w:r>
      <w:bookmarkStart w:id="116" w:name="_Hlk54167917"/>
      <w:r>
        <w:rPr>
          <w:rFonts w:hint="default" w:ascii="Times New Roman" w:hAnsi="Times New Roman" w:cs="Times New Roman"/>
          <w:b/>
          <w:snapToGrid w:val="0"/>
          <w:color w:val="auto"/>
          <w:sz w:val="30"/>
          <w:szCs w:val="30"/>
          <w:highlight w:val="none"/>
        </w:rPr>
        <w:t>环境保护措施监督检查清单</w:t>
      </w:r>
      <w:bookmarkEnd w:id="116"/>
    </w:p>
    <w:tbl>
      <w:tblPr>
        <w:tblStyle w:val="25"/>
        <w:tblW w:w="8517"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422"/>
        <w:gridCol w:w="456"/>
        <w:gridCol w:w="1126"/>
        <w:gridCol w:w="1363"/>
        <w:gridCol w:w="1363"/>
        <w:gridCol w:w="278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25" w:hRule="atLeast"/>
          <w:jc w:val="center"/>
        </w:trPr>
        <w:tc>
          <w:tcPr>
            <w:tcW w:w="1422" w:type="dxa"/>
            <w:tcBorders>
              <w:tl2br w:val="single" w:color="auto" w:sz="4" w:space="0"/>
            </w:tcBorders>
          </w:tcPr>
          <w:p>
            <w:pPr>
              <w:adjustRightInd w:val="0"/>
              <w:snapToGrid w:val="0"/>
              <w:ind w:firstLine="84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内容</w:t>
            </w:r>
          </w:p>
          <w:p>
            <w:pPr>
              <w:adjustRightInd w:val="0"/>
              <w:snapToGrid w:val="0"/>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要素</w:t>
            </w:r>
          </w:p>
        </w:tc>
        <w:tc>
          <w:tcPr>
            <w:tcW w:w="1582" w:type="dxa"/>
            <w:gridSpan w:val="2"/>
            <w:vAlign w:val="center"/>
          </w:tcPr>
          <w:p>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排放口</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编号、</w:t>
            </w:r>
          </w:p>
          <w:p>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名称</w:t>
            </w:r>
            <w:r>
              <w:rPr>
                <w:rFonts w:hint="eastAsia" w:cs="Times New Roman"/>
                <w:b/>
                <w:bCs/>
                <w:color w:val="auto"/>
                <w:sz w:val="24"/>
                <w:szCs w:val="24"/>
                <w:highlight w:val="none"/>
                <w:lang w:eastAsia="zh-CN"/>
              </w:rPr>
              <w:t>）</w:t>
            </w:r>
            <w:r>
              <w:rPr>
                <w:rFonts w:hint="default" w:ascii="Times New Roman" w:hAnsi="Times New Roman" w:cs="Times New Roman"/>
                <w:b/>
                <w:bCs/>
                <w:color w:val="auto"/>
                <w:sz w:val="24"/>
                <w:szCs w:val="24"/>
                <w:highlight w:val="none"/>
              </w:rPr>
              <w:t>/污染源</w:t>
            </w:r>
          </w:p>
        </w:tc>
        <w:tc>
          <w:tcPr>
            <w:tcW w:w="1363" w:type="dxa"/>
            <w:vAlign w:val="center"/>
          </w:tcPr>
          <w:p>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污染物项目</w:t>
            </w:r>
          </w:p>
        </w:tc>
        <w:tc>
          <w:tcPr>
            <w:tcW w:w="1363" w:type="dxa"/>
            <w:vAlign w:val="center"/>
          </w:tcPr>
          <w:p>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环境保护措施</w:t>
            </w:r>
          </w:p>
        </w:tc>
        <w:tc>
          <w:tcPr>
            <w:tcW w:w="2787" w:type="dxa"/>
            <w:vAlign w:val="center"/>
          </w:tcPr>
          <w:p>
            <w:pPr>
              <w:adjustRightInd w:val="0"/>
              <w:snapToGrid w:val="0"/>
              <w:jc w:val="center"/>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执行标准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55" w:hRule="atLeast"/>
          <w:jc w:val="center"/>
        </w:trPr>
        <w:tc>
          <w:tcPr>
            <w:tcW w:w="1422" w:type="dxa"/>
            <w:vMerge w:val="restart"/>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大气环境</w:t>
            </w:r>
          </w:p>
        </w:tc>
        <w:tc>
          <w:tcPr>
            <w:tcW w:w="456" w:type="dxa"/>
            <w:vMerge w:val="restart"/>
            <w:vAlign w:val="center"/>
          </w:tcPr>
          <w:p>
            <w:pPr>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有组织</w:t>
            </w:r>
          </w:p>
        </w:tc>
        <w:tc>
          <w:tcPr>
            <w:tcW w:w="1126" w:type="dxa"/>
            <w:vMerge w:val="restart"/>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DA001</w:t>
            </w:r>
          </w:p>
        </w:tc>
        <w:tc>
          <w:tcPr>
            <w:tcW w:w="1363" w:type="dxa"/>
            <w:tcBorders>
              <w:bottom w:val="single" w:color="auto" w:sz="4" w:space="0"/>
            </w:tcBorders>
            <w:vAlign w:val="center"/>
          </w:tcPr>
          <w:p>
            <w:pPr>
              <w:jc w:val="center"/>
              <w:rPr>
                <w:rFonts w:hint="eastAsia" w:ascii="Times New Roman" w:hAnsi="Times New Roman" w:eastAsia="宋体" w:cs="Times New Roman"/>
                <w:color w:val="auto"/>
                <w:kern w:val="0"/>
                <w:sz w:val="24"/>
                <w:szCs w:val="24"/>
                <w:highlight w:val="none"/>
                <w:lang w:eastAsia="zh-CN"/>
              </w:rPr>
            </w:pPr>
            <w:r>
              <w:rPr>
                <w:rFonts w:hint="eastAsia" w:cs="Times New Roman"/>
                <w:color w:val="auto"/>
                <w:kern w:val="0"/>
                <w:sz w:val="24"/>
                <w:szCs w:val="24"/>
                <w:highlight w:val="none"/>
                <w:lang w:val="en-US" w:eastAsia="zh-CN"/>
              </w:rPr>
              <w:t>颗粒物</w:t>
            </w:r>
          </w:p>
        </w:tc>
        <w:tc>
          <w:tcPr>
            <w:tcW w:w="1363" w:type="dxa"/>
            <w:tcBorders>
              <w:bottom w:val="single" w:color="auto" w:sz="4" w:space="0"/>
            </w:tcBorders>
            <w:vAlign w:val="center"/>
          </w:tcPr>
          <w:p>
            <w:pPr>
              <w:adjustRightInd w:val="0"/>
              <w:snapToGrid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集气罩+布袋除尘器</w:t>
            </w:r>
          </w:p>
        </w:tc>
        <w:tc>
          <w:tcPr>
            <w:tcW w:w="2787" w:type="dxa"/>
            <w:vAlign w:val="center"/>
          </w:tcPr>
          <w:p>
            <w:pPr>
              <w:jc w:val="center"/>
              <w:rPr>
                <w:rFonts w:hint="eastAsia" w:ascii="Times New Roman" w:hAnsi="Times New Roman" w:eastAsia="宋体" w:cs="Times New Roman"/>
                <w:color w:val="auto"/>
                <w:kern w:val="0"/>
                <w:sz w:val="24"/>
                <w:szCs w:val="24"/>
                <w:highlight w:val="none"/>
                <w:lang w:eastAsia="zh-CN"/>
              </w:rPr>
            </w:pPr>
            <w:r>
              <w:rPr>
                <w:rFonts w:hint="default" w:ascii="Times New Roman" w:hAnsi="Times New Roman" w:cs="Times New Roman"/>
                <w:color w:val="auto"/>
                <w:sz w:val="24"/>
                <w:szCs w:val="24"/>
                <w:highlight w:val="none"/>
              </w:rPr>
              <w:t>《大气污染物综合排放标准》（DB32/4041—2021）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55" w:hRule="atLeast"/>
          <w:jc w:val="center"/>
        </w:trPr>
        <w:tc>
          <w:tcPr>
            <w:tcW w:w="1422" w:type="dxa"/>
            <w:vMerge w:val="continue"/>
            <w:vAlign w:val="center"/>
          </w:tcPr>
          <w:p>
            <w:pPr>
              <w:adjustRightInd w:val="0"/>
              <w:snapToGrid w:val="0"/>
              <w:jc w:val="center"/>
              <w:rPr>
                <w:rFonts w:hint="default" w:ascii="Times New Roman" w:hAnsi="Times New Roman" w:cs="Times New Roman"/>
                <w:color w:val="auto"/>
                <w:sz w:val="24"/>
                <w:szCs w:val="24"/>
                <w:highlight w:val="none"/>
              </w:rPr>
            </w:pPr>
          </w:p>
        </w:tc>
        <w:tc>
          <w:tcPr>
            <w:tcW w:w="456" w:type="dxa"/>
            <w:vMerge w:val="continue"/>
            <w:vAlign w:val="center"/>
          </w:tcPr>
          <w:p>
            <w:pPr>
              <w:snapToGrid w:val="0"/>
              <w:jc w:val="center"/>
              <w:rPr>
                <w:rFonts w:hint="default" w:ascii="Times New Roman" w:hAnsi="Times New Roman" w:cs="Times New Roman"/>
                <w:color w:val="auto"/>
                <w:sz w:val="24"/>
                <w:szCs w:val="24"/>
                <w:highlight w:val="none"/>
              </w:rPr>
            </w:pPr>
          </w:p>
        </w:tc>
        <w:tc>
          <w:tcPr>
            <w:tcW w:w="1126" w:type="dxa"/>
            <w:vMerge w:val="continue"/>
            <w:vAlign w:val="center"/>
          </w:tcPr>
          <w:p>
            <w:pPr>
              <w:jc w:val="center"/>
              <w:rPr>
                <w:rFonts w:hint="default" w:ascii="Times New Roman" w:hAnsi="Times New Roman" w:cs="Times New Roman"/>
                <w:color w:val="auto"/>
                <w:sz w:val="24"/>
                <w:szCs w:val="24"/>
                <w:highlight w:val="none"/>
              </w:rPr>
            </w:pPr>
          </w:p>
        </w:tc>
        <w:tc>
          <w:tcPr>
            <w:tcW w:w="1363" w:type="dxa"/>
            <w:tcBorders>
              <w:bottom w:val="single" w:color="auto" w:sz="4" w:space="0"/>
            </w:tcBorders>
            <w:vAlign w:val="center"/>
          </w:tcPr>
          <w:p>
            <w:pPr>
              <w:jc w:val="center"/>
              <w:rPr>
                <w:rFonts w:hint="eastAsia"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非甲烷总烃</w:t>
            </w:r>
          </w:p>
        </w:tc>
        <w:tc>
          <w:tcPr>
            <w:tcW w:w="1363" w:type="dxa"/>
            <w:vMerge w:val="restart"/>
            <w:vAlign w:val="center"/>
          </w:tcPr>
          <w:p>
            <w:pPr>
              <w:adjustRightInd w:val="0"/>
              <w:snapToGrid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集气罩+二级活性炭</w:t>
            </w:r>
          </w:p>
        </w:tc>
        <w:tc>
          <w:tcPr>
            <w:tcW w:w="2787" w:type="dxa"/>
            <w:vMerge w:val="restart"/>
            <w:vAlign w:val="center"/>
          </w:tcPr>
          <w:p>
            <w:pPr>
              <w:jc w:val="center"/>
              <w:rPr>
                <w:rFonts w:hint="default" w:ascii="Times New Roman" w:hAnsi="Times New Roman" w:cs="Times New Roman"/>
                <w:color w:val="auto"/>
                <w:kern w:val="0"/>
                <w:sz w:val="24"/>
                <w:szCs w:val="24"/>
                <w:highlight w:val="none"/>
              </w:rPr>
            </w:pPr>
            <w:r>
              <w:rPr>
                <w:rFonts w:hint="eastAsia" w:cs="Times New Roman"/>
                <w:color w:val="auto"/>
                <w:sz w:val="24"/>
                <w:szCs w:val="24"/>
                <w:highlight w:val="none"/>
                <w:lang w:val="en-US" w:eastAsia="zh-CN"/>
              </w:rPr>
              <w:t>《合成树脂工业污染物排放标准》（GB31572-2015）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55" w:hRule="atLeast"/>
          <w:jc w:val="center"/>
        </w:trPr>
        <w:tc>
          <w:tcPr>
            <w:tcW w:w="1422" w:type="dxa"/>
            <w:vMerge w:val="continue"/>
            <w:vAlign w:val="center"/>
          </w:tcPr>
          <w:p>
            <w:pPr>
              <w:adjustRightInd w:val="0"/>
              <w:snapToGrid w:val="0"/>
              <w:jc w:val="center"/>
              <w:rPr>
                <w:rFonts w:hint="default" w:ascii="Times New Roman" w:hAnsi="Times New Roman" w:cs="Times New Roman"/>
                <w:color w:val="auto"/>
                <w:sz w:val="24"/>
                <w:szCs w:val="24"/>
                <w:highlight w:val="none"/>
              </w:rPr>
            </w:pPr>
          </w:p>
        </w:tc>
        <w:tc>
          <w:tcPr>
            <w:tcW w:w="456" w:type="dxa"/>
            <w:vMerge w:val="continue"/>
            <w:vAlign w:val="center"/>
          </w:tcPr>
          <w:p>
            <w:pPr>
              <w:snapToGrid w:val="0"/>
              <w:jc w:val="center"/>
              <w:rPr>
                <w:rFonts w:hint="default" w:ascii="Times New Roman" w:hAnsi="Times New Roman" w:cs="Times New Roman"/>
                <w:color w:val="auto"/>
                <w:sz w:val="24"/>
                <w:szCs w:val="24"/>
                <w:highlight w:val="none"/>
              </w:rPr>
            </w:pPr>
          </w:p>
        </w:tc>
        <w:tc>
          <w:tcPr>
            <w:tcW w:w="1126" w:type="dxa"/>
            <w:vMerge w:val="continue"/>
            <w:tcBorders>
              <w:bottom w:val="single" w:color="auto" w:sz="4" w:space="0"/>
            </w:tcBorders>
            <w:vAlign w:val="center"/>
          </w:tcPr>
          <w:p>
            <w:pPr>
              <w:jc w:val="center"/>
              <w:rPr>
                <w:rFonts w:hint="default" w:ascii="Times New Roman" w:hAnsi="Times New Roman" w:cs="Times New Roman"/>
                <w:color w:val="auto"/>
                <w:sz w:val="24"/>
                <w:szCs w:val="24"/>
                <w:highlight w:val="none"/>
              </w:rPr>
            </w:pPr>
          </w:p>
        </w:tc>
        <w:tc>
          <w:tcPr>
            <w:tcW w:w="1363" w:type="dxa"/>
            <w:tcBorders>
              <w:bottom w:val="single" w:color="auto" w:sz="4" w:space="0"/>
            </w:tcBorders>
            <w:vAlign w:val="center"/>
          </w:tcPr>
          <w:p>
            <w:pPr>
              <w:jc w:val="center"/>
              <w:rPr>
                <w:rFonts w:hint="default"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MDI</w:t>
            </w:r>
          </w:p>
        </w:tc>
        <w:tc>
          <w:tcPr>
            <w:tcW w:w="1363" w:type="dxa"/>
            <w:vMerge w:val="continue"/>
            <w:tcBorders>
              <w:bottom w:val="single" w:color="auto" w:sz="4" w:space="0"/>
            </w:tcBorders>
            <w:vAlign w:val="center"/>
          </w:tcPr>
          <w:p>
            <w:pPr>
              <w:adjustRightInd w:val="0"/>
              <w:snapToGrid w:val="0"/>
              <w:jc w:val="center"/>
              <w:rPr>
                <w:rFonts w:hint="eastAsia" w:ascii="Times New Roman" w:hAnsi="Times New Roman" w:cs="Times New Roman"/>
                <w:color w:val="auto"/>
                <w:kern w:val="0"/>
                <w:sz w:val="24"/>
                <w:szCs w:val="24"/>
                <w:highlight w:val="none"/>
                <w:lang w:val="en-US" w:eastAsia="zh-CN"/>
              </w:rPr>
            </w:pPr>
          </w:p>
        </w:tc>
        <w:tc>
          <w:tcPr>
            <w:tcW w:w="2787" w:type="dxa"/>
            <w:vMerge w:val="continue"/>
            <w:vAlign w:val="center"/>
          </w:tcPr>
          <w:p>
            <w:pPr>
              <w:jc w:val="center"/>
              <w:rPr>
                <w:rFonts w:hint="default" w:ascii="Times New Roman" w:hAnsi="Times New Roman" w:cs="Times New Roman"/>
                <w:color w:val="auto"/>
                <w:kern w:val="0"/>
                <w:sz w:val="24"/>
                <w:szCs w:val="24"/>
                <w:highlight w:val="none"/>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33" w:hRule="atLeast"/>
          <w:jc w:val="center"/>
        </w:trPr>
        <w:tc>
          <w:tcPr>
            <w:tcW w:w="1422" w:type="dxa"/>
            <w:vMerge w:val="continue"/>
            <w:vAlign w:val="center"/>
          </w:tcPr>
          <w:p>
            <w:pPr>
              <w:adjustRightInd w:val="0"/>
              <w:snapToGrid w:val="0"/>
              <w:jc w:val="center"/>
              <w:rPr>
                <w:rFonts w:hint="default" w:ascii="Times New Roman" w:hAnsi="Times New Roman" w:cs="Times New Roman"/>
                <w:color w:val="auto"/>
                <w:sz w:val="24"/>
                <w:szCs w:val="24"/>
                <w:highlight w:val="none"/>
              </w:rPr>
            </w:pPr>
          </w:p>
        </w:tc>
        <w:tc>
          <w:tcPr>
            <w:tcW w:w="456" w:type="dxa"/>
            <w:vMerge w:val="continue"/>
            <w:tcBorders>
              <w:bottom w:val="single" w:color="auto" w:sz="4" w:space="0"/>
            </w:tcBorders>
            <w:vAlign w:val="center"/>
          </w:tcPr>
          <w:p>
            <w:pPr>
              <w:snapToGrid w:val="0"/>
              <w:jc w:val="center"/>
              <w:rPr>
                <w:rFonts w:hint="default" w:ascii="Times New Roman" w:hAnsi="Times New Roman" w:cs="Times New Roman"/>
                <w:color w:val="auto"/>
                <w:sz w:val="24"/>
                <w:szCs w:val="24"/>
                <w:highlight w:val="none"/>
              </w:rPr>
            </w:pPr>
          </w:p>
        </w:tc>
        <w:tc>
          <w:tcPr>
            <w:tcW w:w="1126" w:type="dxa"/>
            <w:tcBorders>
              <w:bottom w:val="single" w:color="auto" w:sz="4" w:space="0"/>
            </w:tcBorders>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DA002</w:t>
            </w:r>
          </w:p>
        </w:tc>
        <w:tc>
          <w:tcPr>
            <w:tcW w:w="1363" w:type="dxa"/>
            <w:tcBorders>
              <w:bottom w:val="single" w:color="auto" w:sz="4" w:space="0"/>
            </w:tcBorders>
            <w:vAlign w:val="center"/>
          </w:tcPr>
          <w:p>
            <w:pPr>
              <w:jc w:val="center"/>
              <w:rPr>
                <w:rFonts w:hint="default" w:ascii="Times New Roman" w:hAnsi="Times New Roman" w:eastAsia="宋体" w:cs="Times New Roman"/>
                <w:color w:val="auto"/>
                <w:kern w:val="0"/>
                <w:sz w:val="24"/>
                <w:szCs w:val="24"/>
                <w:highlight w:val="none"/>
                <w:lang w:val="en-US" w:eastAsia="zh-CN"/>
              </w:rPr>
            </w:pPr>
            <w:r>
              <w:rPr>
                <w:rFonts w:hint="eastAsia" w:cs="Times New Roman"/>
                <w:color w:val="auto"/>
                <w:kern w:val="0"/>
                <w:sz w:val="24"/>
                <w:szCs w:val="24"/>
                <w:highlight w:val="none"/>
                <w:lang w:val="en-US" w:eastAsia="zh-CN"/>
              </w:rPr>
              <w:t>非甲烷总烃、TVOC</w:t>
            </w:r>
          </w:p>
        </w:tc>
        <w:tc>
          <w:tcPr>
            <w:tcW w:w="1363" w:type="dxa"/>
            <w:tcBorders>
              <w:bottom w:val="single" w:color="auto" w:sz="4" w:space="0"/>
            </w:tcBorders>
            <w:vAlign w:val="center"/>
          </w:tcPr>
          <w:p>
            <w:pPr>
              <w:adjustRightInd w:val="0"/>
              <w:snapToGrid w:val="0"/>
              <w:jc w:val="center"/>
              <w:rPr>
                <w:rFonts w:hint="default" w:ascii="Times New Roman" w:hAnsi="Times New Roman" w:eastAsia="宋体" w:cs="Times New Roman"/>
                <w:color w:val="auto"/>
                <w:kern w:val="0"/>
                <w:sz w:val="24"/>
                <w:szCs w:val="24"/>
                <w:highlight w:val="none"/>
                <w:lang w:val="en-US" w:eastAsia="zh-CN"/>
              </w:rPr>
            </w:pPr>
            <w:r>
              <w:rPr>
                <w:rFonts w:hint="eastAsia" w:ascii="Times New Roman" w:hAnsi="Times New Roman" w:cs="Times New Roman"/>
                <w:color w:val="auto"/>
                <w:kern w:val="0"/>
                <w:sz w:val="24"/>
                <w:szCs w:val="24"/>
                <w:highlight w:val="none"/>
                <w:lang w:val="en-US" w:eastAsia="zh-CN"/>
              </w:rPr>
              <w:t>集气罩+二级活性炭</w:t>
            </w:r>
          </w:p>
        </w:tc>
        <w:tc>
          <w:tcPr>
            <w:tcW w:w="2787" w:type="dxa"/>
            <w:vAlign w:val="center"/>
          </w:tcPr>
          <w:p>
            <w:pPr>
              <w:jc w:val="center"/>
              <w:rPr>
                <w:rFonts w:hint="default" w:ascii="Times New Roman" w:hAnsi="Times New Roman" w:cs="Times New Roman"/>
                <w:color w:val="auto"/>
                <w:kern w:val="0"/>
                <w:sz w:val="24"/>
                <w:szCs w:val="24"/>
                <w:highlight w:val="none"/>
              </w:rPr>
            </w:pPr>
            <w:r>
              <w:rPr>
                <w:rFonts w:hint="eastAsia" w:cs="Times New Roman"/>
                <w:color w:val="auto"/>
                <w:sz w:val="24"/>
                <w:szCs w:val="24"/>
                <w:highlight w:val="none"/>
                <w:lang w:val="en-US" w:eastAsia="zh-CN"/>
              </w:rPr>
              <w:t>《工业涂装工序大气污染物排放标准》（DB32/4439-2022）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15" w:hRule="atLeast"/>
          <w:jc w:val="center"/>
        </w:trPr>
        <w:tc>
          <w:tcPr>
            <w:tcW w:w="1422" w:type="dxa"/>
            <w:vMerge w:val="continue"/>
            <w:vAlign w:val="center"/>
          </w:tcPr>
          <w:p>
            <w:pPr>
              <w:adjustRightInd w:val="0"/>
              <w:snapToGrid w:val="0"/>
              <w:jc w:val="center"/>
              <w:rPr>
                <w:rFonts w:hint="default" w:ascii="Times New Roman" w:hAnsi="Times New Roman" w:cs="Times New Roman"/>
                <w:color w:val="auto"/>
                <w:sz w:val="24"/>
                <w:szCs w:val="24"/>
                <w:highlight w:val="none"/>
              </w:rPr>
            </w:pPr>
          </w:p>
        </w:tc>
        <w:tc>
          <w:tcPr>
            <w:tcW w:w="1582" w:type="dxa"/>
            <w:gridSpan w:val="2"/>
            <w:vAlign w:val="center"/>
          </w:tcPr>
          <w:p>
            <w:pPr>
              <w:pStyle w:val="33"/>
              <w:snapToGrid w:val="0"/>
              <w:spacing w:after="0" w:line="320" w:lineRule="exact"/>
              <w:ind w:left="0" w:leftChars="0" w:firstLine="0" w:firstLineChars="0"/>
              <w:jc w:val="center"/>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kern w:val="2"/>
                <w:sz w:val="24"/>
                <w:szCs w:val="24"/>
                <w:highlight w:val="none"/>
              </w:rPr>
              <w:t>无组织</w:t>
            </w:r>
          </w:p>
        </w:tc>
        <w:tc>
          <w:tcPr>
            <w:tcW w:w="1363" w:type="dxa"/>
            <w:tcBorders>
              <w:bottom w:val="single" w:color="auto" w:sz="4" w:space="0"/>
            </w:tcBorders>
            <w:vAlign w:val="center"/>
          </w:tcPr>
          <w:p>
            <w:pPr>
              <w:pStyle w:val="33"/>
              <w:snapToGrid w:val="0"/>
              <w:spacing w:after="0" w:line="320" w:lineRule="exact"/>
              <w:ind w:left="0" w:leftChars="0" w:firstLine="0" w:firstLineChars="0"/>
              <w:jc w:val="center"/>
              <w:rPr>
                <w:rFonts w:hint="default" w:ascii="Times New Roman" w:hAnsi="Times New Roman" w:eastAsia="宋体" w:cs="Times New Roman"/>
                <w:b w:val="0"/>
                <w:bCs/>
                <w:color w:val="auto"/>
                <w:sz w:val="24"/>
                <w:szCs w:val="24"/>
                <w:highlight w:val="none"/>
                <w:lang w:val="en-US" w:eastAsia="zh-CN"/>
              </w:rPr>
            </w:pPr>
            <w:r>
              <w:rPr>
                <w:rFonts w:hint="default" w:ascii="Times New Roman" w:hAnsi="Times New Roman" w:eastAsia="宋体" w:cs="Times New Roman"/>
                <w:b w:val="0"/>
                <w:bCs/>
                <w:color w:val="auto"/>
                <w:sz w:val="24"/>
                <w:szCs w:val="24"/>
                <w:highlight w:val="none"/>
              </w:rPr>
              <w:t>颗粒物、非甲烷总烃</w:t>
            </w:r>
            <w:r>
              <w:rPr>
                <w:rFonts w:hint="eastAsia" w:ascii="Times New Roman" w:eastAsia="宋体" w:cs="Times New Roman"/>
                <w:b w:val="0"/>
                <w:bCs/>
                <w:color w:val="auto"/>
                <w:sz w:val="24"/>
                <w:szCs w:val="24"/>
                <w:highlight w:val="none"/>
                <w:lang w:eastAsia="zh-CN"/>
              </w:rPr>
              <w:t>、</w:t>
            </w:r>
            <w:r>
              <w:rPr>
                <w:rFonts w:hint="eastAsia" w:ascii="Times New Roman" w:eastAsia="宋体" w:cs="Times New Roman"/>
                <w:b w:val="0"/>
                <w:bCs/>
                <w:color w:val="auto"/>
                <w:sz w:val="24"/>
                <w:szCs w:val="24"/>
                <w:highlight w:val="none"/>
                <w:lang w:val="en-US" w:eastAsia="zh-CN"/>
              </w:rPr>
              <w:t>MDI</w:t>
            </w:r>
          </w:p>
        </w:tc>
        <w:tc>
          <w:tcPr>
            <w:tcW w:w="1363" w:type="dxa"/>
            <w:tcBorders>
              <w:bottom w:val="single" w:color="auto" w:sz="4" w:space="0"/>
            </w:tcBorders>
            <w:vAlign w:val="center"/>
          </w:tcPr>
          <w:p>
            <w:pPr>
              <w:pStyle w:val="33"/>
              <w:snapToGrid w:val="0"/>
              <w:spacing w:after="0" w:line="320" w:lineRule="exact"/>
              <w:ind w:left="0" w:leftChars="0" w:firstLine="0" w:firstLineChars="0"/>
              <w:jc w:val="center"/>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加强通风</w:t>
            </w:r>
          </w:p>
        </w:tc>
        <w:tc>
          <w:tcPr>
            <w:tcW w:w="2787" w:type="dxa"/>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《大气污染物综合排放标准》（DB32/4041—2021）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89" w:hRule="atLeast"/>
          <w:jc w:val="center"/>
        </w:trPr>
        <w:tc>
          <w:tcPr>
            <w:tcW w:w="1422" w:type="dxa"/>
            <w:vMerge w:val="continue"/>
            <w:vAlign w:val="center"/>
          </w:tcPr>
          <w:p>
            <w:pPr>
              <w:adjustRightInd w:val="0"/>
              <w:snapToGrid w:val="0"/>
              <w:jc w:val="center"/>
              <w:rPr>
                <w:rFonts w:hint="default" w:ascii="Times New Roman" w:hAnsi="Times New Roman" w:cs="Times New Roman"/>
                <w:color w:val="auto"/>
                <w:sz w:val="24"/>
                <w:szCs w:val="24"/>
                <w:highlight w:val="none"/>
              </w:rPr>
            </w:pPr>
          </w:p>
        </w:tc>
        <w:tc>
          <w:tcPr>
            <w:tcW w:w="1582" w:type="dxa"/>
            <w:gridSpan w:val="2"/>
            <w:vAlign w:val="center"/>
          </w:tcPr>
          <w:p>
            <w:pPr>
              <w:pStyle w:val="33"/>
              <w:snapToGrid w:val="0"/>
              <w:spacing w:line="320" w:lineRule="exact"/>
              <w:ind w:left="0" w:leftChars="0" w:firstLine="0" w:firstLineChars="0"/>
              <w:jc w:val="center"/>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厂区内</w:t>
            </w:r>
          </w:p>
        </w:tc>
        <w:tc>
          <w:tcPr>
            <w:tcW w:w="1363" w:type="dxa"/>
            <w:tcBorders>
              <w:bottom w:val="single" w:color="auto" w:sz="4" w:space="0"/>
            </w:tcBorders>
            <w:vAlign w:val="center"/>
          </w:tcPr>
          <w:p>
            <w:pPr>
              <w:pStyle w:val="33"/>
              <w:snapToGrid w:val="0"/>
              <w:spacing w:after="0" w:line="320" w:lineRule="exact"/>
              <w:ind w:left="0" w:leftChars="0" w:firstLine="0" w:firstLineChars="0"/>
              <w:jc w:val="center"/>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非甲烷总烃</w:t>
            </w:r>
          </w:p>
        </w:tc>
        <w:tc>
          <w:tcPr>
            <w:tcW w:w="1363" w:type="dxa"/>
            <w:tcBorders>
              <w:bottom w:val="single" w:color="auto" w:sz="4" w:space="0"/>
            </w:tcBorders>
            <w:vAlign w:val="center"/>
          </w:tcPr>
          <w:p>
            <w:pPr>
              <w:pStyle w:val="33"/>
              <w:snapToGrid w:val="0"/>
              <w:spacing w:after="0" w:line="320" w:lineRule="exact"/>
              <w:ind w:left="0" w:leftChars="0" w:firstLine="0" w:firstLineChars="0"/>
              <w:jc w:val="center"/>
              <w:rPr>
                <w:rFonts w:hint="default" w:ascii="Times New Roman" w:hAnsi="Times New Roman" w:eastAsia="宋体" w:cs="Times New Roman"/>
                <w:b w:val="0"/>
                <w:bCs/>
                <w:color w:val="auto"/>
                <w:sz w:val="24"/>
                <w:szCs w:val="24"/>
                <w:highlight w:val="none"/>
              </w:rPr>
            </w:pPr>
            <w:r>
              <w:rPr>
                <w:rFonts w:hint="default" w:ascii="Times New Roman" w:hAnsi="Times New Roman" w:eastAsia="宋体" w:cs="Times New Roman"/>
                <w:b w:val="0"/>
                <w:bCs/>
                <w:color w:val="auto"/>
                <w:sz w:val="24"/>
                <w:szCs w:val="24"/>
                <w:highlight w:val="none"/>
              </w:rPr>
              <w:t>/</w:t>
            </w:r>
          </w:p>
        </w:tc>
        <w:tc>
          <w:tcPr>
            <w:tcW w:w="2787" w:type="dxa"/>
            <w:tcBorders>
              <w:bottom w:val="single" w:color="auto" w:sz="4" w:space="0"/>
            </w:tcBorders>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《大气污染物综合排放标准》（DB32/4041—2021）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064" w:hRule="atLeast"/>
          <w:jc w:val="center"/>
        </w:trPr>
        <w:tc>
          <w:tcPr>
            <w:tcW w:w="1422"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地表水环境</w:t>
            </w:r>
          </w:p>
        </w:tc>
        <w:tc>
          <w:tcPr>
            <w:tcW w:w="1582" w:type="dxa"/>
            <w:gridSpan w:val="2"/>
            <w:tcBorders>
              <w:bottom w:val="single" w:color="auto" w:sz="4" w:space="0"/>
            </w:tcBorders>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生活污水</w:t>
            </w:r>
          </w:p>
        </w:tc>
        <w:tc>
          <w:tcPr>
            <w:tcW w:w="1363" w:type="dxa"/>
            <w:tcBorders>
              <w:bottom w:val="single" w:color="auto" w:sz="4" w:space="0"/>
            </w:tcBorders>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COD、SS、氨氮、总磷、总氮</w:t>
            </w:r>
          </w:p>
        </w:tc>
        <w:tc>
          <w:tcPr>
            <w:tcW w:w="1363" w:type="dxa"/>
            <w:tcBorders>
              <w:bottom w:val="single" w:color="auto" w:sz="4" w:space="0"/>
            </w:tcBorders>
            <w:vAlign w:val="center"/>
          </w:tcPr>
          <w:p>
            <w:pPr>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化粪池</w:t>
            </w:r>
          </w:p>
        </w:tc>
        <w:tc>
          <w:tcPr>
            <w:tcW w:w="2787" w:type="dxa"/>
            <w:vAlign w:val="center"/>
          </w:tcPr>
          <w:p>
            <w:pPr>
              <w:pStyle w:val="87"/>
              <w:spacing w:line="240" w:lineRule="auto"/>
              <w:ind w:firstLine="0" w:firstLineChars="0"/>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2"/>
                <w:sz w:val="24"/>
                <w:szCs w:val="24"/>
                <w:highlight w:val="none"/>
              </w:rPr>
              <w:t>《污水综合排放标准》（GB8978-1996）表4中三级标准，《污水排入城镇下水道水质标准》</w:t>
            </w:r>
            <w:r>
              <w:rPr>
                <w:rFonts w:hint="eastAsia" w:ascii="Times New Roman" w:hAnsi="Times New Roman" w:cs="Times New Roman"/>
                <w:color w:val="auto"/>
                <w:kern w:val="2"/>
                <w:sz w:val="24"/>
                <w:szCs w:val="24"/>
                <w:highlight w:val="none"/>
                <w:lang w:eastAsia="zh-CN"/>
              </w:rPr>
              <w:t>（</w:t>
            </w:r>
            <w:r>
              <w:rPr>
                <w:rFonts w:hint="default" w:ascii="Times New Roman" w:hAnsi="Times New Roman" w:cs="Times New Roman"/>
                <w:color w:val="auto"/>
                <w:kern w:val="2"/>
                <w:sz w:val="24"/>
                <w:szCs w:val="24"/>
                <w:highlight w:val="none"/>
              </w:rPr>
              <w:t>GB/T31962-2015</w:t>
            </w:r>
            <w:r>
              <w:rPr>
                <w:rFonts w:hint="eastAsia" w:ascii="Times New Roman" w:hAnsi="Times New Roman" w:cs="Times New Roman"/>
                <w:color w:val="auto"/>
                <w:kern w:val="2"/>
                <w:sz w:val="24"/>
                <w:szCs w:val="24"/>
                <w:highlight w:val="none"/>
                <w:lang w:eastAsia="zh-CN"/>
              </w:rPr>
              <w:t>）</w:t>
            </w:r>
            <w:r>
              <w:rPr>
                <w:rFonts w:hint="default" w:ascii="Times New Roman" w:hAnsi="Times New Roman" w:cs="Times New Roman"/>
                <w:color w:val="auto"/>
                <w:kern w:val="2"/>
                <w:sz w:val="24"/>
                <w:szCs w:val="24"/>
                <w:highlight w:val="none"/>
              </w:rPr>
              <w:t>表1中B级标准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586" w:hRule="atLeast"/>
          <w:jc w:val="center"/>
        </w:trPr>
        <w:tc>
          <w:tcPr>
            <w:tcW w:w="1422" w:type="dxa"/>
            <w:tcBorders>
              <w:bottom w:val="single" w:color="auto" w:sz="4" w:space="0"/>
            </w:tcBorders>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声环境</w:t>
            </w:r>
          </w:p>
        </w:tc>
        <w:tc>
          <w:tcPr>
            <w:tcW w:w="1582" w:type="dxa"/>
            <w:gridSpan w:val="2"/>
            <w:tcBorders>
              <w:bottom w:val="single" w:color="auto" w:sz="4" w:space="0"/>
            </w:tcBorders>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设备运行</w:t>
            </w:r>
          </w:p>
        </w:tc>
        <w:tc>
          <w:tcPr>
            <w:tcW w:w="1363" w:type="dxa"/>
            <w:tcBorders>
              <w:bottom w:val="single" w:color="auto" w:sz="4" w:space="0"/>
            </w:tcBorders>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等效A声级</w:t>
            </w:r>
          </w:p>
        </w:tc>
        <w:tc>
          <w:tcPr>
            <w:tcW w:w="1363" w:type="dxa"/>
            <w:tcBorders>
              <w:bottom w:val="single" w:color="auto" w:sz="4" w:space="0"/>
            </w:tcBorders>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选用高效低噪声设备、安装减振底座等</w:t>
            </w:r>
          </w:p>
        </w:tc>
        <w:tc>
          <w:tcPr>
            <w:tcW w:w="2787" w:type="dxa"/>
            <w:tcBorders>
              <w:bottom w:val="single" w:color="auto" w:sz="4" w:space="0"/>
            </w:tcBorders>
            <w:vAlign w:val="center"/>
          </w:tcPr>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《工业企业厂界环境噪声排放标准》</w:t>
            </w:r>
          </w:p>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（GB12348-2008）</w:t>
            </w:r>
          </w:p>
          <w:p>
            <w:pPr>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中的3类标准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92" w:hRule="atLeast"/>
          <w:jc w:val="center"/>
        </w:trPr>
        <w:tc>
          <w:tcPr>
            <w:tcW w:w="1422" w:type="dxa"/>
            <w:tcBorders>
              <w:bottom w:val="single" w:color="auto" w:sz="4" w:space="0"/>
            </w:tcBorders>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电磁辐射</w:t>
            </w:r>
          </w:p>
        </w:tc>
        <w:tc>
          <w:tcPr>
            <w:tcW w:w="1582" w:type="dxa"/>
            <w:gridSpan w:val="2"/>
            <w:tcBorders>
              <w:bottom w:val="single" w:color="auto" w:sz="4" w:space="0"/>
            </w:tcBorders>
            <w:vAlign w:val="center"/>
          </w:tcPr>
          <w:p>
            <w:pPr>
              <w:pStyle w:val="49"/>
              <w:ind w:left="19"/>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c>
          <w:tcPr>
            <w:tcW w:w="1363" w:type="dxa"/>
            <w:tcBorders>
              <w:bottom w:val="single" w:color="auto" w:sz="4" w:space="0"/>
            </w:tcBorders>
            <w:vAlign w:val="center"/>
          </w:tcPr>
          <w:p>
            <w:pPr>
              <w:pStyle w:val="49"/>
              <w:ind w:left="15"/>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c>
          <w:tcPr>
            <w:tcW w:w="1363" w:type="dxa"/>
            <w:tcBorders>
              <w:bottom w:val="single" w:color="auto" w:sz="4" w:space="0"/>
            </w:tcBorders>
            <w:vAlign w:val="center"/>
          </w:tcPr>
          <w:p>
            <w:pPr>
              <w:pStyle w:val="49"/>
              <w:ind w:left="14"/>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c>
          <w:tcPr>
            <w:tcW w:w="2787" w:type="dxa"/>
            <w:tcBorders>
              <w:bottom w:val="single" w:color="auto" w:sz="4" w:space="0"/>
            </w:tcBorders>
            <w:vAlign w:val="center"/>
          </w:tcPr>
          <w:p>
            <w:pPr>
              <w:pStyle w:val="49"/>
              <w:ind w:left="3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5" w:hRule="atLeast"/>
          <w:jc w:val="center"/>
        </w:trPr>
        <w:tc>
          <w:tcPr>
            <w:tcW w:w="1422"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固体废物</w:t>
            </w:r>
          </w:p>
        </w:tc>
        <w:tc>
          <w:tcPr>
            <w:tcW w:w="7095" w:type="dxa"/>
            <w:gridSpan w:val="5"/>
            <w:vAlign w:val="center"/>
          </w:tcPr>
          <w:p>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sz w:val="24"/>
                <w:szCs w:val="24"/>
                <w:highlight w:val="none"/>
              </w:rPr>
              <w:t>一般固废堆放于一般固废</w:t>
            </w:r>
            <w:r>
              <w:rPr>
                <w:rFonts w:hint="eastAsia" w:cs="Times New Roman"/>
                <w:color w:val="auto"/>
                <w:sz w:val="24"/>
                <w:szCs w:val="24"/>
                <w:highlight w:val="none"/>
                <w:lang w:val="en-US" w:eastAsia="zh-CN"/>
              </w:rPr>
              <w:t>堆场</w:t>
            </w:r>
            <w:r>
              <w:rPr>
                <w:rFonts w:hint="default" w:ascii="Times New Roman" w:hAnsi="Times New Roman" w:cs="Times New Roman"/>
                <w:color w:val="auto"/>
                <w:sz w:val="24"/>
                <w:szCs w:val="24"/>
                <w:highlight w:val="none"/>
              </w:rPr>
              <w:t>，外售</w:t>
            </w:r>
            <w:r>
              <w:rPr>
                <w:rFonts w:hint="eastAsia" w:cs="Times New Roman"/>
                <w:color w:val="auto"/>
                <w:sz w:val="24"/>
                <w:szCs w:val="24"/>
                <w:highlight w:val="none"/>
                <w:lang w:val="en-US" w:eastAsia="zh-CN"/>
              </w:rPr>
              <w:t>处置</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危险废物收集后委托有资质单位处理</w:t>
            </w:r>
            <w:r>
              <w:rPr>
                <w:rFonts w:hint="default" w:ascii="Times New Roman" w:hAnsi="Times New Roman" w:cs="Times New Roman"/>
                <w:color w:val="auto"/>
                <w:sz w:val="24"/>
                <w:szCs w:val="24"/>
                <w:highlight w:val="none"/>
                <w:lang w:eastAsia="zh-CN"/>
              </w:rPr>
              <w:t>；</w:t>
            </w:r>
            <w:r>
              <w:rPr>
                <w:rFonts w:hint="default" w:ascii="Times New Roman" w:hAnsi="Times New Roman" w:cs="Times New Roman"/>
                <w:color w:val="auto"/>
                <w:sz w:val="24"/>
                <w:szCs w:val="24"/>
                <w:highlight w:val="none"/>
              </w:rPr>
              <w:t>生活垃圾委托环卫清运。</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2319" w:hRule="atLeast"/>
          <w:jc w:val="center"/>
        </w:trPr>
        <w:tc>
          <w:tcPr>
            <w:tcW w:w="1422"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土壤及地下水污染防治措施</w:t>
            </w:r>
          </w:p>
        </w:tc>
        <w:tc>
          <w:tcPr>
            <w:tcW w:w="7095" w:type="dxa"/>
            <w:gridSpan w:val="5"/>
            <w:vAlign w:val="center"/>
          </w:tcPr>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分区防控。主要包括污染区地面的防渗措施和泄漏、渗漏污染物收集措施，即在污染区地面进行防渗处理，防止洒落地面的污染物渗入地下，从而避免对地下水的污染。根据项目场地天然包气带防污性能、污染控制难易程度和污染物特性对项目进行分区防控，</w:t>
            </w:r>
            <w:r>
              <w:rPr>
                <w:rFonts w:hint="eastAsia" w:cs="Times New Roman"/>
                <w:color w:val="auto"/>
                <w:sz w:val="24"/>
                <w:szCs w:val="24"/>
                <w:highlight w:val="none"/>
                <w:lang w:val="en-US" w:eastAsia="zh-CN"/>
              </w:rPr>
              <w:t>生产车间、危废堆场</w:t>
            </w:r>
            <w:r>
              <w:rPr>
                <w:rFonts w:hint="eastAsia" w:ascii="Times New Roman" w:hAnsi="Times New Roman" w:cs="Times New Roman"/>
                <w:color w:val="auto"/>
                <w:sz w:val="24"/>
                <w:szCs w:val="24"/>
                <w:highlight w:val="none"/>
                <w:lang w:val="en-US" w:eastAsia="zh-CN"/>
              </w:rPr>
              <w:t>为重点防渗区；</w:t>
            </w:r>
            <w:r>
              <w:rPr>
                <w:rFonts w:hint="eastAsia" w:cs="Times New Roman"/>
                <w:color w:val="auto"/>
                <w:sz w:val="24"/>
                <w:szCs w:val="24"/>
                <w:highlight w:val="none"/>
                <w:lang w:val="en-US" w:eastAsia="zh-CN"/>
              </w:rPr>
              <w:t>成品区、原料区、一般固废堆场为</w:t>
            </w:r>
            <w:r>
              <w:rPr>
                <w:rFonts w:hint="eastAsia" w:ascii="Times New Roman" w:hAnsi="Times New Roman" w:cs="Times New Roman"/>
                <w:color w:val="auto"/>
                <w:sz w:val="24"/>
                <w:szCs w:val="24"/>
                <w:highlight w:val="none"/>
                <w:lang w:val="en-US" w:eastAsia="zh-CN"/>
              </w:rPr>
              <w:t>一般防渗区。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43" w:hRule="atLeast"/>
          <w:jc w:val="center"/>
        </w:trPr>
        <w:tc>
          <w:tcPr>
            <w:tcW w:w="1422" w:type="dxa"/>
            <w:vAlign w:val="center"/>
          </w:tcPr>
          <w:p>
            <w:pPr>
              <w:adjustRightInd w:val="0"/>
              <w:snapToGrid w:val="0"/>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生态保护措施</w:t>
            </w:r>
          </w:p>
        </w:tc>
        <w:tc>
          <w:tcPr>
            <w:tcW w:w="7095" w:type="dxa"/>
            <w:gridSpan w:val="5"/>
            <w:vAlign w:val="center"/>
          </w:tcPr>
          <w:p>
            <w:pPr>
              <w:adjustRightInd w:val="0"/>
              <w:snapToGrid w:val="0"/>
              <w:jc w:val="center"/>
              <w:rPr>
                <w:rFonts w:hint="default" w:ascii="Times New Roman" w:hAnsi="Times New Roman" w:cs="Times New Roman"/>
                <w:color w:val="auto"/>
                <w:kern w:val="0"/>
                <w:sz w:val="24"/>
                <w:szCs w:val="24"/>
                <w:highlight w:val="none"/>
              </w:rPr>
            </w:pPr>
            <w:r>
              <w:rPr>
                <w:rFonts w:hint="default" w:ascii="Times New Roman" w:hAnsi="Times New Roman" w:cs="Times New Roman"/>
                <w:color w:val="auto"/>
                <w:kern w:val="0"/>
                <w:sz w:val="24"/>
                <w:szCs w:val="24"/>
                <w:highlight w:val="none"/>
              </w:rPr>
              <w:t>不涉及</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766" w:hRule="atLeast"/>
          <w:jc w:val="center"/>
        </w:trPr>
        <w:tc>
          <w:tcPr>
            <w:tcW w:w="1422" w:type="dxa"/>
            <w:vAlign w:val="center"/>
          </w:tcPr>
          <w:p>
            <w:pPr>
              <w:adjustRightInd w:val="0"/>
              <w:snapToGrid w:val="0"/>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环境风险</w:t>
            </w:r>
          </w:p>
          <w:p>
            <w:pPr>
              <w:adjustRightInd w:val="0"/>
              <w:snapToGrid w:val="0"/>
              <w:jc w:val="center"/>
              <w:rPr>
                <w:rFonts w:hint="default" w:ascii="Times New Roman" w:hAnsi="Times New Roman" w:cs="Times New Roman"/>
                <w:color w:val="auto"/>
                <w:spacing w:val="-8"/>
                <w:sz w:val="24"/>
                <w:szCs w:val="24"/>
                <w:highlight w:val="none"/>
              </w:rPr>
            </w:pPr>
            <w:r>
              <w:rPr>
                <w:rFonts w:hint="default" w:ascii="Times New Roman" w:hAnsi="Times New Roman" w:cs="Times New Roman"/>
                <w:color w:val="auto"/>
                <w:spacing w:val="-8"/>
                <w:sz w:val="24"/>
                <w:szCs w:val="24"/>
                <w:highlight w:val="none"/>
              </w:rPr>
              <w:t>防范措施</w:t>
            </w:r>
          </w:p>
        </w:tc>
        <w:tc>
          <w:tcPr>
            <w:tcW w:w="7095" w:type="dxa"/>
            <w:gridSpan w:val="5"/>
            <w:vAlign w:val="center"/>
          </w:tcPr>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1、建立健全各种有关消防与安全生产的规章制度，建立岗位责任制。仓库、生产车间严禁明火。生产车间、仓库等场所配置足量的泡沫、干粉等灭火器，并保持完好状态。</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2、厂区留有足够的消防通道。生产车间、仓库设置消防给水管道和消防栓。</w:t>
            </w:r>
            <w:r>
              <w:rPr>
                <w:rFonts w:hint="eastAsia" w:ascii="Times New Roman" w:hAnsi="Times New Roman" w:cs="Times New Roman"/>
                <w:color w:val="auto"/>
                <w:sz w:val="24"/>
                <w:szCs w:val="24"/>
                <w:highlight w:val="none"/>
                <w:lang w:val="en-US" w:eastAsia="zh-CN"/>
              </w:rPr>
              <w:t>厂区</w:t>
            </w:r>
            <w:r>
              <w:rPr>
                <w:rFonts w:hint="default" w:ascii="Times New Roman" w:hAnsi="Times New Roman" w:cs="Times New Roman"/>
                <w:color w:val="auto"/>
                <w:sz w:val="24"/>
                <w:szCs w:val="24"/>
                <w:highlight w:val="none"/>
              </w:rPr>
              <w:t>要组织义务消防员，并进行定期的培训和训练。对有火灾危险的场所设置自动报警系统，一旦发生火灾，立即做出应急反应。</w:t>
            </w:r>
          </w:p>
          <w:p>
            <w:pPr>
              <w:adjustRightInd w:val="0"/>
              <w:snapToGrid w:val="0"/>
              <w:spacing w:line="360" w:lineRule="auto"/>
              <w:ind w:firstLine="480" w:firstLineChars="200"/>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3、对于</w:t>
            </w:r>
            <w:r>
              <w:rPr>
                <w:rFonts w:hint="eastAsia" w:cs="Times New Roman"/>
                <w:color w:val="auto"/>
                <w:sz w:val="24"/>
                <w:szCs w:val="24"/>
                <w:highlight w:val="none"/>
                <w:lang w:eastAsia="zh-CN"/>
              </w:rPr>
              <w:t>危废堆场</w:t>
            </w:r>
            <w:r>
              <w:rPr>
                <w:rFonts w:hint="default" w:ascii="Times New Roman" w:hAnsi="Times New Roman" w:cs="Times New Roman"/>
                <w:color w:val="auto"/>
                <w:sz w:val="24"/>
                <w:szCs w:val="24"/>
                <w:highlight w:val="none"/>
              </w:rPr>
              <w:t>，建设单位拟设置监控系统，主要在仓库出入口、仓库内、厂门口等关键位置安装视频监控设施，进行实时监控，并与中控室联网。贮存过程拟在液态危险废物贮存容器下方设置不锈钢托盘，或在危废暂存场所设置地沟等，发生少量泄漏立即将容器内剩余溶液转移，并收集托盘、地沟内泄漏液体，防止泄漏物料挥发到大气中。</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002" w:hRule="atLeast"/>
          <w:jc w:val="center"/>
        </w:trPr>
        <w:tc>
          <w:tcPr>
            <w:tcW w:w="1422" w:type="dxa"/>
            <w:vAlign w:val="center"/>
          </w:tcPr>
          <w:p>
            <w:pPr>
              <w:adjustRightInd w:val="0"/>
              <w:snapToGrid w:val="0"/>
              <w:jc w:val="center"/>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pacing w:val="-8"/>
                <w:sz w:val="24"/>
                <w:szCs w:val="24"/>
                <w:highlight w:val="none"/>
              </w:rPr>
              <w:t>其他环境</w:t>
            </w:r>
          </w:p>
          <w:p>
            <w:pPr>
              <w:adjustRightInd w:val="0"/>
              <w:snapToGrid w:val="0"/>
              <w:jc w:val="center"/>
              <w:rPr>
                <w:rFonts w:hint="default" w:ascii="Times New Roman" w:hAnsi="Times New Roman" w:eastAsia="宋体" w:cs="Times New Roman"/>
                <w:color w:val="auto"/>
                <w:spacing w:val="-8"/>
                <w:sz w:val="24"/>
                <w:szCs w:val="24"/>
                <w:highlight w:val="none"/>
              </w:rPr>
            </w:pPr>
            <w:r>
              <w:rPr>
                <w:rFonts w:hint="default" w:ascii="Times New Roman" w:hAnsi="Times New Roman" w:eastAsia="宋体" w:cs="Times New Roman"/>
                <w:color w:val="auto"/>
                <w:spacing w:val="-8"/>
                <w:sz w:val="24"/>
                <w:szCs w:val="24"/>
                <w:highlight w:val="none"/>
              </w:rPr>
              <w:t>管理要求</w:t>
            </w:r>
          </w:p>
        </w:tc>
        <w:tc>
          <w:tcPr>
            <w:tcW w:w="7095" w:type="dxa"/>
            <w:gridSpan w:val="5"/>
            <w:vAlign w:val="center"/>
          </w:tcPr>
          <w:p>
            <w:pPr>
              <w:adjustRightInd w:val="0"/>
              <w:snapToGrid w:val="0"/>
              <w:jc w:val="center"/>
              <w:rPr>
                <w:rFonts w:hint="default" w:ascii="Times New Roman" w:hAnsi="Times New Roman" w:eastAsia="宋体" w:cs="Times New Roman"/>
                <w:color w:val="auto"/>
                <w:spacing w:val="-8"/>
                <w:sz w:val="24"/>
                <w:szCs w:val="24"/>
                <w:highlight w:val="none"/>
                <w:lang w:val="en-US" w:eastAsia="zh-CN"/>
              </w:rPr>
            </w:pPr>
            <w:r>
              <w:rPr>
                <w:rFonts w:hint="default" w:ascii="Times New Roman" w:hAnsi="Times New Roman" w:eastAsia="宋体" w:cs="Times New Roman"/>
                <w:color w:val="auto"/>
                <w:spacing w:val="-8"/>
                <w:sz w:val="24"/>
                <w:szCs w:val="24"/>
                <w:highlight w:val="none"/>
                <w:lang w:val="en-US" w:eastAsia="zh-CN"/>
              </w:rPr>
              <w:t>无</w:t>
            </w:r>
          </w:p>
        </w:tc>
      </w:tr>
    </w:tbl>
    <w:p>
      <w:pPr>
        <w:rPr>
          <w:rFonts w:hint="default" w:ascii="Times New Roman" w:hAnsi="Times New Roman" w:cs="Times New Roman"/>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pStyle w:val="22"/>
        <w:jc w:val="center"/>
        <w:outlineLvl w:val="0"/>
        <w:rPr>
          <w:rFonts w:hint="default" w:ascii="Times New Roman" w:hAnsi="Times New Roman" w:cs="Times New Roman"/>
          <w:b/>
          <w:snapToGrid w:val="0"/>
          <w:color w:val="auto"/>
          <w:sz w:val="30"/>
          <w:szCs w:val="30"/>
          <w:highlight w:val="none"/>
        </w:rPr>
      </w:pPr>
      <w:r>
        <w:rPr>
          <w:rFonts w:hint="default" w:ascii="Times New Roman" w:hAnsi="Times New Roman" w:cs="Times New Roman"/>
          <w:b/>
          <w:snapToGrid w:val="0"/>
          <w:color w:val="auto"/>
          <w:sz w:val="30"/>
          <w:szCs w:val="30"/>
          <w:highlight w:val="none"/>
        </w:rPr>
        <w:t>六、结论</w:t>
      </w:r>
    </w:p>
    <w:tbl>
      <w:tblPr>
        <w:tblStyle w:val="25"/>
        <w:tblW w:w="8522"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11991" w:hRule="atLeast"/>
          <w:jc w:val="center"/>
        </w:trPr>
        <w:tc>
          <w:tcPr>
            <w:tcW w:w="8522" w:type="dxa"/>
          </w:tcPr>
          <w:p>
            <w:pPr>
              <w:autoSpaceDE w:val="0"/>
              <w:autoSpaceDN w:val="0"/>
              <w:adjustRightInd w:val="0"/>
              <w:snapToGrid w:val="0"/>
              <w:spacing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本项目符合国家及地方相关产业政策，选址符合当地总体规划。项目采取的各项污染防治措施合理、有效。废气、噪声及固废均可实现达标排放和安全处置，对周边环境影响较小。项目环保投资可基本满足污染控制需要，如能严格落实本报告提出的各项环保措施，并持之以恒加以管理，可控制环境污染，确保当地的环境质量不会因本项目的运营而下降。</w:t>
            </w:r>
          </w:p>
          <w:p>
            <w:pPr>
              <w:autoSpaceDE w:val="0"/>
              <w:autoSpaceDN w:val="0"/>
              <w:adjustRightInd w:val="0"/>
              <w:snapToGrid w:val="0"/>
              <w:spacing w:line="360" w:lineRule="auto"/>
              <w:ind w:firstLine="482"/>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因此，本报告认为，从环保角度来看，该项目环境影响是可行的。</w:t>
            </w:r>
          </w:p>
          <w:p>
            <w:pPr>
              <w:adjustRightInd w:val="0"/>
              <w:snapToGrid w:val="0"/>
              <w:jc w:val="left"/>
              <w:rPr>
                <w:rFonts w:hint="default" w:ascii="Times New Roman" w:hAnsi="Times New Roman" w:cs="Times New Roman"/>
                <w:color w:val="auto"/>
                <w:kern w:val="0"/>
                <w:szCs w:val="21"/>
                <w:highlight w:val="none"/>
              </w:rPr>
            </w:pPr>
          </w:p>
          <w:p>
            <w:pPr>
              <w:adjustRightInd w:val="0"/>
              <w:snapToGrid w:val="0"/>
              <w:jc w:val="left"/>
              <w:rPr>
                <w:rFonts w:hint="default" w:ascii="Times New Roman" w:hAnsi="Times New Roman" w:cs="Times New Roman"/>
                <w:color w:val="auto"/>
                <w:kern w:val="0"/>
                <w:szCs w:val="21"/>
                <w:highlight w:val="none"/>
              </w:rPr>
            </w:pPr>
          </w:p>
          <w:p>
            <w:pPr>
              <w:adjustRightInd w:val="0"/>
              <w:snapToGrid w:val="0"/>
              <w:jc w:val="left"/>
              <w:rPr>
                <w:rFonts w:hint="default" w:ascii="Times New Roman" w:hAnsi="Times New Roman" w:cs="Times New Roman"/>
                <w:color w:val="auto"/>
                <w:kern w:val="0"/>
                <w:szCs w:val="21"/>
                <w:highlight w:val="none"/>
              </w:rPr>
            </w:pPr>
          </w:p>
          <w:p>
            <w:pPr>
              <w:adjustRightInd w:val="0"/>
              <w:snapToGrid w:val="0"/>
              <w:jc w:val="left"/>
              <w:rPr>
                <w:rFonts w:hint="default" w:ascii="Times New Roman" w:hAnsi="Times New Roman" w:cs="Times New Roman"/>
                <w:color w:val="auto"/>
                <w:kern w:val="0"/>
                <w:szCs w:val="21"/>
                <w:highlight w:val="none"/>
              </w:rPr>
            </w:pPr>
          </w:p>
        </w:tc>
      </w:tr>
    </w:tbl>
    <w:p>
      <w:pPr>
        <w:rPr>
          <w:rFonts w:hint="default" w:ascii="Times New Roman" w:hAnsi="Times New Roman" w:cs="Times New Roman"/>
          <w:color w:val="auto"/>
          <w:highlight w:val="none"/>
        </w:rPr>
        <w:sectPr>
          <w:pgSz w:w="11906" w:h="16838"/>
          <w:pgMar w:top="1440" w:right="1800" w:bottom="1440" w:left="1800" w:header="851" w:footer="851" w:gutter="0"/>
          <w:pgBorders>
            <w:top w:val="none" w:sz="0" w:space="0"/>
            <w:left w:val="none" w:sz="0" w:space="0"/>
            <w:bottom w:val="none" w:sz="0" w:space="0"/>
            <w:right w:val="none" w:sz="0" w:space="0"/>
          </w:pgBorders>
          <w:pgNumType w:fmt="decimal"/>
          <w:cols w:space="720" w:num="1"/>
          <w:docGrid w:linePitch="312" w:charSpace="0"/>
        </w:sectPr>
      </w:pPr>
    </w:p>
    <w:p>
      <w:pPr>
        <w:pStyle w:val="22"/>
        <w:adjustRightInd w:val="0"/>
        <w:snapToGrid w:val="0"/>
        <w:spacing w:before="0" w:beforeAutospacing="0" w:after="0" w:afterAutospacing="0" w:line="648" w:lineRule="auto"/>
        <w:outlineLvl w:val="0"/>
        <w:rPr>
          <w:rFonts w:hint="default" w:ascii="Times New Roman" w:hAnsi="Times New Roman" w:cs="Times New Roman"/>
          <w:b/>
          <w:snapToGrid w:val="0"/>
          <w:color w:val="auto"/>
          <w:sz w:val="32"/>
          <w:szCs w:val="32"/>
          <w:highlight w:val="none"/>
        </w:rPr>
      </w:pPr>
      <w:r>
        <w:rPr>
          <w:rFonts w:hint="default" w:ascii="Times New Roman" w:hAnsi="Times New Roman" w:cs="Times New Roman"/>
          <w:b/>
          <w:snapToGrid w:val="0"/>
          <w:color w:val="auto"/>
          <w:sz w:val="32"/>
          <w:szCs w:val="32"/>
          <w:highlight w:val="none"/>
        </w:rPr>
        <w:t>附表</w:t>
      </w:r>
    </w:p>
    <w:p>
      <w:pPr>
        <w:pStyle w:val="22"/>
        <w:adjustRightInd w:val="0"/>
        <w:snapToGrid w:val="0"/>
        <w:spacing w:before="0" w:beforeAutospacing="0" w:after="0" w:afterAutospacing="0" w:line="360" w:lineRule="auto"/>
        <w:jc w:val="center"/>
        <w:outlineLvl w:val="0"/>
        <w:rPr>
          <w:rFonts w:hint="default" w:ascii="Times New Roman" w:hAnsi="Times New Roman" w:cs="Times New Roman"/>
          <w:b/>
          <w:snapToGrid w:val="0"/>
          <w:color w:val="auto"/>
          <w:sz w:val="38"/>
          <w:szCs w:val="38"/>
          <w:highlight w:val="none"/>
        </w:rPr>
      </w:pPr>
      <w:r>
        <w:rPr>
          <w:rFonts w:hint="default" w:ascii="Times New Roman" w:hAnsi="Times New Roman" w:cs="Times New Roman"/>
          <w:b/>
          <w:snapToGrid w:val="0"/>
          <w:color w:val="auto"/>
          <w:sz w:val="38"/>
          <w:szCs w:val="38"/>
          <w:highlight w:val="none"/>
        </w:rPr>
        <w:t>建设项目污染物排放量汇总表</w:t>
      </w:r>
    </w:p>
    <w:tbl>
      <w:tblPr>
        <w:tblStyle w:val="25"/>
        <w:tblW w:w="13975" w:type="dxa"/>
        <w:jc w:val="center"/>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702"/>
        <w:gridCol w:w="779"/>
        <w:gridCol w:w="1915"/>
        <w:gridCol w:w="1374"/>
        <w:gridCol w:w="1363"/>
        <w:gridCol w:w="1655"/>
        <w:gridCol w:w="1580"/>
        <w:gridCol w:w="1785"/>
        <w:gridCol w:w="1783"/>
        <w:gridCol w:w="1039"/>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808" w:hRule="atLeast"/>
          <w:jc w:val="center"/>
        </w:trPr>
        <w:tc>
          <w:tcPr>
            <w:tcW w:w="1481" w:type="dxa"/>
            <w:gridSpan w:val="2"/>
            <w:tcBorders>
              <w:tl2br w:val="single" w:color="auto" w:sz="4" w:space="0"/>
            </w:tcBorders>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项目</w:t>
            </w:r>
          </w:p>
          <w:p>
            <w:pPr>
              <w:pStyle w:val="58"/>
              <w:spacing w:beforeLines="0" w:afterLines="0" w:line="240" w:lineRule="auto"/>
              <w:ind w:firstLine="198" w:firstLineChars="100"/>
              <w:jc w:val="both"/>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分类</w:t>
            </w:r>
          </w:p>
        </w:tc>
        <w:tc>
          <w:tcPr>
            <w:tcW w:w="1915"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污染物名称</w:t>
            </w:r>
          </w:p>
        </w:tc>
        <w:tc>
          <w:tcPr>
            <w:tcW w:w="1374"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p>
        </w:tc>
        <w:tc>
          <w:tcPr>
            <w:tcW w:w="1363"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现有工程</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许可排放量</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2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snapToGrid w:val="0"/>
                <w:color w:val="auto"/>
                <w:spacing w:val="-6"/>
                <w:kern w:val="21"/>
                <w:szCs w:val="21"/>
                <w:highlight w:val="none"/>
              </w:rPr>
              <w:t>②</w:t>
            </w:r>
            <w:r>
              <w:rPr>
                <w:rFonts w:hint="default" w:ascii="Times New Roman" w:hAnsi="Times New Roman" w:cs="Times New Roman"/>
                <w:snapToGrid w:val="0"/>
                <w:color w:val="auto"/>
                <w:spacing w:val="-6"/>
                <w:kern w:val="21"/>
                <w:szCs w:val="21"/>
                <w:highlight w:val="none"/>
              </w:rPr>
              <w:fldChar w:fldCharType="end"/>
            </w:r>
          </w:p>
        </w:tc>
        <w:tc>
          <w:tcPr>
            <w:tcW w:w="1655"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在建工程</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③</w:t>
            </w:r>
            <w:r>
              <w:rPr>
                <w:rFonts w:hint="default" w:ascii="Times New Roman" w:hAnsi="Times New Roman" w:cs="Times New Roman"/>
                <w:snapToGrid w:val="0"/>
                <w:color w:val="auto"/>
                <w:spacing w:val="-6"/>
                <w:kern w:val="21"/>
                <w:szCs w:val="21"/>
                <w:highlight w:val="none"/>
              </w:rPr>
              <w:fldChar w:fldCharType="end"/>
            </w:r>
          </w:p>
        </w:tc>
        <w:tc>
          <w:tcPr>
            <w:tcW w:w="1580"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本项目</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排放量（固体废物产生量）</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④</w:t>
            </w:r>
            <w:r>
              <w:rPr>
                <w:rFonts w:hint="default" w:ascii="Times New Roman" w:hAnsi="Times New Roman" w:cs="Times New Roman"/>
                <w:snapToGrid w:val="0"/>
                <w:color w:val="auto"/>
                <w:spacing w:val="-6"/>
                <w:kern w:val="21"/>
                <w:szCs w:val="21"/>
                <w:highlight w:val="none"/>
              </w:rPr>
              <w:fldChar w:fldCharType="end"/>
            </w:r>
          </w:p>
        </w:tc>
        <w:tc>
          <w:tcPr>
            <w:tcW w:w="1785"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以新带老削减量</w:t>
            </w:r>
          </w:p>
          <w:p>
            <w:pPr>
              <w:pStyle w:val="58"/>
              <w:spacing w:beforeLines="0" w:afterLines="0" w:line="240" w:lineRule="auto"/>
              <w:jc w:val="center"/>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（新建项目不填）</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⑤</w:t>
            </w:r>
            <w:r>
              <w:rPr>
                <w:rFonts w:hint="default" w:ascii="Times New Roman" w:hAnsi="Times New Roman" w:cs="Times New Roman"/>
                <w:snapToGrid w:val="0"/>
                <w:color w:val="auto"/>
                <w:spacing w:val="-16"/>
                <w:kern w:val="21"/>
                <w:szCs w:val="21"/>
                <w:highlight w:val="none"/>
              </w:rPr>
              <w:fldChar w:fldCharType="end"/>
            </w:r>
          </w:p>
        </w:tc>
        <w:tc>
          <w:tcPr>
            <w:tcW w:w="1783"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本项目建成后</w:t>
            </w:r>
          </w:p>
          <w:p>
            <w:pPr>
              <w:pStyle w:val="58"/>
              <w:spacing w:beforeLines="0" w:afterLines="0" w:line="240" w:lineRule="auto"/>
              <w:jc w:val="center"/>
              <w:rPr>
                <w:rFonts w:hint="default" w:ascii="Times New Roman" w:hAnsi="Times New Roman" w:cs="Times New Roman"/>
                <w:snapToGrid w:val="0"/>
                <w:color w:val="auto"/>
                <w:spacing w:val="-16"/>
                <w:kern w:val="21"/>
                <w:szCs w:val="21"/>
                <w:highlight w:val="none"/>
              </w:rPr>
            </w:pPr>
            <w:r>
              <w:rPr>
                <w:rFonts w:hint="default" w:ascii="Times New Roman" w:hAnsi="Times New Roman" w:cs="Times New Roman"/>
                <w:snapToGrid w:val="0"/>
                <w:color w:val="auto"/>
                <w:spacing w:val="-16"/>
                <w:kern w:val="21"/>
                <w:szCs w:val="21"/>
                <w:highlight w:val="none"/>
              </w:rPr>
              <w:t>全厂排放量（固体废物产生量）</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p>
        </w:tc>
        <w:tc>
          <w:tcPr>
            <w:tcW w:w="1039" w:type="dxa"/>
            <w:tcMar>
              <w:left w:w="28" w:type="dxa"/>
              <w:right w:w="28" w:type="dxa"/>
            </w:tcMar>
            <w:vAlign w:val="center"/>
          </w:tcPr>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t>变化量</w:t>
            </w:r>
          </w:p>
          <w:p>
            <w:pPr>
              <w:pStyle w:val="58"/>
              <w:spacing w:beforeLines="0" w:afterLines="0" w:line="240" w:lineRule="auto"/>
              <w:jc w:val="center"/>
              <w:rPr>
                <w:rFonts w:hint="default" w:ascii="Times New Roman" w:hAnsi="Times New Roman" w:cs="Times New Roman"/>
                <w:snapToGrid w:val="0"/>
                <w:color w:val="auto"/>
                <w:spacing w:val="-6"/>
                <w:kern w:val="21"/>
                <w:szCs w:val="21"/>
                <w:highlight w:val="none"/>
              </w:rPr>
            </w:pP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⑦</w:t>
            </w:r>
            <w:r>
              <w:rPr>
                <w:rFonts w:hint="default" w:ascii="Times New Roman" w:hAnsi="Times New Roman" w:cs="Times New Roman"/>
                <w:snapToGrid w:val="0"/>
                <w:color w:val="auto"/>
                <w:spacing w:val="-6"/>
                <w:kern w:val="21"/>
                <w:szCs w:val="21"/>
                <w:highlight w:val="none"/>
              </w:rPr>
              <w:fldChar w:fldCharType="end"/>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612" w:hRule="atLeast"/>
          <w:jc w:val="center"/>
        </w:trPr>
        <w:tc>
          <w:tcPr>
            <w:tcW w:w="702" w:type="dxa"/>
            <w:vMerge w:val="restart"/>
            <w:vAlign w:val="center"/>
          </w:tcPr>
          <w:p>
            <w:pPr>
              <w:pStyle w:val="58"/>
              <w:spacing w:beforeLines="0" w:afterLines="0" w:line="240" w:lineRule="auto"/>
              <w:jc w:val="center"/>
              <w:rPr>
                <w:rFonts w:hint="default" w:ascii="Times New Roman" w:hAnsi="Times New Roman" w:eastAsia="宋体"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废气</w:t>
            </w:r>
          </w:p>
        </w:tc>
        <w:tc>
          <w:tcPr>
            <w:tcW w:w="779" w:type="dxa"/>
            <w:vMerge w:val="restart"/>
            <w:vAlign w:val="center"/>
          </w:tcPr>
          <w:p>
            <w:pPr>
              <w:adjustRightInd w:val="0"/>
              <w:snapToGrid w:val="0"/>
              <w:jc w:val="center"/>
              <w:rPr>
                <w:rFonts w:hint="default" w:ascii="Times New Roman" w:hAnsi="Times New Roman" w:eastAsia="宋体" w:cs="Times New Roman"/>
                <w:snapToGrid w:val="0"/>
                <w:color w:val="auto"/>
                <w:kern w:val="21"/>
                <w:szCs w:val="21"/>
                <w:highlight w:val="none"/>
              </w:rPr>
            </w:pPr>
            <w:r>
              <w:rPr>
                <w:rFonts w:hint="default" w:ascii="Times New Roman" w:hAnsi="Times New Roman" w:cs="Times New Roman"/>
                <w:color w:val="auto"/>
                <w:sz w:val="21"/>
                <w:szCs w:val="21"/>
                <w:highlight w:val="none"/>
              </w:rPr>
              <w:t>有组织</w:t>
            </w: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1374" w:type="dxa"/>
            <w:vAlign w:val="center"/>
          </w:tcPr>
          <w:p>
            <w:pPr>
              <w:pStyle w:val="58"/>
              <w:spacing w:beforeLines="0" w:afterLines="0" w:line="240" w:lineRule="auto"/>
              <w:jc w:val="center"/>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0.02604</w:t>
            </w:r>
          </w:p>
        </w:tc>
        <w:tc>
          <w:tcPr>
            <w:tcW w:w="1363" w:type="dxa"/>
            <w:vAlign w:val="center"/>
          </w:tcPr>
          <w:p>
            <w:pPr>
              <w:pStyle w:val="58"/>
              <w:spacing w:beforeLines="0" w:afterLines="0" w:line="240" w:lineRule="auto"/>
              <w:jc w:val="center"/>
              <w:rPr>
                <w:rFonts w:hint="default" w:ascii="Times New Roman" w:hAnsi="Times New Roman" w:cs="Times New Roman"/>
                <w:b w:val="0"/>
                <w:bCs w:val="0"/>
                <w:snapToGrid w:val="0"/>
                <w:color w:val="auto"/>
                <w:kern w:val="21"/>
                <w:sz w:val="21"/>
                <w:szCs w:val="21"/>
                <w:highlight w:val="none"/>
              </w:rPr>
            </w:pPr>
            <w:r>
              <w:rPr>
                <w:rFonts w:hint="eastAsia" w:ascii="Times New Roman" w:hAnsi="Times New Roman" w:eastAsia="宋体" w:cs="Times New Roman"/>
                <w:snapToGrid w:val="0"/>
                <w:color w:val="auto"/>
                <w:kern w:val="21"/>
                <w:szCs w:val="21"/>
                <w:highlight w:val="none"/>
                <w:lang w:val="en-US" w:eastAsia="zh-CN"/>
              </w:rPr>
              <w:t>0.02604</w:t>
            </w:r>
          </w:p>
        </w:tc>
        <w:tc>
          <w:tcPr>
            <w:tcW w:w="1655" w:type="dxa"/>
            <w:vAlign w:val="center"/>
          </w:tcPr>
          <w:p>
            <w:pPr>
              <w:pStyle w:val="58"/>
              <w:spacing w:beforeLines="0" w:afterLines="0" w:line="240" w:lineRule="auto"/>
              <w:jc w:val="center"/>
              <w:rPr>
                <w:rFonts w:hint="eastAsia"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1580"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0.135</w:t>
            </w:r>
          </w:p>
        </w:tc>
        <w:tc>
          <w:tcPr>
            <w:tcW w:w="1785" w:type="dxa"/>
            <w:vAlign w:val="center"/>
          </w:tcPr>
          <w:p>
            <w:pPr>
              <w:pStyle w:val="58"/>
              <w:spacing w:beforeLines="0" w:afterLines="0" w:line="240" w:lineRule="auto"/>
              <w:jc w:val="center"/>
              <w:rPr>
                <w:rFonts w:hint="eastAsia"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0.02604</w:t>
            </w:r>
          </w:p>
        </w:tc>
        <w:tc>
          <w:tcPr>
            <w:tcW w:w="1783"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0.135</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+0.10896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702"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779"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0.00424</w:t>
            </w:r>
          </w:p>
        </w:tc>
        <w:tc>
          <w:tcPr>
            <w:tcW w:w="1363" w:type="dxa"/>
            <w:vAlign w:val="center"/>
          </w:tcPr>
          <w:p>
            <w:pPr>
              <w:pStyle w:val="58"/>
              <w:spacing w:beforeLines="0" w:afterLines="0" w:line="240" w:lineRule="auto"/>
              <w:jc w:val="center"/>
              <w:rPr>
                <w:rFonts w:hint="default" w:ascii="Times New Roman" w:hAnsi="Times New Roman" w:cs="Times New Roman"/>
                <w:b w:val="0"/>
                <w:bCs w:val="0"/>
                <w:snapToGrid w:val="0"/>
                <w:color w:val="auto"/>
                <w:kern w:val="21"/>
                <w:sz w:val="21"/>
                <w:szCs w:val="21"/>
                <w:highlight w:val="none"/>
              </w:rPr>
            </w:pPr>
            <w:r>
              <w:rPr>
                <w:rFonts w:hint="eastAsia" w:ascii="Times New Roman" w:hAnsi="Times New Roman" w:cs="Times New Roman"/>
                <w:snapToGrid w:val="0"/>
                <w:color w:val="auto"/>
                <w:kern w:val="21"/>
                <w:szCs w:val="21"/>
                <w:highlight w:val="none"/>
                <w:lang w:val="en-US" w:eastAsia="zh-CN"/>
              </w:rPr>
              <w:t>0.00424</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 xml:space="preserve">0.0957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0.00424</w:t>
            </w:r>
          </w:p>
        </w:tc>
        <w:tc>
          <w:tcPr>
            <w:tcW w:w="1783" w:type="dxa"/>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 xml:space="preserve">0.0957 </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+0.09146</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12" w:hRule="atLeast"/>
          <w:jc w:val="center"/>
        </w:trPr>
        <w:tc>
          <w:tcPr>
            <w:tcW w:w="702"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779"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cs="Times New Roman"/>
                <w:color w:val="auto"/>
                <w:kern w:val="0"/>
                <w:szCs w:val="21"/>
                <w:highlight w:val="none"/>
                <w:lang w:val="en-US" w:eastAsia="zh-CN"/>
              </w:rPr>
            </w:pPr>
            <w:r>
              <w:rPr>
                <w:rFonts w:hint="eastAsia" w:cs="Times New Roman"/>
                <w:color w:val="auto"/>
                <w:kern w:val="0"/>
                <w:szCs w:val="21"/>
                <w:highlight w:val="none"/>
                <w:lang w:val="en-US" w:eastAsia="zh-CN"/>
              </w:rPr>
              <w:t>MDI</w:t>
            </w:r>
          </w:p>
        </w:tc>
        <w:tc>
          <w:tcPr>
            <w:tcW w:w="1374"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63"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655"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580"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c>
          <w:tcPr>
            <w:tcW w:w="1785"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83" w:type="dxa"/>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c>
          <w:tcPr>
            <w:tcW w:w="1039" w:type="dxa"/>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702"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779" w:type="dxa"/>
            <w:vMerge w:val="restart"/>
            <w:vAlign w:val="center"/>
          </w:tcPr>
          <w:p>
            <w:pPr>
              <w:adjustRightInd w:val="0"/>
              <w:snapToGrid w:val="0"/>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color w:val="auto"/>
                <w:sz w:val="21"/>
                <w:szCs w:val="21"/>
                <w:highlight w:val="none"/>
              </w:rPr>
              <w:t>无组织</w:t>
            </w: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颗粒物</w:t>
            </w:r>
          </w:p>
        </w:tc>
        <w:tc>
          <w:tcPr>
            <w:tcW w:w="1374" w:type="dxa"/>
            <w:vAlign w:val="center"/>
          </w:tcPr>
          <w:p>
            <w:pPr>
              <w:pStyle w:val="58"/>
              <w:spacing w:beforeLines="0" w:afterLines="0" w:line="240" w:lineRule="auto"/>
              <w:jc w:val="center"/>
              <w:rPr>
                <w:rFonts w:hint="default"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0.24</w:t>
            </w:r>
          </w:p>
        </w:tc>
        <w:tc>
          <w:tcPr>
            <w:tcW w:w="1363" w:type="dxa"/>
            <w:vAlign w:val="center"/>
          </w:tcPr>
          <w:p>
            <w:pPr>
              <w:pStyle w:val="58"/>
              <w:spacing w:beforeLines="0" w:afterLines="0" w:line="240" w:lineRule="auto"/>
              <w:jc w:val="center"/>
              <w:rPr>
                <w:rFonts w:hint="default" w:ascii="Times New Roman" w:hAnsi="Times New Roman" w:eastAsia="宋体" w:cs="Times New Roman"/>
                <w:snapToGrid w:val="0"/>
                <w:color w:val="auto"/>
                <w:kern w:val="21"/>
                <w:szCs w:val="21"/>
                <w:highlight w:val="none"/>
              </w:rPr>
            </w:pPr>
            <w:r>
              <w:rPr>
                <w:rFonts w:hint="eastAsia" w:ascii="Times New Roman" w:hAnsi="Times New Roman" w:eastAsia="宋体" w:cs="Times New Roman"/>
                <w:snapToGrid w:val="0"/>
                <w:color w:val="auto"/>
                <w:kern w:val="21"/>
                <w:szCs w:val="21"/>
                <w:highlight w:val="none"/>
                <w:lang w:val="en-US" w:eastAsia="zh-CN"/>
              </w:rPr>
              <w:t>0.24</w:t>
            </w:r>
          </w:p>
        </w:tc>
        <w:tc>
          <w:tcPr>
            <w:tcW w:w="1655" w:type="dxa"/>
            <w:vAlign w:val="center"/>
          </w:tcPr>
          <w:p>
            <w:pPr>
              <w:pStyle w:val="58"/>
              <w:spacing w:beforeLines="0" w:afterLines="0" w:line="240" w:lineRule="auto"/>
              <w:jc w:val="center"/>
              <w:rPr>
                <w:rFonts w:hint="eastAsia"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w:t>
            </w:r>
          </w:p>
        </w:tc>
        <w:tc>
          <w:tcPr>
            <w:tcW w:w="1580"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1.5010</w:t>
            </w:r>
          </w:p>
        </w:tc>
        <w:tc>
          <w:tcPr>
            <w:tcW w:w="1785" w:type="dxa"/>
            <w:vAlign w:val="center"/>
          </w:tcPr>
          <w:p>
            <w:pPr>
              <w:pStyle w:val="58"/>
              <w:spacing w:beforeLines="0" w:afterLines="0" w:line="240" w:lineRule="auto"/>
              <w:jc w:val="center"/>
              <w:rPr>
                <w:rFonts w:hint="eastAsia" w:ascii="Times New Roman" w:hAnsi="Times New Roman" w:eastAsia="宋体" w:cs="Times New Roman"/>
                <w:snapToGrid w:val="0"/>
                <w:color w:val="auto"/>
                <w:kern w:val="21"/>
                <w:szCs w:val="21"/>
                <w:highlight w:val="none"/>
                <w:lang w:val="en-US" w:eastAsia="zh-CN"/>
              </w:rPr>
            </w:pPr>
            <w:r>
              <w:rPr>
                <w:rFonts w:hint="eastAsia" w:ascii="Times New Roman" w:hAnsi="Times New Roman" w:eastAsia="宋体" w:cs="Times New Roman"/>
                <w:snapToGrid w:val="0"/>
                <w:color w:val="auto"/>
                <w:kern w:val="21"/>
                <w:szCs w:val="21"/>
                <w:highlight w:val="none"/>
                <w:lang w:val="en-US" w:eastAsia="zh-CN"/>
              </w:rPr>
              <w:t>0.24</w:t>
            </w:r>
          </w:p>
        </w:tc>
        <w:tc>
          <w:tcPr>
            <w:tcW w:w="1783"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1.5010</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+1.2610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33" w:hRule="atLeast"/>
          <w:jc w:val="center"/>
        </w:trPr>
        <w:tc>
          <w:tcPr>
            <w:tcW w:w="702"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779"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eastAsia" w:cs="Times New Roman"/>
                <w:color w:val="auto"/>
                <w:kern w:val="0"/>
                <w:szCs w:val="21"/>
                <w:highlight w:val="none"/>
                <w:lang w:val="en-US" w:eastAsia="zh-CN"/>
              </w:rPr>
              <w:t>非甲烷总烃</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0.011</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0.011</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0.1171</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0.011</w:t>
            </w:r>
          </w:p>
        </w:tc>
        <w:tc>
          <w:tcPr>
            <w:tcW w:w="1783"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0.1171</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+0.1061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702"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779" w:type="dxa"/>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MDI</w:t>
            </w:r>
          </w:p>
        </w:tc>
        <w:tc>
          <w:tcPr>
            <w:tcW w:w="1374"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63"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655"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580" w:type="dxa"/>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c>
          <w:tcPr>
            <w:tcW w:w="1785" w:type="dxa"/>
            <w:vAlign w:val="center"/>
          </w:tcPr>
          <w:p>
            <w:pPr>
              <w:pStyle w:val="58"/>
              <w:spacing w:beforeLines="0" w:afterLines="0" w:line="240" w:lineRule="auto"/>
              <w:jc w:val="center"/>
              <w:rPr>
                <w:rFonts w:hint="eastAsia"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783" w:type="dxa"/>
            <w:vAlign w:val="center"/>
          </w:tcPr>
          <w:p>
            <w:pPr>
              <w:pStyle w:val="58"/>
              <w:spacing w:beforeLines="0" w:afterLines="0" w:line="240" w:lineRule="auto"/>
              <w:jc w:val="center"/>
              <w:rPr>
                <w:rFonts w:hint="eastAsia" w:cs="Times New Roman"/>
                <w:i w:val="0"/>
                <w:iCs w:val="0"/>
                <w:color w:val="auto"/>
                <w:kern w:val="0"/>
                <w:sz w:val="21"/>
                <w:szCs w:val="21"/>
                <w:highlight w:val="none"/>
                <w:u w:val="none"/>
                <w:lang w:val="en-US" w:eastAsia="zh-CN" w:bidi="ar"/>
              </w:rPr>
            </w:pPr>
            <w:r>
              <w:rPr>
                <w:rFonts w:hint="eastAsia" w:ascii="Times New Roman" w:hAnsi="Times New Roman" w:cs="Times New Roman"/>
                <w:snapToGrid w:val="0"/>
                <w:color w:val="auto"/>
                <w:kern w:val="21"/>
                <w:szCs w:val="21"/>
                <w:highlight w:val="none"/>
                <w:lang w:val="en-US" w:eastAsia="zh-CN"/>
              </w:rPr>
              <w:t>0.00005</w:t>
            </w:r>
          </w:p>
        </w:tc>
        <w:tc>
          <w:tcPr>
            <w:tcW w:w="1039" w:type="dxa"/>
            <w:vAlign w:val="center"/>
          </w:tcPr>
          <w:p>
            <w:pPr>
              <w:pStyle w:val="58"/>
              <w:spacing w:beforeLines="0" w:afterLines="0"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+0.00005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restart"/>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废水</w:t>
            </w:r>
          </w:p>
        </w:tc>
        <w:tc>
          <w:tcPr>
            <w:tcW w:w="1915"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 w:val="21"/>
                <w:szCs w:val="21"/>
                <w:highlight w:val="none"/>
              </w:rPr>
              <w:t>废水量</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1374</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1374</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1080</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2454</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+1080</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COD</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0.24512</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0.24512</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0.2754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0.52052</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w:t>
            </w:r>
            <w:r>
              <w:rPr>
                <w:rFonts w:hint="eastAsia"/>
                <w:color w:val="auto"/>
                <w:kern w:val="0"/>
                <w:sz w:val="21"/>
                <w:lang w:val="en-US" w:eastAsia="zh-CN" w:bidi="ar"/>
              </w:rPr>
              <w:t>+</w:t>
            </w:r>
            <w:r>
              <w:rPr>
                <w:rFonts w:hint="default"/>
                <w:color w:val="auto"/>
                <w:kern w:val="0"/>
                <w:sz w:val="21"/>
                <w:lang w:val="en-US" w:eastAsia="zh-CN" w:bidi="ar"/>
              </w:rPr>
              <w:t xml:space="preserve">0.2754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SS</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0.0795</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0.0795</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0.1296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0.2091</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0.1296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氨氮</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0.02785</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0.02785</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0.0352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0.06305</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0.0352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TN</w:t>
            </w:r>
          </w:p>
        </w:tc>
        <w:tc>
          <w:tcPr>
            <w:tcW w:w="1374"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0.0484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0.09649</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0.0484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p>
        </w:tc>
        <w:tc>
          <w:tcPr>
            <w:tcW w:w="1915" w:type="dxa"/>
            <w:vAlign w:val="center"/>
          </w:tcPr>
          <w:p>
            <w:pPr>
              <w:widowControl/>
              <w:jc w:val="center"/>
              <w:rPr>
                <w:rFonts w:hint="default" w:ascii="Times New Roman" w:hAnsi="Times New Roman" w:eastAsia="宋体" w:cs="Times New Roman"/>
                <w:color w:val="auto"/>
                <w:kern w:val="0"/>
                <w:sz w:val="21"/>
                <w:szCs w:val="21"/>
                <w:highlight w:val="none"/>
                <w:lang w:val="en-US" w:eastAsia="zh-CN" w:bidi="ar-SA"/>
              </w:rPr>
            </w:pPr>
            <w:r>
              <w:rPr>
                <w:rFonts w:hint="default" w:ascii="Times New Roman" w:hAnsi="Times New Roman" w:cs="Times New Roman"/>
                <w:color w:val="auto"/>
                <w:kern w:val="0"/>
                <w:sz w:val="21"/>
                <w:szCs w:val="21"/>
                <w:highlight w:val="none"/>
              </w:rPr>
              <w:t>TP</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0.00433</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0.00433</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 xml:space="preserve"> 0.0046 </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default"/>
                <w:color w:val="auto"/>
                <w:kern w:val="0"/>
                <w:sz w:val="21"/>
                <w:lang w:val="en-US" w:eastAsia="zh-CN" w:bidi="ar"/>
              </w:rPr>
              <w:t>0.00893</w:t>
            </w:r>
          </w:p>
        </w:tc>
        <w:tc>
          <w:tcPr>
            <w:tcW w:w="1039" w:type="dxa"/>
            <w:vAlign w:val="center"/>
          </w:tcPr>
          <w:p>
            <w:pPr>
              <w:widowControl/>
              <w:jc w:val="center"/>
              <w:textAlignment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kern w:val="0"/>
                <w:sz w:val="21"/>
                <w:lang w:val="en-US" w:eastAsia="zh-CN" w:bidi="ar"/>
              </w:rPr>
              <w:t>+</w:t>
            </w:r>
            <w:r>
              <w:rPr>
                <w:rFonts w:hint="default"/>
                <w:color w:val="auto"/>
                <w:kern w:val="0"/>
                <w:sz w:val="21"/>
                <w:lang w:val="en-US" w:eastAsia="zh-CN" w:bidi="ar"/>
              </w:rPr>
              <w:t xml:space="preserve"> 0.0046 </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535" w:hRule="atLeast"/>
          <w:jc w:val="center"/>
        </w:trPr>
        <w:tc>
          <w:tcPr>
            <w:tcW w:w="1481" w:type="dxa"/>
            <w:gridSpan w:val="2"/>
            <w:vMerge w:val="restart"/>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default" w:ascii="Times New Roman" w:hAnsi="Times New Roman" w:cs="Times New Roman"/>
                <w:snapToGrid w:val="0"/>
                <w:color w:val="auto"/>
                <w:kern w:val="21"/>
                <w:szCs w:val="21"/>
                <w:highlight w:val="none"/>
              </w:rPr>
              <w:t>危险废物</w:t>
            </w: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废含胶海绵</w:t>
            </w:r>
          </w:p>
        </w:tc>
        <w:tc>
          <w:tcPr>
            <w:tcW w:w="1374"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363"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655"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废料</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漆渣</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废漆桶</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0.9</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0.9</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+0.9</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废活性炭</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0.165</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15.58</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15.58</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+15.415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废机油和机油桶</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废胶桶</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 w:val="21"/>
                <w:szCs w:val="21"/>
                <w:highlight w:val="none"/>
                <w:lang w:val="en-US" w:eastAsia="zh-CN" w:bidi="ar-SA"/>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c>
          <w:tcPr>
            <w:tcW w:w="178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+2.5</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restart"/>
            <w:vAlign w:val="center"/>
          </w:tcPr>
          <w:p>
            <w:pPr>
              <w:adjustRightInd w:val="0"/>
              <w:snapToGrid w:val="0"/>
              <w:jc w:val="center"/>
              <w:rPr>
                <w:rFonts w:hint="eastAsia" w:ascii="Times New Roman" w:hAnsi="Times New Roman" w:eastAsia="宋体" w:cs="Times New Roman"/>
                <w:color w:val="auto"/>
                <w:szCs w:val="21"/>
                <w:highlight w:val="none"/>
                <w:lang w:val="en-US" w:eastAsia="zh-CN"/>
              </w:rPr>
            </w:pPr>
            <w:r>
              <w:rPr>
                <w:rFonts w:hint="eastAsia" w:cs="Times New Roman"/>
                <w:color w:val="auto"/>
                <w:szCs w:val="21"/>
                <w:highlight w:val="none"/>
                <w:lang w:val="en-US" w:eastAsia="zh-CN"/>
              </w:rPr>
              <w:t>一般固废</w:t>
            </w:r>
          </w:p>
        </w:tc>
        <w:tc>
          <w:tcPr>
            <w:tcW w:w="1915" w:type="dxa"/>
            <w:vAlign w:val="center"/>
          </w:tcPr>
          <w:p>
            <w:pPr>
              <w:autoSpaceDE w:val="0"/>
              <w:autoSpaceDN w:val="0"/>
              <w:adjustRightInd w:val="0"/>
              <w:snapToGrid w:val="0"/>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废海绵</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10</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655"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w:t>
            </w:r>
          </w:p>
        </w:tc>
        <w:tc>
          <w:tcPr>
            <w:tcW w:w="1785" w:type="dxa"/>
            <w:vAlign w:val="center"/>
          </w:tcPr>
          <w:p>
            <w:pPr>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24</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Cs w:val="21"/>
                <w:highlight w:val="none"/>
                <w:lang w:val="en-US" w:eastAsia="zh-CN"/>
              </w:rPr>
              <w:t>废PVC板材</w:t>
            </w:r>
          </w:p>
        </w:tc>
        <w:tc>
          <w:tcPr>
            <w:tcW w:w="1374"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363"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c>
          <w:tcPr>
            <w:tcW w:w="1785" w:type="dxa"/>
            <w:vAlign w:val="center"/>
          </w:tcPr>
          <w:p>
            <w:pPr>
              <w:spacing w:beforeLines="0" w:afterLines="0" w:line="240" w:lineRule="auto"/>
              <w:jc w:val="center"/>
              <w:rPr>
                <w:rFonts w:hint="default" w:ascii="Times New Roman" w:hAnsi="Times New Roman" w:cs="Times New Roman"/>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c>
          <w:tcPr>
            <w:tcW w:w="1039"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+0.4</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废边角料</w:t>
            </w:r>
          </w:p>
        </w:tc>
        <w:tc>
          <w:tcPr>
            <w:tcW w:w="1374"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spacing w:val="-12"/>
                <w:kern w:val="21"/>
                <w:sz w:val="21"/>
                <w:szCs w:val="21"/>
                <w:highlight w:val="none"/>
                <w:lang w:val="en-US" w:eastAsia="zh-CN" w:bidi="en-US"/>
              </w:rPr>
            </w:pPr>
            <w:r>
              <w:rPr>
                <w:rFonts w:hint="eastAsia" w:ascii="Times New Roman" w:hAnsi="Times New Roman" w:cs="Times New Roman"/>
                <w:snapToGrid w:val="0"/>
                <w:color w:val="auto"/>
                <w:spacing w:val="-12"/>
                <w:kern w:val="21"/>
                <w:sz w:val="21"/>
                <w:szCs w:val="21"/>
                <w:highlight w:val="none"/>
                <w:lang w:val="en-US" w:eastAsia="zh-CN" w:bidi="en-US"/>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sz w:val="21"/>
                <w:szCs w:val="21"/>
                <w:highlight w:val="none"/>
                <w:lang w:val="en-US" w:eastAsia="zh-CN"/>
              </w:rPr>
              <w:t>2</w:t>
            </w:r>
          </w:p>
        </w:tc>
        <w:tc>
          <w:tcPr>
            <w:tcW w:w="1785" w:type="dxa"/>
            <w:vAlign w:val="center"/>
          </w:tcPr>
          <w:p>
            <w:pPr>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w:t>
            </w:r>
          </w:p>
        </w:tc>
        <w:tc>
          <w:tcPr>
            <w:tcW w:w="1039"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sz w:val="21"/>
                <w:szCs w:val="21"/>
                <w:highlight w:val="none"/>
                <w:lang w:val="en-US" w:eastAsia="zh-CN"/>
              </w:rPr>
              <w:t>+2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混丝废料</w:t>
            </w:r>
          </w:p>
        </w:tc>
        <w:tc>
          <w:tcPr>
            <w:tcW w:w="1374"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spacing w:val="-12"/>
                <w:kern w:val="21"/>
                <w:sz w:val="21"/>
                <w:szCs w:val="21"/>
                <w:highlight w:val="none"/>
                <w:lang w:val="en-US" w:eastAsia="zh-CN" w:bidi="en-US"/>
              </w:rPr>
            </w:pPr>
            <w:r>
              <w:rPr>
                <w:rFonts w:hint="eastAsia" w:ascii="Times New Roman" w:hAnsi="Times New Roman" w:cs="Times New Roman"/>
                <w:snapToGrid w:val="0"/>
                <w:color w:val="auto"/>
                <w:spacing w:val="-12"/>
                <w:kern w:val="21"/>
                <w:sz w:val="21"/>
                <w:szCs w:val="21"/>
                <w:highlight w:val="none"/>
                <w:lang w:val="en-US" w:eastAsia="zh-CN" w:bidi="en-US"/>
              </w:rPr>
              <w:t>0</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Cs w:val="21"/>
                <w:highlight w:val="none"/>
                <w:lang w:val="en-US" w:eastAsia="zh-CN"/>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1</w:t>
            </w:r>
          </w:p>
        </w:tc>
        <w:tc>
          <w:tcPr>
            <w:tcW w:w="1785" w:type="dxa"/>
            <w:vAlign w:val="center"/>
          </w:tcPr>
          <w:p>
            <w:pPr>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c>
          <w:tcPr>
            <w:tcW w:w="1039"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366" w:hRule="atLeast"/>
          <w:jc w:val="center"/>
        </w:trPr>
        <w:tc>
          <w:tcPr>
            <w:tcW w:w="1481" w:type="dxa"/>
            <w:gridSpan w:val="2"/>
            <w:vMerge w:val="continue"/>
            <w:vAlign w:val="center"/>
          </w:tcPr>
          <w:p>
            <w:pPr>
              <w:adjustRightInd w:val="0"/>
              <w:snapToGrid w:val="0"/>
              <w:jc w:val="center"/>
              <w:rPr>
                <w:rFonts w:hint="default" w:ascii="Times New Roman" w:hAnsi="Times New Roman" w:cs="Times New Roman"/>
                <w:color w:val="auto"/>
                <w:szCs w:val="21"/>
                <w:highlight w:val="none"/>
              </w:rPr>
            </w:pPr>
          </w:p>
        </w:tc>
        <w:tc>
          <w:tcPr>
            <w:tcW w:w="1915" w:type="dxa"/>
            <w:vAlign w:val="center"/>
          </w:tcPr>
          <w:p>
            <w:pPr>
              <w:widowControl/>
              <w:jc w:val="center"/>
              <w:rPr>
                <w:rFonts w:hint="default" w:ascii="Times New Roman" w:hAnsi="Times New Roman" w:cs="Times New Roman" w:eastAsiaTheme="minorEastAsia"/>
                <w:color w:val="auto"/>
                <w:kern w:val="2"/>
                <w:sz w:val="21"/>
                <w:szCs w:val="21"/>
                <w:highlight w:val="none"/>
                <w:lang w:val="en-US" w:eastAsia="zh-CN" w:bidi="ar-SA"/>
              </w:rPr>
            </w:pPr>
            <w:r>
              <w:rPr>
                <w:rFonts w:hint="eastAsia" w:cs="Times New Roman" w:eastAsiaTheme="minorEastAsia"/>
                <w:color w:val="auto"/>
                <w:szCs w:val="21"/>
                <w:highlight w:val="none"/>
                <w:lang w:val="en-US" w:eastAsia="zh-CN"/>
              </w:rPr>
              <w:t>除尘灰</w:t>
            </w:r>
          </w:p>
        </w:tc>
        <w:tc>
          <w:tcPr>
            <w:tcW w:w="1374"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zh-CN" w:bidi="en-US"/>
              </w:rPr>
            </w:pPr>
            <w:r>
              <w:rPr>
                <w:rFonts w:hint="eastAsia" w:ascii="Times New Roman" w:hAnsi="Times New Roman" w:cs="Times New Roman"/>
                <w:snapToGrid w:val="0"/>
                <w:color w:val="auto"/>
                <w:spacing w:val="-12"/>
                <w:kern w:val="21"/>
                <w:sz w:val="21"/>
                <w:szCs w:val="21"/>
                <w:highlight w:val="none"/>
                <w:lang w:val="en-US" w:eastAsia="zh-CN" w:bidi="en-US"/>
              </w:rPr>
              <w:t>0.7938</w:t>
            </w:r>
          </w:p>
        </w:tc>
        <w:tc>
          <w:tcPr>
            <w:tcW w:w="1363"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 w:val="21"/>
                <w:szCs w:val="21"/>
                <w:highlight w:val="none"/>
                <w:lang w:val="en-US" w:eastAsia="zh-CN" w:bidi="ar-SA"/>
              </w:rPr>
              <w:t>0</w:t>
            </w:r>
          </w:p>
        </w:tc>
        <w:tc>
          <w:tcPr>
            <w:tcW w:w="1655" w:type="dxa"/>
            <w:vAlign w:val="center"/>
          </w:tcPr>
          <w:p>
            <w:pPr>
              <w:pStyle w:val="58"/>
              <w:spacing w:beforeLines="0" w:afterLines="0" w:line="240" w:lineRule="auto"/>
              <w:jc w:val="center"/>
              <w:rPr>
                <w:rFonts w:hint="default" w:ascii="Times New Roman" w:hAnsi="Times New Roman" w:cs="Times New Roman" w:eastAsiaTheme="minorEastAsia"/>
                <w:snapToGrid w:val="0"/>
                <w:color w:val="auto"/>
                <w:spacing w:val="-12"/>
                <w:kern w:val="21"/>
                <w:sz w:val="21"/>
                <w:szCs w:val="21"/>
                <w:highlight w:val="none"/>
                <w:lang w:val="en-US" w:eastAsia="en-US" w:bidi="en-US"/>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eastAsia="宋体" w:cs="Times New Roman"/>
                <w:color w:val="auto"/>
                <w:sz w:val="21"/>
                <w:szCs w:val="21"/>
                <w:highlight w:val="none"/>
                <w:lang w:val="en-US" w:eastAsia="zh-CN"/>
              </w:rPr>
            </w:pPr>
            <w:r>
              <w:rPr>
                <w:rFonts w:hint="eastAsia" w:cs="Times New Roman"/>
                <w:color w:val="auto"/>
                <w:kern w:val="2"/>
                <w:sz w:val="21"/>
                <w:szCs w:val="21"/>
                <w:highlight w:val="none"/>
                <w:lang w:val="en-US" w:eastAsia="zh-CN" w:bidi="ar-SA"/>
              </w:rPr>
              <w:t>13.365</w:t>
            </w:r>
          </w:p>
        </w:tc>
        <w:tc>
          <w:tcPr>
            <w:tcW w:w="1785" w:type="dxa"/>
            <w:vAlign w:val="center"/>
          </w:tcPr>
          <w:p>
            <w:pPr>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13.365</w:t>
            </w:r>
          </w:p>
        </w:tc>
        <w:tc>
          <w:tcPr>
            <w:tcW w:w="1039" w:type="dxa"/>
            <w:vAlign w:val="center"/>
          </w:tcPr>
          <w:p>
            <w:pPr>
              <w:pStyle w:val="58"/>
              <w:spacing w:beforeLines="0" w:afterLines="0"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+12.5712</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Ex>
        <w:trPr>
          <w:trHeight w:val="462" w:hRule="atLeast"/>
          <w:jc w:val="center"/>
        </w:trPr>
        <w:tc>
          <w:tcPr>
            <w:tcW w:w="3396" w:type="dxa"/>
            <w:gridSpan w:val="3"/>
            <w:vAlign w:val="center"/>
          </w:tcPr>
          <w:p>
            <w:pPr>
              <w:snapToGrid w:val="0"/>
              <w:jc w:val="center"/>
              <w:rPr>
                <w:rFonts w:hint="default" w:ascii="Times New Roman" w:hAnsi="Times New Roman" w:cs="Times New Roman"/>
                <w:color w:val="auto"/>
                <w:kern w:val="0"/>
                <w:szCs w:val="21"/>
                <w:highlight w:val="none"/>
              </w:rPr>
            </w:pPr>
            <w:r>
              <w:rPr>
                <w:rFonts w:hint="default" w:ascii="Times New Roman" w:hAnsi="Times New Roman" w:cs="Times New Roman"/>
                <w:color w:val="auto"/>
                <w:szCs w:val="21"/>
                <w:highlight w:val="none"/>
              </w:rPr>
              <w:t>生活垃圾</w:t>
            </w:r>
          </w:p>
        </w:tc>
        <w:tc>
          <w:tcPr>
            <w:tcW w:w="1374" w:type="dxa"/>
            <w:vAlign w:val="center"/>
          </w:tcPr>
          <w:p>
            <w:pPr>
              <w:pStyle w:val="58"/>
              <w:spacing w:beforeLines="0" w:afterLines="0" w:line="240" w:lineRule="auto"/>
              <w:jc w:val="center"/>
              <w:rPr>
                <w:rFonts w:hint="default" w:ascii="Times New Roman" w:hAnsi="Times New Roman" w:cs="Times New Roman"/>
                <w:snapToGrid w:val="0"/>
                <w:color w:val="auto"/>
                <w:kern w:val="21"/>
                <w:szCs w:val="21"/>
                <w:highlight w:val="none"/>
              </w:rPr>
            </w:pPr>
            <w:r>
              <w:rPr>
                <w:rFonts w:hint="eastAsia" w:ascii="Times New Roman" w:hAnsi="Times New Roman" w:cs="Times New Roman"/>
                <w:snapToGrid w:val="0"/>
                <w:color w:val="auto"/>
                <w:spacing w:val="-12"/>
                <w:kern w:val="21"/>
                <w:sz w:val="21"/>
                <w:szCs w:val="21"/>
                <w:highlight w:val="none"/>
                <w:lang w:val="en-US" w:eastAsia="zh-CN" w:bidi="en-US"/>
              </w:rPr>
              <w:t>3.6</w:t>
            </w:r>
          </w:p>
        </w:tc>
        <w:tc>
          <w:tcPr>
            <w:tcW w:w="1363"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65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580" w:type="dxa"/>
            <w:vAlign w:val="center"/>
          </w:tcPr>
          <w:p>
            <w:pPr>
              <w:spacing w:line="240" w:lineRule="auto"/>
              <w:jc w:val="center"/>
              <w:rPr>
                <w:rFonts w:hint="default" w:ascii="Times New Roman" w:hAnsi="Times New Roman" w:cs="Times New Roman"/>
                <w:color w:val="auto"/>
                <w:kern w:val="0"/>
                <w:szCs w:val="21"/>
                <w:highlight w:val="none"/>
              </w:rPr>
            </w:pPr>
            <w:r>
              <w:rPr>
                <w:rFonts w:hint="eastAsia" w:cs="Times New Roman"/>
                <w:color w:val="auto"/>
                <w:szCs w:val="21"/>
                <w:highlight w:val="none"/>
                <w:lang w:val="en-US" w:eastAsia="zh-CN"/>
              </w:rPr>
              <w:t>4.5</w:t>
            </w:r>
          </w:p>
        </w:tc>
        <w:tc>
          <w:tcPr>
            <w:tcW w:w="1785" w:type="dxa"/>
            <w:vAlign w:val="center"/>
          </w:tcPr>
          <w:p>
            <w:pPr>
              <w:pStyle w:val="58"/>
              <w:spacing w:beforeLines="0" w:afterLines="0" w:line="240" w:lineRule="auto"/>
              <w:jc w:val="center"/>
              <w:rPr>
                <w:rFonts w:hint="eastAsia" w:ascii="Times New Roman" w:hAnsi="Times New Roman" w:cs="Times New Roman" w:eastAsiaTheme="minorEastAsia"/>
                <w:snapToGrid w:val="0"/>
                <w:color w:val="auto"/>
                <w:kern w:val="21"/>
                <w:szCs w:val="21"/>
                <w:highlight w:val="none"/>
                <w:lang w:val="en-US" w:eastAsia="zh-CN"/>
              </w:rPr>
            </w:pPr>
            <w:r>
              <w:rPr>
                <w:rFonts w:hint="eastAsia" w:ascii="Times New Roman" w:hAnsi="Times New Roman" w:cs="Times New Roman"/>
                <w:snapToGrid w:val="0"/>
                <w:color w:val="auto"/>
                <w:kern w:val="21"/>
                <w:szCs w:val="21"/>
                <w:highlight w:val="none"/>
                <w:lang w:val="en-US" w:eastAsia="zh-CN"/>
              </w:rPr>
              <w:t>0</w:t>
            </w:r>
          </w:p>
        </w:tc>
        <w:tc>
          <w:tcPr>
            <w:tcW w:w="1783" w:type="dxa"/>
            <w:vAlign w:val="center"/>
          </w:tcPr>
          <w:p>
            <w:pPr>
              <w:spacing w:line="240" w:lineRule="auto"/>
              <w:jc w:val="center"/>
              <w:rPr>
                <w:rFonts w:hint="default" w:ascii="Times New Roman" w:hAnsi="Times New Roman" w:eastAsia="宋体" w:cs="Times New Roman"/>
                <w:color w:val="auto"/>
                <w:kern w:val="0"/>
                <w:szCs w:val="21"/>
                <w:highlight w:val="none"/>
                <w:lang w:val="en-US" w:eastAsia="zh-CN"/>
              </w:rPr>
            </w:pPr>
            <w:r>
              <w:rPr>
                <w:rFonts w:hint="eastAsia" w:cs="Times New Roman"/>
                <w:color w:val="auto"/>
                <w:kern w:val="0"/>
                <w:szCs w:val="21"/>
                <w:highlight w:val="none"/>
                <w:lang w:val="en-US" w:eastAsia="zh-CN"/>
              </w:rPr>
              <w:t>8.1</w:t>
            </w:r>
          </w:p>
        </w:tc>
        <w:tc>
          <w:tcPr>
            <w:tcW w:w="1039" w:type="dxa"/>
            <w:vAlign w:val="center"/>
          </w:tcPr>
          <w:p>
            <w:pPr>
              <w:pStyle w:val="58"/>
              <w:spacing w:beforeLines="0" w:afterLines="0" w:line="240" w:lineRule="auto"/>
              <w:jc w:val="center"/>
              <w:rPr>
                <w:rFonts w:hint="default" w:ascii="Times New Roman" w:hAnsi="Times New Roman" w:cs="Times New Roman" w:eastAsiaTheme="minorEastAsia"/>
                <w:color w:val="auto"/>
                <w:kern w:val="0"/>
                <w:szCs w:val="21"/>
                <w:highlight w:val="none"/>
                <w:lang w:val="en-US" w:eastAsia="zh-CN"/>
              </w:rPr>
            </w:pPr>
            <w:r>
              <w:rPr>
                <w:rFonts w:hint="eastAsia" w:ascii="Times New Roman" w:hAnsi="Times New Roman" w:cs="Times New Roman"/>
                <w:color w:val="auto"/>
                <w:kern w:val="0"/>
                <w:szCs w:val="21"/>
                <w:highlight w:val="none"/>
                <w:lang w:val="en-US" w:eastAsia="zh-CN"/>
              </w:rPr>
              <w:t>+4.5</w:t>
            </w:r>
          </w:p>
        </w:tc>
      </w:tr>
    </w:tbl>
    <w:p>
      <w:pPr>
        <w:pStyle w:val="58"/>
        <w:spacing w:beforeLines="80" w:after="31"/>
        <w:jc w:val="left"/>
        <w:rPr>
          <w:rFonts w:hint="default" w:ascii="Times New Roman" w:hAnsi="Times New Roman" w:cs="Times New Roman"/>
          <w:color w:val="auto"/>
          <w:highlight w:val="none"/>
        </w:rPr>
      </w:pPr>
      <w:r>
        <w:rPr>
          <w:rFonts w:hint="default" w:ascii="Times New Roman" w:hAnsi="Times New Roman" w:cs="Times New Roman"/>
          <w:snapToGrid w:val="0"/>
          <w:color w:val="auto"/>
          <w:kern w:val="21"/>
          <w:szCs w:val="21"/>
          <w:highlight w:val="none"/>
        </w:rPr>
        <w:t>注：</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3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③</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4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④</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5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⑤</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lang w:eastAsia="zh-CN"/>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7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⑦</w:t>
      </w:r>
      <w:r>
        <w:rPr>
          <w:rFonts w:hint="default" w:ascii="Times New Roman" w:hAnsi="Times New Roman" w:cs="Times New Roman"/>
          <w:snapToGrid w:val="0"/>
          <w:color w:val="auto"/>
          <w:spacing w:val="-6"/>
          <w:kern w:val="21"/>
          <w:szCs w:val="21"/>
          <w:highlight w:val="none"/>
        </w:rPr>
        <w:fldChar w:fldCharType="end"/>
      </w:r>
      <w:r>
        <w:rPr>
          <w:rFonts w:hint="default" w:ascii="Times New Roman" w:hAnsi="Times New Roman" w:cs="Times New Roman"/>
          <w:snapToGrid w:val="0"/>
          <w:color w:val="auto"/>
          <w:spacing w:val="-6"/>
          <w:kern w:val="21"/>
          <w:szCs w:val="21"/>
          <w:highlight w:val="none"/>
        </w:rPr>
        <w:t>=</w:t>
      </w:r>
      <w:r>
        <w:rPr>
          <w:rFonts w:hint="default" w:ascii="Times New Roman" w:hAnsi="Times New Roman" w:cs="Times New Roman"/>
          <w:snapToGrid w:val="0"/>
          <w:color w:val="auto"/>
          <w:spacing w:val="-16"/>
          <w:kern w:val="21"/>
          <w:szCs w:val="21"/>
          <w:highlight w:val="none"/>
        </w:rPr>
        <w:fldChar w:fldCharType="begin"/>
      </w:r>
      <w:r>
        <w:rPr>
          <w:rFonts w:hint="default" w:ascii="Times New Roman" w:hAnsi="Times New Roman" w:cs="Times New Roman"/>
          <w:snapToGrid w:val="0"/>
          <w:color w:val="auto"/>
          <w:spacing w:val="-16"/>
          <w:kern w:val="21"/>
          <w:szCs w:val="21"/>
          <w:highlight w:val="none"/>
        </w:rPr>
        <w:instrText xml:space="preserve"> = 6 \* GB3 \* MERGEFORMAT </w:instrText>
      </w:r>
      <w:r>
        <w:rPr>
          <w:rFonts w:hint="default" w:ascii="Times New Roman" w:hAnsi="Times New Roman" w:cs="Times New Roman"/>
          <w:snapToGrid w:val="0"/>
          <w:color w:val="auto"/>
          <w:spacing w:val="-16"/>
          <w:kern w:val="21"/>
          <w:szCs w:val="21"/>
          <w:highlight w:val="none"/>
        </w:rPr>
        <w:fldChar w:fldCharType="separate"/>
      </w:r>
      <w:r>
        <w:rPr>
          <w:rFonts w:hint="default" w:ascii="Times New Roman" w:hAnsi="Times New Roman" w:cs="Times New Roman"/>
          <w:color w:val="auto"/>
          <w:szCs w:val="21"/>
          <w:highlight w:val="none"/>
        </w:rPr>
        <w:t>⑥</w:t>
      </w:r>
      <w:r>
        <w:rPr>
          <w:rFonts w:hint="default" w:ascii="Times New Roman" w:hAnsi="Times New Roman" w:cs="Times New Roman"/>
          <w:snapToGrid w:val="0"/>
          <w:color w:val="auto"/>
          <w:spacing w:val="-16"/>
          <w:kern w:val="21"/>
          <w:szCs w:val="21"/>
          <w:highlight w:val="none"/>
        </w:rPr>
        <w:fldChar w:fldCharType="end"/>
      </w:r>
      <w:r>
        <w:rPr>
          <w:rFonts w:hint="default" w:ascii="Times New Roman" w:hAnsi="Times New Roman" w:cs="Times New Roman"/>
          <w:snapToGrid w:val="0"/>
          <w:color w:val="auto"/>
          <w:spacing w:val="-16"/>
          <w:kern w:val="21"/>
          <w:szCs w:val="21"/>
          <w:highlight w:val="none"/>
        </w:rPr>
        <w:t>-</w:t>
      </w:r>
      <w:r>
        <w:rPr>
          <w:rFonts w:hint="default" w:ascii="Times New Roman" w:hAnsi="Times New Roman" w:cs="Times New Roman"/>
          <w:snapToGrid w:val="0"/>
          <w:color w:val="auto"/>
          <w:spacing w:val="-6"/>
          <w:kern w:val="21"/>
          <w:szCs w:val="21"/>
          <w:highlight w:val="none"/>
        </w:rPr>
        <w:fldChar w:fldCharType="begin"/>
      </w:r>
      <w:r>
        <w:rPr>
          <w:rFonts w:hint="default" w:ascii="Times New Roman" w:hAnsi="Times New Roman" w:cs="Times New Roman"/>
          <w:snapToGrid w:val="0"/>
          <w:color w:val="auto"/>
          <w:spacing w:val="-6"/>
          <w:kern w:val="21"/>
          <w:szCs w:val="21"/>
          <w:highlight w:val="none"/>
        </w:rPr>
        <w:instrText xml:space="preserve"> = 1 \* GB3 \* MERGEFORMAT </w:instrText>
      </w:r>
      <w:r>
        <w:rPr>
          <w:rFonts w:hint="default" w:ascii="Times New Roman" w:hAnsi="Times New Roman" w:cs="Times New Roman"/>
          <w:snapToGrid w:val="0"/>
          <w:color w:val="auto"/>
          <w:spacing w:val="-6"/>
          <w:kern w:val="21"/>
          <w:szCs w:val="21"/>
          <w:highlight w:val="none"/>
        </w:rPr>
        <w:fldChar w:fldCharType="separate"/>
      </w:r>
      <w:r>
        <w:rPr>
          <w:rFonts w:hint="default" w:ascii="Times New Roman" w:hAnsi="Times New Roman" w:cs="Times New Roman"/>
          <w:color w:val="auto"/>
          <w:szCs w:val="21"/>
          <w:highlight w:val="none"/>
        </w:rPr>
        <w:t>①</w:t>
      </w:r>
      <w:r>
        <w:rPr>
          <w:rFonts w:hint="default" w:ascii="Times New Roman" w:hAnsi="Times New Roman" w:cs="Times New Roman"/>
          <w:snapToGrid w:val="0"/>
          <w:color w:val="auto"/>
          <w:spacing w:val="-6"/>
          <w:kern w:val="21"/>
          <w:szCs w:val="21"/>
          <w:highlight w:val="none"/>
        </w:rPr>
        <w:fldChar w:fldCharType="end"/>
      </w:r>
    </w:p>
    <w:p>
      <w:pPr>
        <w:rPr>
          <w:rFonts w:hint="default" w:ascii="Times New Roman" w:hAnsi="Times New Roman" w:cs="Times New Roman"/>
          <w:color w:val="auto"/>
          <w:highlight w:val="none"/>
        </w:rPr>
        <w:sectPr>
          <w:pgSz w:w="16838" w:h="11906" w:orient="landscape"/>
          <w:pgMar w:top="1134" w:right="1440" w:bottom="1134" w:left="144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rPr>
          <w:rFonts w:hint="default" w:ascii="Times New Roman" w:hAnsi="Times New Roman" w:cs="Times New Roman"/>
          <w:color w:val="auto"/>
          <w:highlight w:val="none"/>
        </w:rPr>
      </w:pPr>
    </w:p>
    <w:sectPr>
      <w:footerReference r:id="rId5" w:type="default"/>
      <w:pgSz w:w="11906" w:h="16838"/>
      <w:pgMar w:top="1701" w:right="1531" w:bottom="1701" w:left="1531" w:header="851" w:footer="851" w:gutter="0"/>
      <w:pgBorders>
        <w:top w:val="none" w:sz="0" w:space="0"/>
        <w:left w:val="none" w:sz="0" w:space="0"/>
        <w:bottom w:val="none" w:sz="0" w:space="0"/>
        <w:right w:val="none" w:sz="0" w:space="0"/>
      </w:pgBorders>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FangSong_GB2312">
    <w:altName w:val="仿宋_GB2312"/>
    <w:panose1 w:val="02010609060101010101"/>
    <w:charset w:val="86"/>
    <w:family w:val="modern"/>
    <w:pitch w:val="default"/>
    <w:sig w:usb0="00000000" w:usb1="00000000" w:usb2="00000010" w:usb3="00000000" w:csb0="00040001" w:csb1="00000000"/>
  </w:font>
  <w:font w:name="宋体-18030">
    <w:altName w:val="微软雅黑"/>
    <w:panose1 w:val="00000000000000000000"/>
    <w:charset w:val="86"/>
    <w:family w:val="modern"/>
    <w:pitch w:val="default"/>
    <w:sig w:usb0="00000000" w:usb1="00000000" w:usb2="000A005E"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 w:name="Arial Black">
    <w:panose1 w:val="020B0A04020102020204"/>
    <w:charset w:val="00"/>
    <w:family w:val="swiss"/>
    <w:pitch w:val="default"/>
    <w:sig w:usb0="00000287" w:usb1="00000000" w:usb2="00000000" w:usb3="00000000" w:csb0="2000009F" w:csb1="DFD70000"/>
  </w:font>
  <w:font w:name="方正小标宋_GBK">
    <w:panose1 w:val="03000509000000000000"/>
    <w:charset w:val="86"/>
    <w:family w:val="script"/>
    <w:pitch w:val="default"/>
    <w:sig w:usb0="00000001" w:usb1="080E0000" w:usb2="00000000" w:usb3="00000000" w:csb0="00040000" w:csb1="00000000"/>
  </w:font>
  <w:font w:name="华文仿宋">
    <w:altName w:val="仿宋"/>
    <w:panose1 w:val="02010600040101010101"/>
    <w:charset w:val="86"/>
    <w:family w:val="auto"/>
    <w:pitch w:val="default"/>
    <w:sig w:usb0="00000000" w:usb1="00000000" w:usb2="00000000" w:usb3="00000000" w:csb0="0004009F" w:csb1="DFD70000"/>
  </w:font>
  <w:font w:name="TimesNewRomanPSMT">
    <w:altName w:val="Times New Roman"/>
    <w:panose1 w:val="00000000000000000000"/>
    <w:charset w:val="86"/>
    <w:family w:val="auto"/>
    <w:pitch w:val="default"/>
    <w:sig w:usb0="00000000" w:usb1="00000000" w:usb2="00000010" w:usb3="00000000" w:csb0="00060001" w:csb1="00000000"/>
  </w:font>
  <w:font w:name="MS PGothic">
    <w:panose1 w:val="020B0600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36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4" name="文本框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rPr>
                              <w:rStyle w:val="29"/>
                              <w:sz w:val="21"/>
                              <w:szCs w:val="21"/>
                            </w:rPr>
                          </w:pPr>
                          <w:r>
                            <w:rPr>
                              <w:rStyle w:val="29"/>
                              <w:sz w:val="21"/>
                              <w:szCs w:val="21"/>
                            </w:rPr>
                            <w:t>—</w:t>
                          </w:r>
                          <w:r>
                            <w:rPr>
                              <w:sz w:val="21"/>
                              <w:szCs w:val="21"/>
                            </w:rPr>
                            <w:fldChar w:fldCharType="begin"/>
                          </w:r>
                          <w:r>
                            <w:rPr>
                              <w:rStyle w:val="29"/>
                              <w:sz w:val="21"/>
                              <w:szCs w:val="21"/>
                            </w:rPr>
                            <w:instrText xml:space="preserve">PAGE  </w:instrText>
                          </w:r>
                          <w:r>
                            <w:rPr>
                              <w:sz w:val="21"/>
                              <w:szCs w:val="21"/>
                            </w:rPr>
                            <w:fldChar w:fldCharType="separate"/>
                          </w:r>
                          <w:r>
                            <w:rPr>
                              <w:rStyle w:val="29"/>
                              <w:sz w:val="21"/>
                              <w:szCs w:val="21"/>
                            </w:rPr>
                            <w:t>- 153 -</w:t>
                          </w:r>
                          <w:r>
                            <w:rPr>
                              <w:sz w:val="21"/>
                              <w:szCs w:val="21"/>
                            </w:rPr>
                            <w:fldChar w:fldCharType="end"/>
                          </w:r>
                          <w:r>
                            <w:rPr>
                              <w:rStyle w:val="29"/>
                              <w:sz w:val="21"/>
                              <w:szCs w:val="21"/>
                            </w:rPr>
                            <w:t>—</w:t>
                          </w:r>
                        </w:p>
                      </w:txbxContent>
                    </wps:txbx>
                    <wps:bodyPr wrap="none" lIns="0" tIns="0" rIns="0" bIns="0" upright="1">
                      <a:spAutoFit/>
                    </wps:bodyPr>
                  </wps:wsp>
                </a:graphicData>
              </a:graphic>
            </wp:anchor>
          </w:drawing>
        </mc:Choice>
        <mc:Fallback>
          <w:pict>
            <v:shape id="文本框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OV0C+qz&#10;AQAAUAMAAA4AAAAAAAAAAQAgAAAAHgEAAGRycy9lMm9Eb2MueG1sUEsFBgAAAAAGAAYAWQEAAEMF&#10;AAAAAA==&#10;">
              <v:fill on="f" focussize="0,0"/>
              <v:stroke on="f"/>
              <v:imagedata o:title=""/>
              <o:lock v:ext="edit" aspectratio="f"/>
              <v:textbox inset="0mm,0mm,0mm,0mm" style="mso-fit-shape-to-text:t;">
                <w:txbxContent>
                  <w:p>
                    <w:pPr>
                      <w:pStyle w:val="17"/>
                      <w:rPr>
                        <w:rStyle w:val="29"/>
                        <w:sz w:val="21"/>
                        <w:szCs w:val="21"/>
                      </w:rPr>
                    </w:pPr>
                    <w:r>
                      <w:rPr>
                        <w:rStyle w:val="29"/>
                        <w:sz w:val="21"/>
                        <w:szCs w:val="21"/>
                      </w:rPr>
                      <w:t>—</w:t>
                    </w:r>
                    <w:r>
                      <w:rPr>
                        <w:sz w:val="21"/>
                        <w:szCs w:val="21"/>
                      </w:rPr>
                      <w:fldChar w:fldCharType="begin"/>
                    </w:r>
                    <w:r>
                      <w:rPr>
                        <w:rStyle w:val="29"/>
                        <w:sz w:val="21"/>
                        <w:szCs w:val="21"/>
                      </w:rPr>
                      <w:instrText xml:space="preserve">PAGE  </w:instrText>
                    </w:r>
                    <w:r>
                      <w:rPr>
                        <w:sz w:val="21"/>
                        <w:szCs w:val="21"/>
                      </w:rPr>
                      <w:fldChar w:fldCharType="separate"/>
                    </w:r>
                    <w:r>
                      <w:rPr>
                        <w:rStyle w:val="29"/>
                        <w:sz w:val="21"/>
                        <w:szCs w:val="21"/>
                      </w:rPr>
                      <w:t>- 153 -</w:t>
                    </w:r>
                    <w:r>
                      <w:rPr>
                        <w:sz w:val="21"/>
                        <w:szCs w:val="21"/>
                      </w:rPr>
                      <w:fldChar w:fldCharType="end"/>
                    </w:r>
                    <w:r>
                      <w:rPr>
                        <w:rStyle w:val="29"/>
                        <w:sz w:val="21"/>
                        <w:szCs w:val="21"/>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ind w:right="360" w:firstLine="360"/>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5" name="文本框 10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7"/>
                            <w:rPr>
                              <w:rStyle w:val="29"/>
                              <w:sz w:val="21"/>
                              <w:szCs w:val="21"/>
                            </w:rPr>
                          </w:pPr>
                          <w:r>
                            <w:rPr>
                              <w:rStyle w:val="29"/>
                              <w:sz w:val="21"/>
                              <w:szCs w:val="21"/>
                            </w:rPr>
                            <w:t>—</w:t>
                          </w:r>
                          <w:r>
                            <w:rPr>
                              <w:sz w:val="21"/>
                              <w:szCs w:val="21"/>
                            </w:rPr>
                            <w:fldChar w:fldCharType="begin"/>
                          </w:r>
                          <w:r>
                            <w:rPr>
                              <w:rStyle w:val="29"/>
                              <w:sz w:val="21"/>
                              <w:szCs w:val="21"/>
                            </w:rPr>
                            <w:instrText xml:space="preserve">PAGE  </w:instrText>
                          </w:r>
                          <w:r>
                            <w:rPr>
                              <w:sz w:val="21"/>
                              <w:szCs w:val="21"/>
                            </w:rPr>
                            <w:fldChar w:fldCharType="separate"/>
                          </w:r>
                          <w:r>
                            <w:rPr>
                              <w:rStyle w:val="29"/>
                              <w:sz w:val="21"/>
                              <w:szCs w:val="21"/>
                            </w:rPr>
                            <w:t>156</w:t>
                          </w:r>
                          <w:r>
                            <w:rPr>
                              <w:sz w:val="21"/>
                              <w:szCs w:val="21"/>
                            </w:rPr>
                            <w:fldChar w:fldCharType="end"/>
                          </w:r>
                          <w:r>
                            <w:rPr>
                              <w:rStyle w:val="29"/>
                              <w:sz w:val="21"/>
                              <w:szCs w:val="21"/>
                            </w:rPr>
                            <w:t>—</w:t>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zql5uc8AAAAF&#10;AQAADwAAAAAAAAABACAAAAAiAAAAZHJzL2Rvd25yZXYueG1sUEsBAhQAFAAAAAgAh07iQCy2ZXGz&#10;AQAAUAMAAA4AAAAAAAAAAQAgAAAAHgEAAGRycy9lMm9Eb2MueG1sUEsFBgAAAAAGAAYAWQEAAEMF&#10;AAAAAA==&#10;">
              <v:fill on="f" focussize="0,0"/>
              <v:stroke on="f"/>
              <v:imagedata o:title=""/>
              <o:lock v:ext="edit" aspectratio="f"/>
              <v:textbox inset="0mm,0mm,0mm,0mm" style="mso-fit-shape-to-text:t;">
                <w:txbxContent>
                  <w:p>
                    <w:pPr>
                      <w:pStyle w:val="17"/>
                      <w:rPr>
                        <w:rStyle w:val="29"/>
                        <w:sz w:val="21"/>
                        <w:szCs w:val="21"/>
                      </w:rPr>
                    </w:pPr>
                    <w:r>
                      <w:rPr>
                        <w:rStyle w:val="29"/>
                        <w:sz w:val="21"/>
                        <w:szCs w:val="21"/>
                      </w:rPr>
                      <w:t>—</w:t>
                    </w:r>
                    <w:r>
                      <w:rPr>
                        <w:sz w:val="21"/>
                        <w:szCs w:val="21"/>
                      </w:rPr>
                      <w:fldChar w:fldCharType="begin"/>
                    </w:r>
                    <w:r>
                      <w:rPr>
                        <w:rStyle w:val="29"/>
                        <w:sz w:val="21"/>
                        <w:szCs w:val="21"/>
                      </w:rPr>
                      <w:instrText xml:space="preserve">PAGE  </w:instrText>
                    </w:r>
                    <w:r>
                      <w:rPr>
                        <w:sz w:val="21"/>
                        <w:szCs w:val="21"/>
                      </w:rPr>
                      <w:fldChar w:fldCharType="separate"/>
                    </w:r>
                    <w:r>
                      <w:rPr>
                        <w:rStyle w:val="29"/>
                        <w:sz w:val="21"/>
                        <w:szCs w:val="21"/>
                      </w:rPr>
                      <w:t>156</w:t>
                    </w:r>
                    <w:r>
                      <w:rPr>
                        <w:sz w:val="21"/>
                        <w:szCs w:val="21"/>
                      </w:rPr>
                      <w:fldChar w:fldCharType="end"/>
                    </w:r>
                    <w:r>
                      <w:rPr>
                        <w:rStyle w:val="29"/>
                        <w:sz w:val="21"/>
                        <w:szCs w:val="21"/>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FCDB97"/>
    <w:multiLevelType w:val="singleLevel"/>
    <w:tmpl w:val="A7FCDB97"/>
    <w:lvl w:ilvl="0" w:tentative="0">
      <w:start w:val="1"/>
      <w:numFmt w:val="decimal"/>
      <w:suff w:val="nothing"/>
      <w:lvlText w:val="%1、"/>
      <w:lvlJc w:val="left"/>
    </w:lvl>
  </w:abstractNum>
  <w:abstractNum w:abstractNumId="1">
    <w:nsid w:val="CBAAE87A"/>
    <w:multiLevelType w:val="singleLevel"/>
    <w:tmpl w:val="CBAAE87A"/>
    <w:lvl w:ilvl="0" w:tentative="0">
      <w:start w:val="1"/>
      <w:numFmt w:val="decimal"/>
      <w:suff w:val="nothing"/>
      <w:lvlText w:val="%1、"/>
      <w:lvlJc w:val="left"/>
    </w:lvl>
  </w:abstractNum>
  <w:abstractNum w:abstractNumId="2">
    <w:nsid w:val="E0CD65F4"/>
    <w:multiLevelType w:val="singleLevel"/>
    <w:tmpl w:val="E0CD65F4"/>
    <w:lvl w:ilvl="0" w:tentative="0">
      <w:start w:val="1"/>
      <w:numFmt w:val="decimal"/>
      <w:suff w:val="nothing"/>
      <w:lvlText w:val="%1、"/>
      <w:lvlJc w:val="left"/>
    </w:lvl>
  </w:abstractNum>
  <w:abstractNum w:abstractNumId="3">
    <w:nsid w:val="FB628A34"/>
    <w:multiLevelType w:val="singleLevel"/>
    <w:tmpl w:val="FB628A34"/>
    <w:lvl w:ilvl="0" w:tentative="0">
      <w:start w:val="1"/>
      <w:numFmt w:val="decimal"/>
      <w:suff w:val="nothing"/>
      <w:lvlText w:val="%1、"/>
      <w:lvlJc w:val="left"/>
    </w:lvl>
  </w:abstractNum>
  <w:abstractNum w:abstractNumId="4">
    <w:nsid w:val="00094B7A"/>
    <w:multiLevelType w:val="singleLevel"/>
    <w:tmpl w:val="00094B7A"/>
    <w:lvl w:ilvl="0" w:tentative="0">
      <w:start w:val="1"/>
      <w:numFmt w:val="decimal"/>
      <w:suff w:val="nothing"/>
      <w:lvlText w:val="（%1）"/>
      <w:lvlJc w:val="left"/>
    </w:lvl>
  </w:abstractNum>
  <w:abstractNum w:abstractNumId="5">
    <w:nsid w:val="11E5F709"/>
    <w:multiLevelType w:val="singleLevel"/>
    <w:tmpl w:val="11E5F709"/>
    <w:lvl w:ilvl="0" w:tentative="0">
      <w:start w:val="1"/>
      <w:numFmt w:val="bullet"/>
      <w:pStyle w:val="15"/>
      <w:lvlText w:val=""/>
      <w:lvlJc w:val="left"/>
      <w:pPr>
        <w:tabs>
          <w:tab w:val="left" w:pos="2040"/>
        </w:tabs>
        <w:ind w:left="2040" w:hanging="360"/>
      </w:pPr>
      <w:rPr>
        <w:rFonts w:hint="default" w:ascii="Wingdings" w:hAnsi="Wingdings"/>
      </w:rPr>
    </w:lvl>
  </w:abstractNum>
  <w:num w:numId="1">
    <w:abstractNumId w:val="5"/>
  </w:num>
  <w:num w:numId="2">
    <w:abstractNumId w:val="1"/>
  </w:num>
  <w:num w:numId="3">
    <w:abstractNumId w:val="0"/>
  </w:num>
  <w:num w:numId="4">
    <w:abstractNumId w:val="2"/>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RjMmMxOGYyODIyY2NlNDUyNjMxNDcyZjU0YjU0ZjMifQ=="/>
  </w:docVars>
  <w:rsids>
    <w:rsidRoot w:val="002B5532"/>
    <w:rsid w:val="0000097C"/>
    <w:rsid w:val="00002FF9"/>
    <w:rsid w:val="000047CD"/>
    <w:rsid w:val="00005DFF"/>
    <w:rsid w:val="00010B65"/>
    <w:rsid w:val="0001399C"/>
    <w:rsid w:val="00013F7F"/>
    <w:rsid w:val="000324B9"/>
    <w:rsid w:val="00037101"/>
    <w:rsid w:val="00040489"/>
    <w:rsid w:val="000432BA"/>
    <w:rsid w:val="0004605F"/>
    <w:rsid w:val="00051097"/>
    <w:rsid w:val="00060710"/>
    <w:rsid w:val="00071534"/>
    <w:rsid w:val="00074A46"/>
    <w:rsid w:val="00076A73"/>
    <w:rsid w:val="00080268"/>
    <w:rsid w:val="000835A3"/>
    <w:rsid w:val="000D601A"/>
    <w:rsid w:val="000F04D6"/>
    <w:rsid w:val="000F0653"/>
    <w:rsid w:val="000F1173"/>
    <w:rsid w:val="000F423C"/>
    <w:rsid w:val="00110E80"/>
    <w:rsid w:val="00111BA9"/>
    <w:rsid w:val="0011746B"/>
    <w:rsid w:val="00120107"/>
    <w:rsid w:val="00130830"/>
    <w:rsid w:val="00134F62"/>
    <w:rsid w:val="0013609C"/>
    <w:rsid w:val="00144576"/>
    <w:rsid w:val="001470C8"/>
    <w:rsid w:val="00161D65"/>
    <w:rsid w:val="00170145"/>
    <w:rsid w:val="00171529"/>
    <w:rsid w:val="001A2D88"/>
    <w:rsid w:val="001A56B7"/>
    <w:rsid w:val="001E31A9"/>
    <w:rsid w:val="001E6776"/>
    <w:rsid w:val="001F43DC"/>
    <w:rsid w:val="00204966"/>
    <w:rsid w:val="002063D9"/>
    <w:rsid w:val="002203BC"/>
    <w:rsid w:val="002211D5"/>
    <w:rsid w:val="00223F29"/>
    <w:rsid w:val="00226AC5"/>
    <w:rsid w:val="00233CD3"/>
    <w:rsid w:val="00236018"/>
    <w:rsid w:val="00237762"/>
    <w:rsid w:val="00242A29"/>
    <w:rsid w:val="002523A6"/>
    <w:rsid w:val="00253FE5"/>
    <w:rsid w:val="00261925"/>
    <w:rsid w:val="0027200C"/>
    <w:rsid w:val="002917D7"/>
    <w:rsid w:val="002A3F74"/>
    <w:rsid w:val="002A60C1"/>
    <w:rsid w:val="002B5532"/>
    <w:rsid w:val="002B6647"/>
    <w:rsid w:val="002C03C9"/>
    <w:rsid w:val="002C30D3"/>
    <w:rsid w:val="002C6007"/>
    <w:rsid w:val="002C7AC4"/>
    <w:rsid w:val="002D2BA6"/>
    <w:rsid w:val="002D3724"/>
    <w:rsid w:val="002D41D4"/>
    <w:rsid w:val="002F077B"/>
    <w:rsid w:val="002F32F7"/>
    <w:rsid w:val="002F5D9A"/>
    <w:rsid w:val="003064EF"/>
    <w:rsid w:val="003138DB"/>
    <w:rsid w:val="003221C1"/>
    <w:rsid w:val="003240C8"/>
    <w:rsid w:val="003331E6"/>
    <w:rsid w:val="00343C6E"/>
    <w:rsid w:val="00346A7A"/>
    <w:rsid w:val="003673FE"/>
    <w:rsid w:val="00372AD7"/>
    <w:rsid w:val="00373959"/>
    <w:rsid w:val="003745D5"/>
    <w:rsid w:val="00376CC4"/>
    <w:rsid w:val="003833AB"/>
    <w:rsid w:val="00384D77"/>
    <w:rsid w:val="00390797"/>
    <w:rsid w:val="00397C02"/>
    <w:rsid w:val="003B5904"/>
    <w:rsid w:val="003C0B5A"/>
    <w:rsid w:val="003C105B"/>
    <w:rsid w:val="003D4CD1"/>
    <w:rsid w:val="003D683B"/>
    <w:rsid w:val="003E4189"/>
    <w:rsid w:val="003E5DD0"/>
    <w:rsid w:val="003E71C5"/>
    <w:rsid w:val="003F317F"/>
    <w:rsid w:val="00417B54"/>
    <w:rsid w:val="00417F8E"/>
    <w:rsid w:val="00426F05"/>
    <w:rsid w:val="004310BE"/>
    <w:rsid w:val="0043256D"/>
    <w:rsid w:val="00433E25"/>
    <w:rsid w:val="00440CF4"/>
    <w:rsid w:val="004463F0"/>
    <w:rsid w:val="00447783"/>
    <w:rsid w:val="0046382A"/>
    <w:rsid w:val="00471044"/>
    <w:rsid w:val="00471C5F"/>
    <w:rsid w:val="004800C0"/>
    <w:rsid w:val="004857DF"/>
    <w:rsid w:val="0048785F"/>
    <w:rsid w:val="004944F3"/>
    <w:rsid w:val="004A3D7E"/>
    <w:rsid w:val="004B03C3"/>
    <w:rsid w:val="004B0EE7"/>
    <w:rsid w:val="004B198C"/>
    <w:rsid w:val="004B396F"/>
    <w:rsid w:val="004C0C16"/>
    <w:rsid w:val="004C69A9"/>
    <w:rsid w:val="004D3AEE"/>
    <w:rsid w:val="004D6893"/>
    <w:rsid w:val="004E061F"/>
    <w:rsid w:val="004E4589"/>
    <w:rsid w:val="004F4F26"/>
    <w:rsid w:val="004F52EB"/>
    <w:rsid w:val="00517B86"/>
    <w:rsid w:val="00522BEE"/>
    <w:rsid w:val="005324A4"/>
    <w:rsid w:val="00534F35"/>
    <w:rsid w:val="005473C9"/>
    <w:rsid w:val="00552982"/>
    <w:rsid w:val="00560D0C"/>
    <w:rsid w:val="00570AB3"/>
    <w:rsid w:val="00572192"/>
    <w:rsid w:val="0057328C"/>
    <w:rsid w:val="0058005F"/>
    <w:rsid w:val="00585306"/>
    <w:rsid w:val="005869B2"/>
    <w:rsid w:val="00587AA1"/>
    <w:rsid w:val="005A69DB"/>
    <w:rsid w:val="005B65A4"/>
    <w:rsid w:val="005B6D45"/>
    <w:rsid w:val="005D5DC5"/>
    <w:rsid w:val="005D6D1A"/>
    <w:rsid w:val="005E0597"/>
    <w:rsid w:val="005E4063"/>
    <w:rsid w:val="005E42E5"/>
    <w:rsid w:val="005E5654"/>
    <w:rsid w:val="00607CCD"/>
    <w:rsid w:val="00613F40"/>
    <w:rsid w:val="00616E27"/>
    <w:rsid w:val="006413DF"/>
    <w:rsid w:val="0064496C"/>
    <w:rsid w:val="00645347"/>
    <w:rsid w:val="006675A0"/>
    <w:rsid w:val="00667B3D"/>
    <w:rsid w:val="00667DF4"/>
    <w:rsid w:val="006709B2"/>
    <w:rsid w:val="0067453E"/>
    <w:rsid w:val="006807D9"/>
    <w:rsid w:val="00680F1A"/>
    <w:rsid w:val="006812AB"/>
    <w:rsid w:val="006829DF"/>
    <w:rsid w:val="00693AB8"/>
    <w:rsid w:val="006960F7"/>
    <w:rsid w:val="006A16B8"/>
    <w:rsid w:val="006A52D5"/>
    <w:rsid w:val="006D63B6"/>
    <w:rsid w:val="006D6A4D"/>
    <w:rsid w:val="006E3EA2"/>
    <w:rsid w:val="006F627F"/>
    <w:rsid w:val="006F6B90"/>
    <w:rsid w:val="006F75AD"/>
    <w:rsid w:val="00706038"/>
    <w:rsid w:val="00726E9D"/>
    <w:rsid w:val="0074093D"/>
    <w:rsid w:val="00757759"/>
    <w:rsid w:val="00761F2F"/>
    <w:rsid w:val="00763FCC"/>
    <w:rsid w:val="00770372"/>
    <w:rsid w:val="00776CF4"/>
    <w:rsid w:val="0078029C"/>
    <w:rsid w:val="00791466"/>
    <w:rsid w:val="0079660A"/>
    <w:rsid w:val="007A09BA"/>
    <w:rsid w:val="007A5F3B"/>
    <w:rsid w:val="007A781C"/>
    <w:rsid w:val="007B28AB"/>
    <w:rsid w:val="007B507D"/>
    <w:rsid w:val="007C11E0"/>
    <w:rsid w:val="007C133E"/>
    <w:rsid w:val="007C7536"/>
    <w:rsid w:val="007D28C1"/>
    <w:rsid w:val="007E10C2"/>
    <w:rsid w:val="007E225B"/>
    <w:rsid w:val="007E3416"/>
    <w:rsid w:val="007E3E02"/>
    <w:rsid w:val="007F25CF"/>
    <w:rsid w:val="00820FD0"/>
    <w:rsid w:val="00821BC6"/>
    <w:rsid w:val="00826666"/>
    <w:rsid w:val="008346F9"/>
    <w:rsid w:val="00835699"/>
    <w:rsid w:val="0084298F"/>
    <w:rsid w:val="008437EE"/>
    <w:rsid w:val="00846C8C"/>
    <w:rsid w:val="0085088A"/>
    <w:rsid w:val="00852AF9"/>
    <w:rsid w:val="00864310"/>
    <w:rsid w:val="00883900"/>
    <w:rsid w:val="008847EE"/>
    <w:rsid w:val="00885351"/>
    <w:rsid w:val="00891B09"/>
    <w:rsid w:val="008A2D28"/>
    <w:rsid w:val="008A708C"/>
    <w:rsid w:val="008A78AA"/>
    <w:rsid w:val="008B44DF"/>
    <w:rsid w:val="008C0284"/>
    <w:rsid w:val="008C139C"/>
    <w:rsid w:val="008C1CF1"/>
    <w:rsid w:val="008C6C99"/>
    <w:rsid w:val="008D0ABD"/>
    <w:rsid w:val="008F4E04"/>
    <w:rsid w:val="00901997"/>
    <w:rsid w:val="0090779A"/>
    <w:rsid w:val="0091427C"/>
    <w:rsid w:val="00924076"/>
    <w:rsid w:val="00925430"/>
    <w:rsid w:val="00927413"/>
    <w:rsid w:val="0093777B"/>
    <w:rsid w:val="009378E2"/>
    <w:rsid w:val="00945865"/>
    <w:rsid w:val="00946D2F"/>
    <w:rsid w:val="00953781"/>
    <w:rsid w:val="00962239"/>
    <w:rsid w:val="00962392"/>
    <w:rsid w:val="00965426"/>
    <w:rsid w:val="0096799E"/>
    <w:rsid w:val="00987120"/>
    <w:rsid w:val="00993FEC"/>
    <w:rsid w:val="009A439B"/>
    <w:rsid w:val="009A49A9"/>
    <w:rsid w:val="009B085C"/>
    <w:rsid w:val="009B619E"/>
    <w:rsid w:val="009C184E"/>
    <w:rsid w:val="009C319E"/>
    <w:rsid w:val="009C3CA3"/>
    <w:rsid w:val="009D02EB"/>
    <w:rsid w:val="009E24A0"/>
    <w:rsid w:val="009E57D9"/>
    <w:rsid w:val="009E6C83"/>
    <w:rsid w:val="009F6285"/>
    <w:rsid w:val="009F6F5E"/>
    <w:rsid w:val="00A111E1"/>
    <w:rsid w:val="00A23F4C"/>
    <w:rsid w:val="00A341EE"/>
    <w:rsid w:val="00A344FB"/>
    <w:rsid w:val="00A375DA"/>
    <w:rsid w:val="00A37BB6"/>
    <w:rsid w:val="00A415EE"/>
    <w:rsid w:val="00A505C6"/>
    <w:rsid w:val="00A50D75"/>
    <w:rsid w:val="00A6263B"/>
    <w:rsid w:val="00A63B07"/>
    <w:rsid w:val="00A82212"/>
    <w:rsid w:val="00A8253B"/>
    <w:rsid w:val="00A87D9D"/>
    <w:rsid w:val="00A91A76"/>
    <w:rsid w:val="00A94152"/>
    <w:rsid w:val="00A97B83"/>
    <w:rsid w:val="00AB37FD"/>
    <w:rsid w:val="00AD47D6"/>
    <w:rsid w:val="00AE6109"/>
    <w:rsid w:val="00AE6347"/>
    <w:rsid w:val="00AF5F52"/>
    <w:rsid w:val="00B076C2"/>
    <w:rsid w:val="00B24E6F"/>
    <w:rsid w:val="00B34C49"/>
    <w:rsid w:val="00B409FE"/>
    <w:rsid w:val="00B414DC"/>
    <w:rsid w:val="00B536DF"/>
    <w:rsid w:val="00B53DF7"/>
    <w:rsid w:val="00B561DF"/>
    <w:rsid w:val="00B572DD"/>
    <w:rsid w:val="00B6133E"/>
    <w:rsid w:val="00B63739"/>
    <w:rsid w:val="00B63A67"/>
    <w:rsid w:val="00B64FE4"/>
    <w:rsid w:val="00B66FF6"/>
    <w:rsid w:val="00B67274"/>
    <w:rsid w:val="00B67C3E"/>
    <w:rsid w:val="00B974B8"/>
    <w:rsid w:val="00BA021E"/>
    <w:rsid w:val="00BA409E"/>
    <w:rsid w:val="00BA5265"/>
    <w:rsid w:val="00BB4C1F"/>
    <w:rsid w:val="00BB5B0B"/>
    <w:rsid w:val="00BD137C"/>
    <w:rsid w:val="00BD6DB6"/>
    <w:rsid w:val="00BD7417"/>
    <w:rsid w:val="00BD7977"/>
    <w:rsid w:val="00BE0324"/>
    <w:rsid w:val="00BE3CAB"/>
    <w:rsid w:val="00BE4D07"/>
    <w:rsid w:val="00BE5721"/>
    <w:rsid w:val="00BE71E0"/>
    <w:rsid w:val="00BF1152"/>
    <w:rsid w:val="00BF177D"/>
    <w:rsid w:val="00C025B3"/>
    <w:rsid w:val="00C02D21"/>
    <w:rsid w:val="00C20616"/>
    <w:rsid w:val="00C367E7"/>
    <w:rsid w:val="00C37370"/>
    <w:rsid w:val="00C4192D"/>
    <w:rsid w:val="00C420BA"/>
    <w:rsid w:val="00C42938"/>
    <w:rsid w:val="00C50DF8"/>
    <w:rsid w:val="00C55B61"/>
    <w:rsid w:val="00C669EC"/>
    <w:rsid w:val="00C86961"/>
    <w:rsid w:val="00C932A0"/>
    <w:rsid w:val="00C9522A"/>
    <w:rsid w:val="00CA07A9"/>
    <w:rsid w:val="00CA4C5B"/>
    <w:rsid w:val="00CB400C"/>
    <w:rsid w:val="00CB6CA7"/>
    <w:rsid w:val="00CC5DF3"/>
    <w:rsid w:val="00CC7AB4"/>
    <w:rsid w:val="00CF0131"/>
    <w:rsid w:val="00CF5338"/>
    <w:rsid w:val="00D031C0"/>
    <w:rsid w:val="00D1027C"/>
    <w:rsid w:val="00D10B19"/>
    <w:rsid w:val="00D1133F"/>
    <w:rsid w:val="00D233A1"/>
    <w:rsid w:val="00D247EA"/>
    <w:rsid w:val="00D30D87"/>
    <w:rsid w:val="00D421DE"/>
    <w:rsid w:val="00D6660B"/>
    <w:rsid w:val="00D84900"/>
    <w:rsid w:val="00D97A96"/>
    <w:rsid w:val="00DA1626"/>
    <w:rsid w:val="00DB5CE6"/>
    <w:rsid w:val="00DC092F"/>
    <w:rsid w:val="00DC3F51"/>
    <w:rsid w:val="00DD22A7"/>
    <w:rsid w:val="00DE6540"/>
    <w:rsid w:val="00DE7620"/>
    <w:rsid w:val="00E00F95"/>
    <w:rsid w:val="00E050BE"/>
    <w:rsid w:val="00E058F1"/>
    <w:rsid w:val="00E0631E"/>
    <w:rsid w:val="00E16173"/>
    <w:rsid w:val="00E16492"/>
    <w:rsid w:val="00E20A9B"/>
    <w:rsid w:val="00E23ABF"/>
    <w:rsid w:val="00E248D9"/>
    <w:rsid w:val="00E26145"/>
    <w:rsid w:val="00E349DC"/>
    <w:rsid w:val="00E37E02"/>
    <w:rsid w:val="00E4177D"/>
    <w:rsid w:val="00E44D75"/>
    <w:rsid w:val="00E46F8B"/>
    <w:rsid w:val="00E56EAE"/>
    <w:rsid w:val="00E72E13"/>
    <w:rsid w:val="00E8058F"/>
    <w:rsid w:val="00E92025"/>
    <w:rsid w:val="00E92974"/>
    <w:rsid w:val="00EA3FC9"/>
    <w:rsid w:val="00EC1522"/>
    <w:rsid w:val="00ED5D06"/>
    <w:rsid w:val="00ED60EA"/>
    <w:rsid w:val="00EE2AA0"/>
    <w:rsid w:val="00EE4FE6"/>
    <w:rsid w:val="00EE7394"/>
    <w:rsid w:val="00EF3044"/>
    <w:rsid w:val="00EF5039"/>
    <w:rsid w:val="00F01109"/>
    <w:rsid w:val="00F24731"/>
    <w:rsid w:val="00F35ADA"/>
    <w:rsid w:val="00F46697"/>
    <w:rsid w:val="00F500CA"/>
    <w:rsid w:val="00F53E48"/>
    <w:rsid w:val="00F761D5"/>
    <w:rsid w:val="00FB59F6"/>
    <w:rsid w:val="00FC2D86"/>
    <w:rsid w:val="00FD39D0"/>
    <w:rsid w:val="00FE108C"/>
    <w:rsid w:val="00FE3E64"/>
    <w:rsid w:val="00FE735D"/>
    <w:rsid w:val="00FE73C7"/>
    <w:rsid w:val="00FF7983"/>
    <w:rsid w:val="01DD3ACA"/>
    <w:rsid w:val="03251AFE"/>
    <w:rsid w:val="04215517"/>
    <w:rsid w:val="04502203"/>
    <w:rsid w:val="045B2C1E"/>
    <w:rsid w:val="04E01B71"/>
    <w:rsid w:val="057743B8"/>
    <w:rsid w:val="057C20DE"/>
    <w:rsid w:val="05E97064"/>
    <w:rsid w:val="06203D4F"/>
    <w:rsid w:val="06CC4290"/>
    <w:rsid w:val="07476E2B"/>
    <w:rsid w:val="07D03D8C"/>
    <w:rsid w:val="07E0291E"/>
    <w:rsid w:val="07F00FEF"/>
    <w:rsid w:val="08935EAF"/>
    <w:rsid w:val="08AD230D"/>
    <w:rsid w:val="08B719EC"/>
    <w:rsid w:val="08C97B5A"/>
    <w:rsid w:val="08D833C0"/>
    <w:rsid w:val="09ED5ED8"/>
    <w:rsid w:val="0A457909"/>
    <w:rsid w:val="0AB25255"/>
    <w:rsid w:val="0B1315A9"/>
    <w:rsid w:val="0BA65551"/>
    <w:rsid w:val="0BB12EBA"/>
    <w:rsid w:val="0C617CA9"/>
    <w:rsid w:val="0D781E71"/>
    <w:rsid w:val="0E8A0D00"/>
    <w:rsid w:val="0FB81889"/>
    <w:rsid w:val="0FCD0E6B"/>
    <w:rsid w:val="10A65DEE"/>
    <w:rsid w:val="10AD499B"/>
    <w:rsid w:val="11FC19E4"/>
    <w:rsid w:val="126A20E7"/>
    <w:rsid w:val="127C66BB"/>
    <w:rsid w:val="12A10CC7"/>
    <w:rsid w:val="12D5636B"/>
    <w:rsid w:val="13184C0E"/>
    <w:rsid w:val="13370E6D"/>
    <w:rsid w:val="142A11D8"/>
    <w:rsid w:val="1462763B"/>
    <w:rsid w:val="14915BDE"/>
    <w:rsid w:val="14947590"/>
    <w:rsid w:val="14FD5F97"/>
    <w:rsid w:val="152D6842"/>
    <w:rsid w:val="16331C36"/>
    <w:rsid w:val="169C3C7F"/>
    <w:rsid w:val="173B2E91"/>
    <w:rsid w:val="17D3547E"/>
    <w:rsid w:val="188F2070"/>
    <w:rsid w:val="18A60088"/>
    <w:rsid w:val="192B3DD0"/>
    <w:rsid w:val="1992193B"/>
    <w:rsid w:val="19BD1D6F"/>
    <w:rsid w:val="1A2109CF"/>
    <w:rsid w:val="1A8E38DF"/>
    <w:rsid w:val="1B04486D"/>
    <w:rsid w:val="1B153C49"/>
    <w:rsid w:val="1BC735CD"/>
    <w:rsid w:val="1CE07BE5"/>
    <w:rsid w:val="1D3E4217"/>
    <w:rsid w:val="1D89241A"/>
    <w:rsid w:val="1DC82BE8"/>
    <w:rsid w:val="1F0C5DA2"/>
    <w:rsid w:val="1F3C677C"/>
    <w:rsid w:val="1FD673C7"/>
    <w:rsid w:val="21565681"/>
    <w:rsid w:val="21D96A8C"/>
    <w:rsid w:val="2285228B"/>
    <w:rsid w:val="22AD0B1D"/>
    <w:rsid w:val="230F46F0"/>
    <w:rsid w:val="23AC2254"/>
    <w:rsid w:val="24EE4AC8"/>
    <w:rsid w:val="273361B6"/>
    <w:rsid w:val="274167BE"/>
    <w:rsid w:val="28A0472D"/>
    <w:rsid w:val="29A835AC"/>
    <w:rsid w:val="2A65434F"/>
    <w:rsid w:val="2AFC661B"/>
    <w:rsid w:val="2BEE249C"/>
    <w:rsid w:val="2F146650"/>
    <w:rsid w:val="30A540D6"/>
    <w:rsid w:val="30AA51AB"/>
    <w:rsid w:val="30D065A7"/>
    <w:rsid w:val="310E5321"/>
    <w:rsid w:val="3144296B"/>
    <w:rsid w:val="3146356B"/>
    <w:rsid w:val="327F3A40"/>
    <w:rsid w:val="32A363C6"/>
    <w:rsid w:val="345C37FE"/>
    <w:rsid w:val="358E7A24"/>
    <w:rsid w:val="36227D5E"/>
    <w:rsid w:val="36A929CC"/>
    <w:rsid w:val="39A04924"/>
    <w:rsid w:val="3AEE6EC0"/>
    <w:rsid w:val="3B1D2D08"/>
    <w:rsid w:val="3BC636DB"/>
    <w:rsid w:val="3BD23551"/>
    <w:rsid w:val="3BE76BD0"/>
    <w:rsid w:val="3C1D523E"/>
    <w:rsid w:val="3D1F42E2"/>
    <w:rsid w:val="3D2A01B6"/>
    <w:rsid w:val="3E163F20"/>
    <w:rsid w:val="3E2E63C7"/>
    <w:rsid w:val="3E5E522D"/>
    <w:rsid w:val="3F041011"/>
    <w:rsid w:val="3F7D756C"/>
    <w:rsid w:val="3FC27A03"/>
    <w:rsid w:val="403326AF"/>
    <w:rsid w:val="40715A87"/>
    <w:rsid w:val="409B2657"/>
    <w:rsid w:val="40DA29CB"/>
    <w:rsid w:val="4127124A"/>
    <w:rsid w:val="412F43D8"/>
    <w:rsid w:val="41EC7107"/>
    <w:rsid w:val="42E36F6A"/>
    <w:rsid w:val="431154D0"/>
    <w:rsid w:val="432B1D63"/>
    <w:rsid w:val="435E6BEC"/>
    <w:rsid w:val="43801FED"/>
    <w:rsid w:val="453B6B56"/>
    <w:rsid w:val="45A340FE"/>
    <w:rsid w:val="46FC1A4C"/>
    <w:rsid w:val="47EF33E1"/>
    <w:rsid w:val="48671147"/>
    <w:rsid w:val="4A643F97"/>
    <w:rsid w:val="4A92430E"/>
    <w:rsid w:val="4AC5484B"/>
    <w:rsid w:val="4B444D74"/>
    <w:rsid w:val="4BB40B47"/>
    <w:rsid w:val="4CC03AFC"/>
    <w:rsid w:val="4CCE3E8B"/>
    <w:rsid w:val="4D7C7330"/>
    <w:rsid w:val="4D9023D0"/>
    <w:rsid w:val="4D9A1878"/>
    <w:rsid w:val="4DC91851"/>
    <w:rsid w:val="4E67165E"/>
    <w:rsid w:val="4EA308F0"/>
    <w:rsid w:val="4EFE118B"/>
    <w:rsid w:val="4EFF6E27"/>
    <w:rsid w:val="4FBE4FCA"/>
    <w:rsid w:val="5014674C"/>
    <w:rsid w:val="50E4133B"/>
    <w:rsid w:val="51705511"/>
    <w:rsid w:val="524562FA"/>
    <w:rsid w:val="551F63DE"/>
    <w:rsid w:val="553A41BD"/>
    <w:rsid w:val="55E8781F"/>
    <w:rsid w:val="565F33D3"/>
    <w:rsid w:val="56B05457"/>
    <w:rsid w:val="57621CFC"/>
    <w:rsid w:val="57827BEE"/>
    <w:rsid w:val="57CA16F3"/>
    <w:rsid w:val="58D5034F"/>
    <w:rsid w:val="58FB38B9"/>
    <w:rsid w:val="592956E3"/>
    <w:rsid w:val="593B477A"/>
    <w:rsid w:val="5A2F7FF5"/>
    <w:rsid w:val="5A701946"/>
    <w:rsid w:val="5B4A5459"/>
    <w:rsid w:val="5BA920BB"/>
    <w:rsid w:val="5BCE5086"/>
    <w:rsid w:val="5BD7618C"/>
    <w:rsid w:val="5C2E2793"/>
    <w:rsid w:val="5C8459A3"/>
    <w:rsid w:val="5D436DB3"/>
    <w:rsid w:val="5DA458BA"/>
    <w:rsid w:val="5E773A47"/>
    <w:rsid w:val="5EA74BC9"/>
    <w:rsid w:val="5F906D7E"/>
    <w:rsid w:val="5F9563AA"/>
    <w:rsid w:val="605A7DB4"/>
    <w:rsid w:val="612255FB"/>
    <w:rsid w:val="616A16C3"/>
    <w:rsid w:val="62992F6B"/>
    <w:rsid w:val="62CC3343"/>
    <w:rsid w:val="63390100"/>
    <w:rsid w:val="63A63014"/>
    <w:rsid w:val="64681301"/>
    <w:rsid w:val="64EE64EA"/>
    <w:rsid w:val="65CB24FB"/>
    <w:rsid w:val="66540C13"/>
    <w:rsid w:val="66BF4224"/>
    <w:rsid w:val="6733750E"/>
    <w:rsid w:val="676F70E9"/>
    <w:rsid w:val="6847145B"/>
    <w:rsid w:val="688632DA"/>
    <w:rsid w:val="689556AC"/>
    <w:rsid w:val="68E24AEE"/>
    <w:rsid w:val="69042091"/>
    <w:rsid w:val="69162E5F"/>
    <w:rsid w:val="6AF07845"/>
    <w:rsid w:val="6BBF0644"/>
    <w:rsid w:val="6C0072DD"/>
    <w:rsid w:val="6D267127"/>
    <w:rsid w:val="6D2D0C6B"/>
    <w:rsid w:val="6D5D59B5"/>
    <w:rsid w:val="6E8F1F93"/>
    <w:rsid w:val="6F71557D"/>
    <w:rsid w:val="7018456E"/>
    <w:rsid w:val="7038534D"/>
    <w:rsid w:val="70B45734"/>
    <w:rsid w:val="70D03CCC"/>
    <w:rsid w:val="70E95DBA"/>
    <w:rsid w:val="722E3A16"/>
    <w:rsid w:val="726B0B86"/>
    <w:rsid w:val="72CC5EC7"/>
    <w:rsid w:val="73653502"/>
    <w:rsid w:val="737F118A"/>
    <w:rsid w:val="73A85CA4"/>
    <w:rsid w:val="74146378"/>
    <w:rsid w:val="747405C4"/>
    <w:rsid w:val="74CD120B"/>
    <w:rsid w:val="750A0B8B"/>
    <w:rsid w:val="75312F54"/>
    <w:rsid w:val="765E299A"/>
    <w:rsid w:val="76A52E19"/>
    <w:rsid w:val="77022CE3"/>
    <w:rsid w:val="77BE7A12"/>
    <w:rsid w:val="78326977"/>
    <w:rsid w:val="787747B0"/>
    <w:rsid w:val="79022CA3"/>
    <w:rsid w:val="7917195F"/>
    <w:rsid w:val="791A0C26"/>
    <w:rsid w:val="798849B9"/>
    <w:rsid w:val="79B576B5"/>
    <w:rsid w:val="7A112A5C"/>
    <w:rsid w:val="7ACB69A7"/>
    <w:rsid w:val="7ACD368B"/>
    <w:rsid w:val="7BAF40AC"/>
    <w:rsid w:val="7C5F33C2"/>
    <w:rsid w:val="7CAD1BC0"/>
    <w:rsid w:val="7DE62533"/>
    <w:rsid w:val="7E184848"/>
    <w:rsid w:val="7E351177"/>
    <w:rsid w:val="7F5C56D1"/>
    <w:rsid w:val="7FC94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qFormat="1" w:uiPriority="99"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qFormat="1" w:unhideWhenUsed="0" w:uiPriority="0" w:semiHidden="0" w:name="toc 7"/>
    <w:lsdException w:uiPriority="39" w:name="toc 8"/>
    <w:lsdException w:uiPriority="39" w:name="toc 9"/>
    <w:lsdException w:qFormat="1" w:unhideWhenUsed="0" w:uiPriority="0" w:semiHidden="0" w:name="Normal Indent"/>
    <w:lsdException w:uiPriority="99" w:name="footnote text"/>
    <w:lsdException w:qFormat="1" w:unhideWhenUsed="0" w:uiPriority="99" w:semiHidden="0" w:name="annotation text"/>
    <w:lsdException w:qFormat="1" w:uiPriority="99" w:name="header"/>
    <w:lsdException w:qFormat="1" w:unhideWhenUsed="0" w:uiPriority="99" w:semiHidden="0" w:name="footer"/>
    <w:lsdException w:qFormat="1" w:unhideWhenUsed="0" w:uiPriority="0" w:semiHidden="0"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45"/>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37"/>
    <w:qFormat/>
    <w:uiPriority w:val="9"/>
    <w:pPr>
      <w:keepNext/>
      <w:keepLines/>
      <w:outlineLvl w:val="1"/>
    </w:pPr>
    <w:rPr>
      <w:rFonts w:ascii="Arial" w:hAnsi="Arial" w:eastAsia="黑体"/>
      <w:b/>
      <w:bCs/>
      <w:sz w:val="28"/>
      <w:szCs w:val="32"/>
    </w:rPr>
  </w:style>
  <w:style w:type="paragraph" w:styleId="5">
    <w:name w:val="heading 3"/>
    <w:basedOn w:val="1"/>
    <w:next w:val="1"/>
    <w:link w:val="38"/>
    <w:qFormat/>
    <w:uiPriority w:val="0"/>
    <w:pPr>
      <w:keepNext/>
      <w:keepLines/>
      <w:spacing w:before="260" w:after="260" w:line="416" w:lineRule="auto"/>
      <w:outlineLvl w:val="2"/>
    </w:pPr>
    <w:rPr>
      <w:b/>
      <w:bCs/>
      <w:sz w:val="32"/>
      <w:szCs w:val="32"/>
    </w:rPr>
  </w:style>
  <w:style w:type="paragraph" w:styleId="6">
    <w:name w:val="heading 4"/>
    <w:basedOn w:val="1"/>
    <w:next w:val="1"/>
    <w:link w:val="8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7">
    <w:name w:val="heading 5"/>
    <w:basedOn w:val="1"/>
    <w:next w:val="1"/>
    <w:link w:val="70"/>
    <w:semiHidden/>
    <w:unhideWhenUsed/>
    <w:qFormat/>
    <w:uiPriority w:val="9"/>
    <w:pPr>
      <w:keepNext/>
      <w:keepLines/>
      <w:spacing w:before="280" w:after="290" w:line="376" w:lineRule="auto"/>
      <w:outlineLvl w:val="4"/>
    </w:pPr>
    <w:rPr>
      <w:b/>
      <w:bCs/>
      <w:sz w:val="28"/>
      <w:szCs w:val="28"/>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Layout w:type="fixed"/>
      <w:tblCellMar>
        <w:top w:w="0" w:type="dxa"/>
        <w:left w:w="108" w:type="dxa"/>
        <w:bottom w:w="0" w:type="dxa"/>
        <w:right w:w="108" w:type="dxa"/>
      </w:tblCellMar>
    </w:tblPr>
  </w:style>
  <w:style w:type="paragraph" w:styleId="2">
    <w:name w:val="Body Text"/>
    <w:basedOn w:val="1"/>
    <w:next w:val="1"/>
    <w:link w:val="56"/>
    <w:qFormat/>
    <w:uiPriority w:val="0"/>
    <w:pPr>
      <w:widowControl/>
      <w:snapToGrid w:val="0"/>
      <w:spacing w:before="60" w:after="160" w:line="259" w:lineRule="auto"/>
      <w:ind w:right="113"/>
    </w:pPr>
    <w:rPr>
      <w:kern w:val="0"/>
      <w:sz w:val="18"/>
      <w:szCs w:val="20"/>
    </w:rPr>
  </w:style>
  <w:style w:type="paragraph" w:styleId="8">
    <w:name w:val="toc 7"/>
    <w:basedOn w:val="1"/>
    <w:next w:val="1"/>
    <w:qFormat/>
    <w:uiPriority w:val="0"/>
    <w:pPr>
      <w:widowControl w:val="0"/>
      <w:autoSpaceDE/>
      <w:autoSpaceDN/>
      <w:spacing w:before="0" w:after="0" w:line="240" w:lineRule="auto"/>
      <w:ind w:left="2520" w:firstLine="0"/>
      <w:jc w:val="both"/>
    </w:pPr>
    <w:rPr>
      <w:rFonts w:ascii="Times New Roman" w:eastAsia="宋体"/>
      <w:sz w:val="21"/>
    </w:rPr>
  </w:style>
  <w:style w:type="paragraph" w:styleId="9">
    <w:name w:val="Normal Indent"/>
    <w:basedOn w:val="1"/>
    <w:link w:val="72"/>
    <w:qFormat/>
    <w:uiPriority w:val="0"/>
    <w:pPr>
      <w:adjustRightInd w:val="0"/>
      <w:snapToGrid w:val="0"/>
      <w:spacing w:line="300" w:lineRule="auto"/>
    </w:pPr>
    <w:rPr>
      <w:rFonts w:ascii="FangSong_GB2312" w:eastAsia="FangSong_GB2312"/>
      <w:sz w:val="28"/>
    </w:rPr>
  </w:style>
  <w:style w:type="paragraph" w:styleId="10">
    <w:name w:val="caption"/>
    <w:basedOn w:val="1"/>
    <w:next w:val="1"/>
    <w:link w:val="93"/>
    <w:unhideWhenUsed/>
    <w:qFormat/>
    <w:uiPriority w:val="0"/>
    <w:rPr>
      <w:rFonts w:ascii="Arial" w:hAnsi="Arial" w:eastAsia="黑体" w:cs="Arial"/>
      <w:szCs w:val="22"/>
    </w:rPr>
  </w:style>
  <w:style w:type="paragraph" w:styleId="11">
    <w:name w:val="Document Map"/>
    <w:basedOn w:val="1"/>
    <w:link w:val="50"/>
    <w:semiHidden/>
    <w:unhideWhenUsed/>
    <w:qFormat/>
    <w:uiPriority w:val="99"/>
    <w:rPr>
      <w:rFonts w:ascii="宋体"/>
      <w:sz w:val="18"/>
      <w:szCs w:val="18"/>
    </w:rPr>
  </w:style>
  <w:style w:type="paragraph" w:styleId="12">
    <w:name w:val="annotation text"/>
    <w:basedOn w:val="1"/>
    <w:link w:val="47"/>
    <w:qFormat/>
    <w:uiPriority w:val="99"/>
    <w:pPr>
      <w:jc w:val="left"/>
    </w:pPr>
    <w:rPr>
      <w:kern w:val="0"/>
      <w:sz w:val="24"/>
      <w:szCs w:val="20"/>
    </w:rPr>
  </w:style>
  <w:style w:type="paragraph" w:styleId="13">
    <w:name w:val="Body Text Indent"/>
    <w:basedOn w:val="1"/>
    <w:next w:val="8"/>
    <w:link w:val="69"/>
    <w:semiHidden/>
    <w:unhideWhenUsed/>
    <w:qFormat/>
    <w:uiPriority w:val="99"/>
    <w:pPr>
      <w:spacing w:after="120"/>
      <w:ind w:left="420" w:leftChars="200"/>
    </w:pPr>
  </w:style>
  <w:style w:type="paragraph" w:styleId="14">
    <w:name w:val="Plain Text"/>
    <w:basedOn w:val="1"/>
    <w:link w:val="71"/>
    <w:qFormat/>
    <w:uiPriority w:val="0"/>
    <w:rPr>
      <w:rFonts w:ascii="宋体" w:hAnsi="Courier New"/>
    </w:rPr>
  </w:style>
  <w:style w:type="paragraph" w:styleId="15">
    <w:name w:val="List Bullet 5"/>
    <w:basedOn w:val="1"/>
    <w:semiHidden/>
    <w:unhideWhenUsed/>
    <w:qFormat/>
    <w:uiPriority w:val="99"/>
    <w:pPr>
      <w:numPr>
        <w:ilvl w:val="0"/>
        <w:numId w:val="1"/>
      </w:numPr>
    </w:pPr>
  </w:style>
  <w:style w:type="paragraph" w:styleId="16">
    <w:name w:val="Balloon Text"/>
    <w:basedOn w:val="1"/>
    <w:link w:val="48"/>
    <w:semiHidden/>
    <w:unhideWhenUsed/>
    <w:qFormat/>
    <w:uiPriority w:val="99"/>
    <w:rPr>
      <w:sz w:val="18"/>
      <w:szCs w:val="18"/>
    </w:rPr>
  </w:style>
  <w:style w:type="paragraph" w:styleId="17">
    <w:name w:val="footer"/>
    <w:basedOn w:val="1"/>
    <w:link w:val="39"/>
    <w:qFormat/>
    <w:uiPriority w:val="99"/>
    <w:pPr>
      <w:tabs>
        <w:tab w:val="center" w:pos="4153"/>
        <w:tab w:val="right" w:pos="8306"/>
      </w:tabs>
      <w:snapToGrid w:val="0"/>
      <w:jc w:val="left"/>
    </w:pPr>
    <w:rPr>
      <w:kern w:val="0"/>
      <w:sz w:val="18"/>
      <w:szCs w:val="20"/>
    </w:rPr>
  </w:style>
  <w:style w:type="paragraph" w:styleId="18">
    <w:name w:val="header"/>
    <w:basedOn w:val="1"/>
    <w:link w:val="4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widowControl/>
      <w:tabs>
        <w:tab w:val="right" w:leader="dot" w:pos="9061"/>
      </w:tabs>
      <w:adjustRightInd w:val="0"/>
      <w:snapToGrid w:val="0"/>
      <w:spacing w:before="100" w:beforeAutospacing="1" w:after="100" w:afterAutospacing="1"/>
    </w:pPr>
    <w:rPr>
      <w:rFonts w:cs="宋体-18030"/>
      <w:b/>
      <w:bCs/>
      <w:caps/>
      <w:kern w:val="0"/>
      <w:szCs w:val="22"/>
      <w:lang w:eastAsia="en-US" w:bidi="en-US"/>
    </w:rPr>
  </w:style>
  <w:style w:type="paragraph" w:styleId="20">
    <w:name w:val="index heading"/>
    <w:basedOn w:val="1"/>
    <w:next w:val="21"/>
    <w:qFormat/>
    <w:uiPriority w:val="0"/>
    <w:rPr>
      <w:szCs w:val="20"/>
    </w:rPr>
  </w:style>
  <w:style w:type="paragraph" w:styleId="21">
    <w:name w:val="index 1"/>
    <w:basedOn w:val="1"/>
    <w:next w:val="1"/>
    <w:unhideWhenUsed/>
    <w:qFormat/>
    <w:uiPriority w:val="99"/>
    <w:pPr>
      <w:jc w:val="center"/>
    </w:pPr>
    <w:rPr>
      <w:szCs w:val="21"/>
    </w:rPr>
  </w:style>
  <w:style w:type="paragraph" w:styleId="22">
    <w:name w:val="Normal (Web)"/>
    <w:basedOn w:val="1"/>
    <w:link w:val="40"/>
    <w:qFormat/>
    <w:uiPriority w:val="99"/>
    <w:pPr>
      <w:widowControl/>
      <w:spacing w:before="100" w:beforeAutospacing="1" w:after="100" w:afterAutospacing="1"/>
      <w:jc w:val="left"/>
    </w:pPr>
    <w:rPr>
      <w:rFonts w:ascii="宋体" w:hAnsi="宋体"/>
      <w:kern w:val="0"/>
      <w:sz w:val="24"/>
      <w:szCs w:val="20"/>
    </w:rPr>
  </w:style>
  <w:style w:type="paragraph" w:styleId="23">
    <w:name w:val="Body Text First Indent"/>
    <w:basedOn w:val="2"/>
    <w:next w:val="1"/>
    <w:qFormat/>
    <w:uiPriority w:val="99"/>
    <w:pPr>
      <w:spacing w:after="120" w:line="240" w:lineRule="auto"/>
      <w:ind w:firstLine="420" w:firstLineChars="100"/>
    </w:pPr>
    <w:rPr>
      <w:sz w:val="21"/>
      <w:szCs w:val="24"/>
    </w:rPr>
  </w:style>
  <w:style w:type="paragraph" w:styleId="24">
    <w:name w:val="Body Text First Indent 2"/>
    <w:basedOn w:val="13"/>
    <w:next w:val="23"/>
    <w:qFormat/>
    <w:uiPriority w:val="0"/>
    <w:pPr>
      <w:spacing w:before="60" w:after="120"/>
      <w:ind w:left="420" w:firstLine="210"/>
    </w:pPr>
    <w:rPr>
      <w:rFonts w:ascii="Times New Roman" w:eastAsia="宋体"/>
      <w:color w:val="auto"/>
      <w:kern w:val="0"/>
      <w:sz w:val="18"/>
      <w:szCs w:val="24"/>
    </w:rPr>
  </w:style>
  <w:style w:type="table" w:styleId="26">
    <w:name w:val="Table Grid"/>
    <w:basedOn w:val="25"/>
    <w:qFormat/>
    <w:uiPriority w:val="99"/>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styleId="28">
    <w:name w:val="Strong"/>
    <w:basedOn w:val="27"/>
    <w:qFormat/>
    <w:uiPriority w:val="22"/>
    <w:rPr>
      <w:b/>
    </w:rPr>
  </w:style>
  <w:style w:type="character" w:styleId="29">
    <w:name w:val="page number"/>
    <w:basedOn w:val="27"/>
    <w:qFormat/>
    <w:uiPriority w:val="0"/>
  </w:style>
  <w:style w:type="character" w:styleId="30">
    <w:name w:val="Emphasis"/>
    <w:basedOn w:val="27"/>
    <w:qFormat/>
    <w:uiPriority w:val="20"/>
    <w:rPr>
      <w:i/>
      <w:iCs/>
    </w:rPr>
  </w:style>
  <w:style w:type="character" w:styleId="31">
    <w:name w:val="Hyperlink"/>
    <w:basedOn w:val="27"/>
    <w:semiHidden/>
    <w:unhideWhenUsed/>
    <w:qFormat/>
    <w:uiPriority w:val="99"/>
    <w:rPr>
      <w:color w:val="0000FF"/>
      <w:u w:val="single"/>
    </w:rPr>
  </w:style>
  <w:style w:type="character" w:styleId="32">
    <w:name w:val="annotation reference"/>
    <w:basedOn w:val="27"/>
    <w:semiHidden/>
    <w:qFormat/>
    <w:uiPriority w:val="0"/>
    <w:rPr>
      <w:sz w:val="21"/>
    </w:rPr>
  </w:style>
  <w:style w:type="paragraph" w:customStyle="1" w:styleId="33">
    <w:name w:val="Default"/>
    <w:basedOn w:val="34"/>
    <w:link w:val="41"/>
    <w:qFormat/>
    <w:uiPriority w:val="0"/>
    <w:pPr>
      <w:widowControl w:val="0"/>
      <w:autoSpaceDE w:val="0"/>
      <w:autoSpaceDN w:val="0"/>
      <w:adjustRightInd w:val="0"/>
      <w:spacing w:after="200" w:line="276" w:lineRule="auto"/>
    </w:pPr>
    <w:rPr>
      <w:rFonts w:ascii="FangSong_GB2312" w:hAnsi="Times New Roman" w:eastAsia="FangSong_GB2312" w:cs="Times New Roman"/>
      <w:color w:val="000000"/>
      <w:kern w:val="0"/>
      <w:sz w:val="24"/>
      <w:szCs w:val="24"/>
      <w:lang w:val="en-US" w:eastAsia="zh-CN" w:bidi="ar-SA"/>
    </w:rPr>
  </w:style>
  <w:style w:type="paragraph" w:customStyle="1" w:styleId="34">
    <w:name w:val="标题 段落4级"/>
    <w:basedOn w:val="35"/>
    <w:qFormat/>
    <w:uiPriority w:val="0"/>
    <w:pPr>
      <w:spacing w:line="500" w:lineRule="exact"/>
      <w:outlineLvl w:val="3"/>
    </w:pPr>
    <w:rPr>
      <w:rFonts w:ascii="Times New Roman" w:hAnsi="Times New Roman" w:eastAsia="仿宋_GB2312" w:cs="Calibri"/>
      <w:b/>
      <w:kern w:val="2"/>
      <w:sz w:val="28"/>
      <w:szCs w:val="24"/>
      <w:lang w:val="en-US" w:eastAsia="zh-CN" w:bidi="ar-SA"/>
    </w:rPr>
  </w:style>
  <w:style w:type="paragraph" w:customStyle="1" w:styleId="35">
    <w:name w:val="正文 文本"/>
    <w:qFormat/>
    <w:uiPriority w:val="0"/>
    <w:pPr>
      <w:widowControl w:val="0"/>
      <w:snapToGrid w:val="0"/>
      <w:spacing w:line="500" w:lineRule="exact"/>
      <w:ind w:firstLine="200" w:firstLineChars="200"/>
      <w:jc w:val="both"/>
    </w:pPr>
    <w:rPr>
      <w:rFonts w:ascii="Times New Roman" w:hAnsi="Times New Roman" w:eastAsia="仿宋_GB2312" w:cs="Times New Roman"/>
      <w:kern w:val="2"/>
      <w:sz w:val="28"/>
      <w:szCs w:val="24"/>
      <w:lang w:val="en-US" w:eastAsia="zh-CN" w:bidi="ar-SA"/>
    </w:rPr>
  </w:style>
  <w:style w:type="paragraph" w:customStyle="1" w:styleId="36">
    <w:name w:val="样式1"/>
    <w:basedOn w:val="20"/>
    <w:next w:val="1"/>
    <w:qFormat/>
    <w:uiPriority w:val="0"/>
    <w:pPr>
      <w:widowControl/>
      <w:adjustRightInd w:val="0"/>
      <w:snapToGrid w:val="0"/>
      <w:jc w:val="center"/>
    </w:pPr>
    <w:rPr>
      <w:rFonts w:ascii="宋体" w:hAnsi="宋体"/>
      <w:spacing w:val="-12"/>
      <w:kern w:val="0"/>
      <w:szCs w:val="28"/>
      <w:lang w:eastAsia="en-US" w:bidi="en-US"/>
    </w:rPr>
  </w:style>
  <w:style w:type="character" w:customStyle="1" w:styleId="37">
    <w:name w:val="标题 2 Char"/>
    <w:basedOn w:val="27"/>
    <w:link w:val="4"/>
    <w:qFormat/>
    <w:uiPriority w:val="9"/>
    <w:rPr>
      <w:rFonts w:ascii="Arial" w:hAnsi="Arial" w:eastAsia="黑体" w:cs="Times New Roman"/>
      <w:b/>
      <w:bCs/>
      <w:sz w:val="28"/>
      <w:szCs w:val="32"/>
    </w:rPr>
  </w:style>
  <w:style w:type="character" w:customStyle="1" w:styleId="38">
    <w:name w:val="标题 3 Char"/>
    <w:basedOn w:val="27"/>
    <w:link w:val="5"/>
    <w:qFormat/>
    <w:uiPriority w:val="0"/>
    <w:rPr>
      <w:rFonts w:ascii="Times New Roman" w:hAnsi="Times New Roman" w:eastAsia="宋体" w:cs="Times New Roman"/>
      <w:b/>
      <w:bCs/>
      <w:sz w:val="32"/>
      <w:szCs w:val="32"/>
    </w:rPr>
  </w:style>
  <w:style w:type="character" w:customStyle="1" w:styleId="39">
    <w:name w:val="页脚 Char"/>
    <w:basedOn w:val="27"/>
    <w:link w:val="17"/>
    <w:qFormat/>
    <w:uiPriority w:val="99"/>
    <w:rPr>
      <w:rFonts w:ascii="Times New Roman" w:hAnsi="Times New Roman" w:eastAsia="宋体" w:cs="Times New Roman"/>
      <w:kern w:val="0"/>
      <w:sz w:val="18"/>
      <w:szCs w:val="20"/>
    </w:rPr>
  </w:style>
  <w:style w:type="character" w:customStyle="1" w:styleId="40">
    <w:name w:val="普通(网站) Char"/>
    <w:link w:val="22"/>
    <w:qFormat/>
    <w:locked/>
    <w:uiPriority w:val="0"/>
    <w:rPr>
      <w:rFonts w:ascii="宋体" w:hAnsi="宋体" w:eastAsia="宋体" w:cs="Times New Roman"/>
      <w:kern w:val="0"/>
      <w:sz w:val="24"/>
      <w:szCs w:val="20"/>
    </w:rPr>
  </w:style>
  <w:style w:type="character" w:customStyle="1" w:styleId="41">
    <w:name w:val="Default Char"/>
    <w:link w:val="33"/>
    <w:qFormat/>
    <w:locked/>
    <w:uiPriority w:val="0"/>
    <w:rPr>
      <w:rFonts w:ascii="FangSong_GB2312" w:hAnsi="Times New Roman" w:eastAsia="FangSong_GB2312" w:cs="Times New Roman"/>
      <w:color w:val="000000"/>
      <w:kern w:val="0"/>
      <w:sz w:val="24"/>
      <w:szCs w:val="24"/>
    </w:rPr>
  </w:style>
  <w:style w:type="paragraph" w:customStyle="1" w:styleId="42">
    <w:name w:val="表头"/>
    <w:basedOn w:val="1"/>
    <w:link w:val="43"/>
    <w:qFormat/>
    <w:uiPriority w:val="0"/>
    <w:pPr>
      <w:jc w:val="center"/>
    </w:pPr>
    <w:rPr>
      <w:b/>
    </w:rPr>
  </w:style>
  <w:style w:type="character" w:customStyle="1" w:styleId="43">
    <w:name w:val="表头 Char"/>
    <w:link w:val="42"/>
    <w:qFormat/>
    <w:uiPriority w:val="0"/>
    <w:rPr>
      <w:rFonts w:ascii="Times New Roman" w:hAnsi="Times New Roman" w:eastAsia="宋体" w:cs="Times New Roman"/>
      <w:b/>
      <w:szCs w:val="24"/>
    </w:rPr>
  </w:style>
  <w:style w:type="character" w:customStyle="1" w:styleId="44">
    <w:name w:val="页眉 Char"/>
    <w:basedOn w:val="27"/>
    <w:link w:val="18"/>
    <w:semiHidden/>
    <w:qFormat/>
    <w:uiPriority w:val="99"/>
    <w:rPr>
      <w:rFonts w:ascii="Times New Roman" w:hAnsi="Times New Roman" w:eastAsia="宋体" w:cs="Times New Roman"/>
      <w:sz w:val="18"/>
      <w:szCs w:val="18"/>
    </w:rPr>
  </w:style>
  <w:style w:type="character" w:customStyle="1" w:styleId="45">
    <w:name w:val="标题 1 Char"/>
    <w:basedOn w:val="27"/>
    <w:link w:val="3"/>
    <w:qFormat/>
    <w:uiPriority w:val="9"/>
    <w:rPr>
      <w:rFonts w:ascii="Times New Roman" w:hAnsi="Times New Roman" w:eastAsia="宋体" w:cs="Times New Roman"/>
      <w:b/>
      <w:bCs/>
      <w:kern w:val="44"/>
      <w:sz w:val="44"/>
      <w:szCs w:val="44"/>
    </w:rPr>
  </w:style>
  <w:style w:type="paragraph" w:styleId="46">
    <w:name w:val="List Paragraph"/>
    <w:basedOn w:val="1"/>
    <w:qFormat/>
    <w:uiPriority w:val="34"/>
    <w:pPr>
      <w:ind w:firstLine="420" w:firstLineChars="200"/>
    </w:pPr>
  </w:style>
  <w:style w:type="character" w:customStyle="1" w:styleId="47">
    <w:name w:val="批注文字 Char"/>
    <w:basedOn w:val="27"/>
    <w:link w:val="12"/>
    <w:qFormat/>
    <w:uiPriority w:val="99"/>
    <w:rPr>
      <w:rFonts w:ascii="Times New Roman" w:hAnsi="Times New Roman" w:eastAsia="宋体" w:cs="Times New Roman"/>
      <w:kern w:val="0"/>
      <w:sz w:val="24"/>
      <w:szCs w:val="20"/>
    </w:rPr>
  </w:style>
  <w:style w:type="character" w:customStyle="1" w:styleId="48">
    <w:name w:val="批注框文本 Char"/>
    <w:basedOn w:val="27"/>
    <w:link w:val="16"/>
    <w:semiHidden/>
    <w:qFormat/>
    <w:uiPriority w:val="99"/>
    <w:rPr>
      <w:rFonts w:ascii="Times New Roman" w:hAnsi="Times New Roman" w:eastAsia="宋体" w:cs="Times New Roman"/>
      <w:sz w:val="18"/>
      <w:szCs w:val="18"/>
    </w:rPr>
  </w:style>
  <w:style w:type="paragraph" w:customStyle="1" w:styleId="49">
    <w:name w:val="Table Paragraph"/>
    <w:basedOn w:val="1"/>
    <w:qFormat/>
    <w:uiPriority w:val="1"/>
    <w:pPr>
      <w:spacing w:line="360" w:lineRule="auto"/>
      <w:jc w:val="left"/>
    </w:pPr>
    <w:rPr>
      <w:rFonts w:ascii="宋体" w:hAnsi="宋体" w:cs="宋体"/>
      <w:sz w:val="24"/>
      <w:lang w:val="zh-CN" w:bidi="zh-CN"/>
    </w:rPr>
  </w:style>
  <w:style w:type="character" w:customStyle="1" w:styleId="50">
    <w:name w:val="文档结构图 Char"/>
    <w:basedOn w:val="27"/>
    <w:link w:val="11"/>
    <w:semiHidden/>
    <w:qFormat/>
    <w:uiPriority w:val="99"/>
    <w:rPr>
      <w:rFonts w:ascii="宋体" w:hAnsi="Times New Roman" w:eastAsia="宋体" w:cs="Times New Roman"/>
      <w:sz w:val="18"/>
      <w:szCs w:val="18"/>
    </w:rPr>
  </w:style>
  <w:style w:type="paragraph" w:customStyle="1" w:styleId="51">
    <w:name w:val="【表中文字】"/>
    <w:basedOn w:val="1"/>
    <w:qFormat/>
    <w:uiPriority w:val="0"/>
    <w:pPr>
      <w:jc w:val="center"/>
    </w:pPr>
    <w:rPr>
      <w:kern w:val="0"/>
      <w:sz w:val="20"/>
      <w:szCs w:val="20"/>
      <w:lang w:val="zh-CN"/>
    </w:rPr>
  </w:style>
  <w:style w:type="paragraph" w:customStyle="1" w:styleId="52">
    <w:name w:val="【正文】"/>
    <w:basedOn w:val="1"/>
    <w:qFormat/>
    <w:uiPriority w:val="0"/>
    <w:pPr>
      <w:spacing w:before="120" w:after="120" w:line="312" w:lineRule="auto"/>
      <w:ind w:firstLine="200" w:firstLineChars="200"/>
    </w:pPr>
    <w:rPr>
      <w:rFonts w:ascii="宋体" w:hAnsi="宋体"/>
      <w:kern w:val="0"/>
      <w:sz w:val="24"/>
    </w:rPr>
  </w:style>
  <w:style w:type="paragraph" w:customStyle="1" w:styleId="53">
    <w:name w:val="棚户区3号正文"/>
    <w:basedOn w:val="1"/>
    <w:qFormat/>
    <w:uiPriority w:val="0"/>
    <w:pPr>
      <w:spacing w:line="360" w:lineRule="auto"/>
      <w:ind w:firstLine="200" w:firstLineChars="200"/>
    </w:pPr>
    <w:rPr>
      <w:rFonts w:cs="宋体"/>
      <w:color w:val="000000"/>
      <w:kern w:val="0"/>
      <w:sz w:val="24"/>
    </w:rPr>
  </w:style>
  <w:style w:type="character" w:customStyle="1" w:styleId="54">
    <w:name w:val="表格头 Char"/>
    <w:link w:val="55"/>
    <w:qFormat/>
    <w:locked/>
    <w:uiPriority w:val="0"/>
    <w:rPr>
      <w:rFonts w:ascii="FangSong_GB2312" w:eastAsia="FangSong_GB2312"/>
      <w:b/>
      <w:sz w:val="28"/>
      <w:szCs w:val="24"/>
    </w:rPr>
  </w:style>
  <w:style w:type="paragraph" w:customStyle="1" w:styleId="55">
    <w:name w:val="表格头"/>
    <w:basedOn w:val="1"/>
    <w:link w:val="54"/>
    <w:qFormat/>
    <w:uiPriority w:val="0"/>
    <w:pPr>
      <w:adjustRightInd w:val="0"/>
      <w:snapToGrid w:val="0"/>
      <w:jc w:val="center"/>
    </w:pPr>
    <w:rPr>
      <w:rFonts w:ascii="FangSong_GB2312" w:eastAsia="FangSong_GB2312" w:hAnsiTheme="minorHAnsi" w:cstheme="minorBidi"/>
      <w:b/>
      <w:sz w:val="28"/>
    </w:rPr>
  </w:style>
  <w:style w:type="character" w:customStyle="1" w:styleId="56">
    <w:name w:val="正文文本 Char"/>
    <w:basedOn w:val="27"/>
    <w:link w:val="2"/>
    <w:qFormat/>
    <w:uiPriority w:val="0"/>
    <w:rPr>
      <w:rFonts w:ascii="Times New Roman" w:hAnsi="Times New Roman" w:eastAsia="宋体" w:cs="Times New Roman"/>
      <w:kern w:val="0"/>
      <w:sz w:val="18"/>
      <w:szCs w:val="20"/>
    </w:rPr>
  </w:style>
  <w:style w:type="character" w:customStyle="1" w:styleId="57">
    <w:name w:val="表格 Char"/>
    <w:link w:val="58"/>
    <w:qFormat/>
    <w:locked/>
    <w:uiPriority w:val="0"/>
    <w:rPr>
      <w:rFonts w:ascii="宋体"/>
    </w:rPr>
  </w:style>
  <w:style w:type="paragraph" w:customStyle="1" w:styleId="58">
    <w:name w:val="表格"/>
    <w:basedOn w:val="36"/>
    <w:link w:val="57"/>
    <w:qFormat/>
    <w:uiPriority w:val="0"/>
    <w:pPr>
      <w:adjustRightInd w:val="0"/>
      <w:snapToGrid w:val="0"/>
      <w:spacing w:beforeLines="10" w:afterLines="10" w:line="259" w:lineRule="auto"/>
      <w:jc w:val="center"/>
    </w:pPr>
    <w:rPr>
      <w:rFonts w:ascii="宋体" w:hAnsiTheme="minorHAnsi" w:eastAsiaTheme="minorEastAsia" w:cstheme="minorBidi"/>
      <w:szCs w:val="22"/>
    </w:rPr>
  </w:style>
  <w:style w:type="character" w:customStyle="1" w:styleId="59">
    <w:name w:val="表头2-lcc Char"/>
    <w:link w:val="60"/>
    <w:qFormat/>
    <w:uiPriority w:val="0"/>
    <w:rPr>
      <w:rFonts w:eastAsia="仿宋"/>
      <w:b/>
      <w:bCs/>
      <w:color w:val="000000"/>
      <w:szCs w:val="24"/>
    </w:rPr>
  </w:style>
  <w:style w:type="paragraph" w:customStyle="1" w:styleId="60">
    <w:name w:val="表头2-lcc"/>
    <w:basedOn w:val="1"/>
    <w:link w:val="59"/>
    <w:qFormat/>
    <w:uiPriority w:val="0"/>
    <w:pPr>
      <w:snapToGrid w:val="0"/>
      <w:jc w:val="center"/>
    </w:pPr>
    <w:rPr>
      <w:rFonts w:eastAsia="仿宋" w:asciiTheme="minorHAnsi" w:hAnsiTheme="minorHAnsi" w:cstheme="minorBidi"/>
      <w:b/>
      <w:bCs/>
      <w:color w:val="000000"/>
    </w:rPr>
  </w:style>
  <w:style w:type="paragraph" w:customStyle="1" w:styleId="61">
    <w:name w:val="正文1"/>
    <w:basedOn w:val="1"/>
    <w:qFormat/>
    <w:uiPriority w:val="0"/>
    <w:pPr>
      <w:adjustRightInd w:val="0"/>
      <w:spacing w:line="300" w:lineRule="exact"/>
      <w:ind w:firstLine="1439" w:firstLineChars="585"/>
    </w:pPr>
    <w:rPr>
      <w:rFonts w:ascii="宋体"/>
      <w:kern w:val="0"/>
      <w:szCs w:val="20"/>
    </w:rPr>
  </w:style>
  <w:style w:type="paragraph" w:customStyle="1" w:styleId="62">
    <w:name w:val="二级无"/>
    <w:basedOn w:val="1"/>
    <w:qFormat/>
    <w:uiPriority w:val="0"/>
    <w:pPr>
      <w:widowControl/>
      <w:tabs>
        <w:tab w:val="left" w:pos="2160"/>
      </w:tabs>
      <w:ind w:left="2160" w:hanging="720"/>
      <w:jc w:val="left"/>
      <w:outlineLvl w:val="3"/>
    </w:pPr>
    <w:rPr>
      <w:rFonts w:ascii="宋体"/>
      <w:kern w:val="0"/>
      <w:szCs w:val="21"/>
    </w:rPr>
  </w:style>
  <w:style w:type="character" w:customStyle="1" w:styleId="63">
    <w:name w:val="表头1-lcc Char"/>
    <w:link w:val="64"/>
    <w:qFormat/>
    <w:uiPriority w:val="0"/>
    <w:rPr>
      <w:rFonts w:ascii="Times New Roman" w:hAnsi="Times New Roman" w:eastAsia="FangSong_GB2312"/>
      <w:b/>
      <w:color w:val="000000"/>
      <w:sz w:val="24"/>
      <w:szCs w:val="28"/>
    </w:rPr>
  </w:style>
  <w:style w:type="paragraph" w:customStyle="1" w:styleId="64">
    <w:name w:val="表头1-lcc"/>
    <w:basedOn w:val="1"/>
    <w:link w:val="63"/>
    <w:qFormat/>
    <w:uiPriority w:val="0"/>
    <w:pPr>
      <w:jc w:val="center"/>
    </w:pPr>
    <w:rPr>
      <w:rFonts w:eastAsia="FangSong_GB2312" w:cstheme="minorBidi"/>
      <w:b/>
      <w:color w:val="000000"/>
      <w:sz w:val="24"/>
      <w:szCs w:val="28"/>
    </w:rPr>
  </w:style>
  <w:style w:type="character" w:customStyle="1" w:styleId="65">
    <w:name w:val="表文-lcc Char"/>
    <w:link w:val="66"/>
    <w:qFormat/>
    <w:uiPriority w:val="0"/>
    <w:rPr>
      <w:rFonts w:ascii="Times New Roman" w:hAnsi="Times New Roman" w:eastAsia="仿宋"/>
      <w:bCs/>
      <w:color w:val="000000"/>
      <w:szCs w:val="24"/>
    </w:rPr>
  </w:style>
  <w:style w:type="paragraph" w:customStyle="1" w:styleId="66">
    <w:name w:val="表文-lcc"/>
    <w:basedOn w:val="1"/>
    <w:link w:val="65"/>
    <w:qFormat/>
    <w:uiPriority w:val="0"/>
    <w:pPr>
      <w:snapToGrid w:val="0"/>
      <w:jc w:val="center"/>
    </w:pPr>
    <w:rPr>
      <w:rFonts w:eastAsia="仿宋" w:cstheme="minorBidi"/>
      <w:bCs/>
      <w:color w:val="000000"/>
    </w:rPr>
  </w:style>
  <w:style w:type="paragraph" w:customStyle="1" w:styleId="67">
    <w:name w:val="zl正文"/>
    <w:basedOn w:val="1"/>
    <w:link w:val="68"/>
    <w:qFormat/>
    <w:uiPriority w:val="0"/>
    <w:pPr>
      <w:spacing w:line="360" w:lineRule="auto"/>
      <w:ind w:firstLine="480" w:firstLineChars="200"/>
    </w:pPr>
    <w:rPr>
      <w:sz w:val="24"/>
    </w:rPr>
  </w:style>
  <w:style w:type="character" w:customStyle="1" w:styleId="68">
    <w:name w:val="zl正文 Char"/>
    <w:link w:val="67"/>
    <w:qFormat/>
    <w:locked/>
    <w:uiPriority w:val="0"/>
    <w:rPr>
      <w:rFonts w:ascii="Times New Roman" w:hAnsi="Times New Roman" w:eastAsia="宋体" w:cs="Times New Roman"/>
      <w:sz w:val="24"/>
      <w:szCs w:val="24"/>
    </w:rPr>
  </w:style>
  <w:style w:type="character" w:customStyle="1" w:styleId="69">
    <w:name w:val="正文文本缩进 Char"/>
    <w:basedOn w:val="27"/>
    <w:link w:val="13"/>
    <w:semiHidden/>
    <w:qFormat/>
    <w:uiPriority w:val="99"/>
    <w:rPr>
      <w:rFonts w:ascii="Times New Roman" w:hAnsi="Times New Roman" w:eastAsia="宋体" w:cs="Times New Roman"/>
      <w:szCs w:val="24"/>
    </w:rPr>
  </w:style>
  <w:style w:type="character" w:customStyle="1" w:styleId="70">
    <w:name w:val="标题 5 Char"/>
    <w:basedOn w:val="27"/>
    <w:link w:val="7"/>
    <w:qFormat/>
    <w:uiPriority w:val="9"/>
    <w:rPr>
      <w:rFonts w:ascii="Times New Roman" w:hAnsi="Times New Roman" w:eastAsia="宋体" w:cs="Times New Roman"/>
      <w:b/>
      <w:bCs/>
      <w:sz w:val="28"/>
      <w:szCs w:val="28"/>
    </w:rPr>
  </w:style>
  <w:style w:type="character" w:customStyle="1" w:styleId="71">
    <w:name w:val="纯文本 Char"/>
    <w:basedOn w:val="27"/>
    <w:link w:val="14"/>
    <w:qFormat/>
    <w:uiPriority w:val="0"/>
    <w:rPr>
      <w:rFonts w:ascii="宋体" w:hAnsi="Courier New" w:eastAsia="宋体" w:cs="Times New Roman"/>
      <w:szCs w:val="24"/>
    </w:rPr>
  </w:style>
  <w:style w:type="character" w:customStyle="1" w:styleId="72">
    <w:name w:val="正文缩进 Char"/>
    <w:link w:val="9"/>
    <w:qFormat/>
    <w:uiPriority w:val="0"/>
    <w:rPr>
      <w:rFonts w:ascii="FangSong_GB2312" w:hAnsi="Times New Roman" w:eastAsia="FangSong_GB2312" w:cs="Times New Roman"/>
      <w:sz w:val="28"/>
      <w:szCs w:val="24"/>
    </w:rPr>
  </w:style>
  <w:style w:type="paragraph" w:customStyle="1" w:styleId="73">
    <w:name w:val="样式 样式 正文缩进正文（首行缩进两字） Char Char Char Char Char Char Char表格标题标题4文...."/>
    <w:basedOn w:val="1"/>
    <w:qFormat/>
    <w:uiPriority w:val="0"/>
    <w:pPr>
      <w:widowControl/>
      <w:overflowPunct w:val="0"/>
      <w:adjustRightInd w:val="0"/>
      <w:snapToGrid w:val="0"/>
      <w:spacing w:line="500" w:lineRule="exact"/>
      <w:ind w:firstLine="200" w:firstLineChars="200"/>
      <w:jc w:val="left"/>
    </w:pPr>
    <w:rPr>
      <w:rFonts w:ascii="宋体" w:hAnsi="宋体" w:eastAsia="FangSong_GB2312" w:cs="宋体"/>
      <w:sz w:val="28"/>
    </w:rPr>
  </w:style>
  <w:style w:type="paragraph" w:customStyle="1" w:styleId="74">
    <w:name w:val="正文表格内容"/>
    <w:basedOn w:val="1"/>
    <w:qFormat/>
    <w:uiPriority w:val="0"/>
    <w:pPr>
      <w:spacing w:line="360" w:lineRule="exact"/>
      <w:jc w:val="center"/>
    </w:pPr>
    <w:rPr>
      <w:rFonts w:eastAsia="楷体_GB2312"/>
      <w:color w:val="000000"/>
    </w:rPr>
  </w:style>
  <w:style w:type="character" w:customStyle="1" w:styleId="75">
    <w:name w:val="1 正文 Char"/>
    <w:link w:val="76"/>
    <w:qFormat/>
    <w:locked/>
    <w:uiPriority w:val="0"/>
    <w:rPr>
      <w:sz w:val="24"/>
    </w:rPr>
  </w:style>
  <w:style w:type="paragraph" w:customStyle="1" w:styleId="76">
    <w:name w:val="1 正文"/>
    <w:basedOn w:val="1"/>
    <w:link w:val="75"/>
    <w:qFormat/>
    <w:uiPriority w:val="0"/>
    <w:pPr>
      <w:adjustRightInd w:val="0"/>
      <w:snapToGrid w:val="0"/>
      <w:spacing w:line="360" w:lineRule="auto"/>
      <w:ind w:firstLine="200" w:firstLineChars="200"/>
    </w:pPr>
    <w:rPr>
      <w:rFonts w:asciiTheme="minorHAnsi" w:hAnsiTheme="minorHAnsi" w:eastAsiaTheme="minorEastAsia" w:cstheme="minorBidi"/>
      <w:sz w:val="24"/>
      <w:szCs w:val="22"/>
    </w:rPr>
  </w:style>
  <w:style w:type="paragraph" w:customStyle="1" w:styleId="77">
    <w:name w:val="表格文字2"/>
    <w:basedOn w:val="1"/>
    <w:link w:val="78"/>
    <w:qFormat/>
    <w:uiPriority w:val="0"/>
    <w:pPr>
      <w:tabs>
        <w:tab w:val="left" w:pos="277"/>
        <w:tab w:val="left" w:pos="600"/>
        <w:tab w:val="left" w:pos="780"/>
        <w:tab w:val="left" w:pos="2517"/>
      </w:tabs>
      <w:adjustRightInd w:val="0"/>
      <w:snapToGrid w:val="0"/>
      <w:jc w:val="center"/>
      <w:textAlignment w:val="baseline"/>
    </w:pPr>
    <w:rPr>
      <w:kern w:val="0"/>
      <w:szCs w:val="21"/>
    </w:rPr>
  </w:style>
  <w:style w:type="character" w:customStyle="1" w:styleId="78">
    <w:name w:val="表格文字2 Char"/>
    <w:link w:val="77"/>
    <w:qFormat/>
    <w:uiPriority w:val="0"/>
    <w:rPr>
      <w:rFonts w:ascii="Times New Roman" w:hAnsi="Times New Roman" w:eastAsia="宋体" w:cs="Times New Roman"/>
      <w:kern w:val="0"/>
      <w:szCs w:val="21"/>
    </w:rPr>
  </w:style>
  <w:style w:type="paragraph" w:customStyle="1" w:styleId="79">
    <w:name w:val="正文 首行缩进:  2 字符"/>
    <w:basedOn w:val="1"/>
    <w:qFormat/>
    <w:uiPriority w:val="99"/>
    <w:pPr>
      <w:ind w:firstLine="579" w:firstLineChars="200"/>
    </w:pPr>
    <w:rPr>
      <w:rFonts w:cs="宋体"/>
    </w:rPr>
  </w:style>
  <w:style w:type="paragraph" w:customStyle="1" w:styleId="80">
    <w:name w:val="正文段落"/>
    <w:basedOn w:val="1"/>
    <w:qFormat/>
    <w:uiPriority w:val="0"/>
    <w:pPr>
      <w:spacing w:line="500" w:lineRule="exact"/>
      <w:ind w:firstLine="200" w:firstLineChars="200"/>
    </w:pPr>
    <w:rPr>
      <w:sz w:val="24"/>
    </w:rPr>
  </w:style>
  <w:style w:type="paragraph" w:customStyle="1" w:styleId="81">
    <w:name w:val="正文01"/>
    <w:basedOn w:val="1"/>
    <w:qFormat/>
    <w:uiPriority w:val="0"/>
    <w:pPr>
      <w:spacing w:before="60" w:line="460" w:lineRule="exact"/>
      <w:ind w:firstLine="200" w:firstLineChars="200"/>
    </w:pPr>
    <w:rPr>
      <w:sz w:val="24"/>
    </w:rPr>
  </w:style>
  <w:style w:type="character" w:customStyle="1" w:styleId="82">
    <w:name w:val="标题 4 Char"/>
    <w:basedOn w:val="27"/>
    <w:link w:val="6"/>
    <w:semiHidden/>
    <w:qFormat/>
    <w:uiPriority w:val="9"/>
    <w:rPr>
      <w:rFonts w:asciiTheme="majorHAnsi" w:hAnsiTheme="majorHAnsi" w:eastAsiaTheme="majorEastAsia" w:cstheme="majorBidi"/>
      <w:b/>
      <w:bCs/>
      <w:sz w:val="28"/>
      <w:szCs w:val="28"/>
    </w:rPr>
  </w:style>
  <w:style w:type="character" w:customStyle="1" w:styleId="83">
    <w:name w:val="zl表头 Char"/>
    <w:link w:val="84"/>
    <w:qFormat/>
    <w:locked/>
    <w:uiPriority w:val="0"/>
    <w:rPr>
      <w:sz w:val="24"/>
    </w:rPr>
  </w:style>
  <w:style w:type="paragraph" w:customStyle="1" w:styleId="84">
    <w:name w:val="zl表头"/>
    <w:basedOn w:val="1"/>
    <w:link w:val="83"/>
    <w:qFormat/>
    <w:uiPriority w:val="0"/>
    <w:pPr>
      <w:spacing w:beforeLines="50"/>
      <w:jc w:val="center"/>
    </w:pPr>
    <w:rPr>
      <w:rFonts w:asciiTheme="minorHAnsi" w:hAnsiTheme="minorHAnsi" w:eastAsiaTheme="minorEastAsia" w:cstheme="minorBidi"/>
      <w:sz w:val="24"/>
      <w:szCs w:val="22"/>
    </w:rPr>
  </w:style>
  <w:style w:type="paragraph" w:customStyle="1" w:styleId="85">
    <w:name w:val="首行缩进"/>
    <w:basedOn w:val="1"/>
    <w:qFormat/>
    <w:uiPriority w:val="0"/>
    <w:pPr>
      <w:adjustRightInd w:val="0"/>
      <w:snapToGrid w:val="0"/>
      <w:ind w:firstLine="480"/>
    </w:pPr>
  </w:style>
  <w:style w:type="paragraph" w:customStyle="1" w:styleId="86">
    <w:name w:val="表标题"/>
    <w:next w:val="1"/>
    <w:qFormat/>
    <w:uiPriority w:val="0"/>
    <w:pPr>
      <w:spacing w:before="60"/>
      <w:jc w:val="center"/>
    </w:pPr>
    <w:rPr>
      <w:rFonts w:ascii="Times New Roman" w:hAnsi="Times New Roman" w:eastAsia="宋体" w:cs="Times New Roman"/>
      <w:b/>
      <w:kern w:val="2"/>
      <w:sz w:val="24"/>
      <w:szCs w:val="24"/>
      <w:lang w:val="en-US" w:eastAsia="zh-CN" w:bidi="ar-SA"/>
    </w:rPr>
  </w:style>
  <w:style w:type="paragraph" w:customStyle="1" w:styleId="87">
    <w:name w:val="表格文字"/>
    <w:basedOn w:val="14"/>
    <w:next w:val="88"/>
    <w:qFormat/>
    <w:uiPriority w:val="0"/>
    <w:pPr>
      <w:adjustRightInd w:val="0"/>
      <w:snapToGrid w:val="0"/>
      <w:spacing w:line="360" w:lineRule="auto"/>
      <w:ind w:firstLine="200" w:firstLineChars="200"/>
      <w:jc w:val="center"/>
    </w:pPr>
    <w:rPr>
      <w:rFonts w:ascii="FangSong_GB2312" w:hAnsi="Arial Black" w:cs="宋体"/>
      <w:kern w:val="44"/>
    </w:rPr>
  </w:style>
  <w:style w:type="paragraph" w:customStyle="1" w:styleId="88">
    <w:name w:val="!正文"/>
    <w:basedOn w:val="1"/>
    <w:qFormat/>
    <w:uiPriority w:val="0"/>
    <w:pPr>
      <w:spacing w:line="312" w:lineRule="auto"/>
      <w:ind w:firstLine="200" w:firstLineChars="200"/>
    </w:pPr>
    <w:rPr>
      <w:sz w:val="24"/>
    </w:rPr>
  </w:style>
  <w:style w:type="paragraph" w:customStyle="1" w:styleId="89">
    <w:name w:val="小标题2"/>
    <w:basedOn w:val="6"/>
    <w:next w:val="9"/>
    <w:qFormat/>
    <w:uiPriority w:val="39"/>
    <w:pPr>
      <w:keepNext w:val="0"/>
      <w:keepLines w:val="0"/>
      <w:tabs>
        <w:tab w:val="left" w:pos="1140"/>
        <w:tab w:val="left" w:pos="1259"/>
        <w:tab w:val="left" w:pos="1440"/>
      </w:tabs>
      <w:spacing w:before="0" w:after="0" w:line="500" w:lineRule="exact"/>
      <w:ind w:firstLine="420"/>
      <w:outlineLvl w:val="7"/>
    </w:pPr>
    <w:rPr>
      <w:rFonts w:ascii="Times New Roman" w:hAnsi="Times New Roman" w:eastAsia="宋体" w:cs="Times New Roman"/>
      <w:b w:val="0"/>
      <w:bCs w:val="0"/>
      <w:snapToGrid w:val="0"/>
      <w:szCs w:val="24"/>
    </w:rPr>
  </w:style>
  <w:style w:type="paragraph" w:customStyle="1" w:styleId="90">
    <w:name w:val="title-name"/>
    <w:basedOn w:val="1"/>
    <w:qFormat/>
    <w:uiPriority w:val="0"/>
    <w:pPr>
      <w:widowControl/>
      <w:spacing w:before="100" w:beforeAutospacing="1" w:after="100" w:afterAutospacing="1"/>
      <w:jc w:val="left"/>
    </w:pPr>
    <w:rPr>
      <w:rFonts w:ascii="宋体" w:hAnsi="宋体" w:cs="宋体"/>
      <w:kern w:val="0"/>
      <w:sz w:val="24"/>
    </w:rPr>
  </w:style>
  <w:style w:type="paragraph" w:customStyle="1" w:styleId="91">
    <w:name w:val="title-service"/>
    <w:basedOn w:val="1"/>
    <w:qFormat/>
    <w:uiPriority w:val="0"/>
    <w:pPr>
      <w:widowControl/>
      <w:spacing w:before="100" w:beforeAutospacing="1" w:after="100" w:afterAutospacing="1"/>
      <w:jc w:val="left"/>
    </w:pPr>
    <w:rPr>
      <w:rFonts w:ascii="宋体" w:hAnsi="宋体" w:cs="宋体"/>
      <w:kern w:val="0"/>
      <w:sz w:val="24"/>
    </w:rPr>
  </w:style>
  <w:style w:type="paragraph" w:customStyle="1" w:styleId="92">
    <w:name w:val="LD三级标题"/>
    <w:basedOn w:val="1"/>
    <w:qFormat/>
    <w:uiPriority w:val="0"/>
    <w:pPr>
      <w:keepNext/>
      <w:keepLines/>
      <w:tabs>
        <w:tab w:val="left" w:pos="709"/>
      </w:tabs>
      <w:adjustRightInd w:val="0"/>
      <w:snapToGrid w:val="0"/>
      <w:spacing w:line="360" w:lineRule="auto"/>
      <w:ind w:left="1418"/>
      <w:outlineLvl w:val="2"/>
    </w:pPr>
    <w:rPr>
      <w:rFonts w:eastAsia="黑体"/>
      <w:snapToGrid w:val="0"/>
      <w:color w:val="FF0000"/>
      <w:kern w:val="44"/>
      <w:sz w:val="24"/>
    </w:rPr>
  </w:style>
  <w:style w:type="character" w:customStyle="1" w:styleId="93">
    <w:name w:val="题注 Char"/>
    <w:link w:val="10"/>
    <w:qFormat/>
    <w:locked/>
    <w:uiPriority w:val="0"/>
    <w:rPr>
      <w:rFonts w:ascii="Arial" w:hAnsi="Arial" w:eastAsia="黑体" w:cs="Arial"/>
    </w:rPr>
  </w:style>
  <w:style w:type="paragraph" w:customStyle="1" w:styleId="94">
    <w:name w:val="表格内容"/>
    <w:basedOn w:val="1"/>
    <w:qFormat/>
    <w:uiPriority w:val="0"/>
    <w:pPr>
      <w:overflowPunct w:val="0"/>
      <w:adjustRightInd w:val="0"/>
      <w:spacing w:before="40" w:after="60" w:line="200" w:lineRule="atLeast"/>
      <w:ind w:firstLine="643" w:firstLineChars="200"/>
    </w:pPr>
    <w:rPr>
      <w:rFonts w:ascii="Arial" w:hAnsi="Arial" w:eastAsia="FangSong_GB2312" w:cs="Arial"/>
      <w:sz w:val="24"/>
    </w:rPr>
  </w:style>
  <w:style w:type="character" w:customStyle="1" w:styleId="95">
    <w:name w:val="show-img-bd"/>
    <w:basedOn w:val="27"/>
    <w:qFormat/>
    <w:uiPriority w:val="0"/>
  </w:style>
  <w:style w:type="table" w:customStyle="1" w:styleId="96">
    <w:name w:val="Table Normal"/>
    <w:semiHidden/>
    <w:unhideWhenUsed/>
    <w:qFormat/>
    <w:uiPriority w:val="0"/>
    <w:tblPr>
      <w:tblLayout w:type="fixed"/>
      <w:tblCellMar>
        <w:top w:w="0" w:type="dxa"/>
        <w:left w:w="0" w:type="dxa"/>
        <w:bottom w:w="0" w:type="dxa"/>
        <w:right w:w="0" w:type="dxa"/>
      </w:tblCellMar>
    </w:tblPr>
  </w:style>
  <w:style w:type="character" w:customStyle="1" w:styleId="97">
    <w:name w:val="font01"/>
    <w:basedOn w:val="27"/>
    <w:qFormat/>
    <w:uiPriority w:val="0"/>
    <w:rPr>
      <w:rFonts w:hint="eastAsia" w:ascii="宋体" w:hAnsi="宋体" w:eastAsia="宋体" w:cs="宋体"/>
      <w:color w:val="000000"/>
      <w:sz w:val="21"/>
      <w:szCs w:val="21"/>
      <w:u w:val="none"/>
    </w:rPr>
  </w:style>
  <w:style w:type="paragraph" w:customStyle="1" w:styleId="98">
    <w:name w:val="表格标题"/>
    <w:basedOn w:val="1"/>
    <w:qFormat/>
    <w:uiPriority w:val="0"/>
    <w:pPr>
      <w:widowControl/>
      <w:spacing w:beforeLines="50" w:line="400" w:lineRule="exact"/>
      <w:jc w:val="center"/>
    </w:pPr>
    <w:rPr>
      <w:rFonts w:ascii="宋体" w:hAnsi="宋体" w:eastAsia="Times New Roman" w:cs="宋体"/>
      <w:b/>
      <w:bCs/>
      <w:kern w:val="0"/>
      <w:szCs w:val="20"/>
    </w:rPr>
  </w:style>
  <w:style w:type="character" w:customStyle="1" w:styleId="99">
    <w:name w:val="font11"/>
    <w:basedOn w:val="27"/>
    <w:qFormat/>
    <w:uiPriority w:val="0"/>
    <w:rPr>
      <w:rFonts w:hint="default" w:ascii="Times New Roman" w:hAnsi="Times New Roman" w:cs="Times New Roman"/>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7" Type="http://schemas.openxmlformats.org/officeDocument/2006/relationships/fontTable" Target="fontTable.xml"/><Relationship Id="rId76" Type="http://schemas.openxmlformats.org/officeDocument/2006/relationships/numbering" Target="numbering.xml"/><Relationship Id="rId75" Type="http://schemas.openxmlformats.org/officeDocument/2006/relationships/customXml" Target="../customXml/item1.xml"/><Relationship Id="rId74" Type="http://schemas.openxmlformats.org/officeDocument/2006/relationships/image" Target="media/image38.png"/><Relationship Id="rId73" Type="http://schemas.openxmlformats.org/officeDocument/2006/relationships/image" Target="media/image37.png"/><Relationship Id="rId72" Type="http://schemas.openxmlformats.org/officeDocument/2006/relationships/image" Target="media/image36.png"/><Relationship Id="rId71" Type="http://schemas.openxmlformats.org/officeDocument/2006/relationships/image" Target="media/image35.wmf"/><Relationship Id="rId70" Type="http://schemas.openxmlformats.org/officeDocument/2006/relationships/oleObject" Target="embeddings/oleObject30.bin"/><Relationship Id="rId7" Type="http://schemas.openxmlformats.org/officeDocument/2006/relationships/image" Target="media/image1.jpeg"/><Relationship Id="rId69" Type="http://schemas.openxmlformats.org/officeDocument/2006/relationships/image" Target="media/image34.wmf"/><Relationship Id="rId68" Type="http://schemas.openxmlformats.org/officeDocument/2006/relationships/oleObject" Target="embeddings/oleObject29.bin"/><Relationship Id="rId67" Type="http://schemas.openxmlformats.org/officeDocument/2006/relationships/image" Target="media/image33.wmf"/><Relationship Id="rId66" Type="http://schemas.openxmlformats.org/officeDocument/2006/relationships/oleObject" Target="embeddings/oleObject28.bin"/><Relationship Id="rId65" Type="http://schemas.openxmlformats.org/officeDocument/2006/relationships/image" Target="media/image32.wmf"/><Relationship Id="rId64" Type="http://schemas.openxmlformats.org/officeDocument/2006/relationships/oleObject" Target="embeddings/oleObject27.bin"/><Relationship Id="rId63" Type="http://schemas.openxmlformats.org/officeDocument/2006/relationships/image" Target="media/image31.wmf"/><Relationship Id="rId62" Type="http://schemas.openxmlformats.org/officeDocument/2006/relationships/oleObject" Target="embeddings/oleObject26.bin"/><Relationship Id="rId61" Type="http://schemas.openxmlformats.org/officeDocument/2006/relationships/image" Target="media/image30.wmf"/><Relationship Id="rId60" Type="http://schemas.openxmlformats.org/officeDocument/2006/relationships/oleObject" Target="embeddings/oleObject25.bin"/><Relationship Id="rId6" Type="http://schemas.openxmlformats.org/officeDocument/2006/relationships/theme" Target="theme/theme1.xml"/><Relationship Id="rId59" Type="http://schemas.openxmlformats.org/officeDocument/2006/relationships/image" Target="media/image29.wmf"/><Relationship Id="rId58" Type="http://schemas.openxmlformats.org/officeDocument/2006/relationships/oleObject" Target="embeddings/oleObject24.bin"/><Relationship Id="rId57" Type="http://schemas.openxmlformats.org/officeDocument/2006/relationships/image" Target="media/image28.wmf"/><Relationship Id="rId56" Type="http://schemas.openxmlformats.org/officeDocument/2006/relationships/oleObject" Target="embeddings/oleObject23.bin"/><Relationship Id="rId55" Type="http://schemas.openxmlformats.org/officeDocument/2006/relationships/image" Target="media/image27.wmf"/><Relationship Id="rId54" Type="http://schemas.openxmlformats.org/officeDocument/2006/relationships/oleObject" Target="embeddings/oleObject22.bin"/><Relationship Id="rId53" Type="http://schemas.openxmlformats.org/officeDocument/2006/relationships/image" Target="media/image26.wmf"/><Relationship Id="rId52" Type="http://schemas.openxmlformats.org/officeDocument/2006/relationships/oleObject" Target="embeddings/oleObject21.bin"/><Relationship Id="rId51" Type="http://schemas.openxmlformats.org/officeDocument/2006/relationships/image" Target="media/image25.wmf"/><Relationship Id="rId50" Type="http://schemas.openxmlformats.org/officeDocument/2006/relationships/oleObject" Target="embeddings/oleObject20.bin"/><Relationship Id="rId5" Type="http://schemas.openxmlformats.org/officeDocument/2006/relationships/footer" Target="footer3.xml"/><Relationship Id="rId49" Type="http://schemas.openxmlformats.org/officeDocument/2006/relationships/image" Target="media/image24.wmf"/><Relationship Id="rId48" Type="http://schemas.openxmlformats.org/officeDocument/2006/relationships/oleObject" Target="embeddings/oleObject19.bin"/><Relationship Id="rId47" Type="http://schemas.openxmlformats.org/officeDocument/2006/relationships/image" Target="media/image23.wmf"/><Relationship Id="rId46" Type="http://schemas.openxmlformats.org/officeDocument/2006/relationships/oleObject" Target="embeddings/oleObject18.bin"/><Relationship Id="rId45" Type="http://schemas.openxmlformats.org/officeDocument/2006/relationships/image" Target="media/image22.wmf"/><Relationship Id="rId44" Type="http://schemas.openxmlformats.org/officeDocument/2006/relationships/oleObject" Target="embeddings/oleObject17.bin"/><Relationship Id="rId43" Type="http://schemas.openxmlformats.org/officeDocument/2006/relationships/image" Target="media/image21.wmf"/><Relationship Id="rId42" Type="http://schemas.openxmlformats.org/officeDocument/2006/relationships/oleObject" Target="embeddings/oleObject16.bin"/><Relationship Id="rId41" Type="http://schemas.openxmlformats.org/officeDocument/2006/relationships/image" Target="media/image20.wmf"/><Relationship Id="rId40" Type="http://schemas.openxmlformats.org/officeDocument/2006/relationships/oleObject" Target="embeddings/oleObject15.bin"/><Relationship Id="rId4" Type="http://schemas.openxmlformats.org/officeDocument/2006/relationships/footer" Target="footer2.xml"/><Relationship Id="rId39" Type="http://schemas.openxmlformats.org/officeDocument/2006/relationships/oleObject" Target="embeddings/oleObject14.bin"/><Relationship Id="rId38" Type="http://schemas.openxmlformats.org/officeDocument/2006/relationships/image" Target="media/image19.wmf"/><Relationship Id="rId37" Type="http://schemas.openxmlformats.org/officeDocument/2006/relationships/oleObject" Target="embeddings/oleObject13.bin"/><Relationship Id="rId36" Type="http://schemas.openxmlformats.org/officeDocument/2006/relationships/image" Target="media/image18.wmf"/><Relationship Id="rId35" Type="http://schemas.openxmlformats.org/officeDocument/2006/relationships/oleObject" Target="embeddings/oleObject12.bin"/><Relationship Id="rId34" Type="http://schemas.openxmlformats.org/officeDocument/2006/relationships/image" Target="media/image17.wmf"/><Relationship Id="rId33" Type="http://schemas.openxmlformats.org/officeDocument/2006/relationships/oleObject" Target="embeddings/oleObject11.bin"/><Relationship Id="rId32" Type="http://schemas.openxmlformats.org/officeDocument/2006/relationships/image" Target="media/image16.wmf"/><Relationship Id="rId31" Type="http://schemas.openxmlformats.org/officeDocument/2006/relationships/oleObject" Target="embeddings/oleObject10.bin"/><Relationship Id="rId30" Type="http://schemas.openxmlformats.org/officeDocument/2006/relationships/image" Target="media/image15.wmf"/><Relationship Id="rId3" Type="http://schemas.openxmlformats.org/officeDocument/2006/relationships/footer" Target="footer1.xml"/><Relationship Id="rId29" Type="http://schemas.openxmlformats.org/officeDocument/2006/relationships/oleObject" Target="embeddings/oleObject9.bin"/><Relationship Id="rId28" Type="http://schemas.openxmlformats.org/officeDocument/2006/relationships/image" Target="media/image14.png"/><Relationship Id="rId27" Type="http://schemas.openxmlformats.org/officeDocument/2006/relationships/image" Target="media/image13.wmf"/><Relationship Id="rId26" Type="http://schemas.openxmlformats.org/officeDocument/2006/relationships/oleObject" Target="embeddings/oleObject8.bin"/><Relationship Id="rId25" Type="http://schemas.openxmlformats.org/officeDocument/2006/relationships/image" Target="media/image12.png"/><Relationship Id="rId24" Type="http://schemas.openxmlformats.org/officeDocument/2006/relationships/image" Target="media/image11.emf"/><Relationship Id="rId23" Type="http://schemas.openxmlformats.org/officeDocument/2006/relationships/oleObject" Target="embeddings/oleObject7.bin"/><Relationship Id="rId22" Type="http://schemas.openxmlformats.org/officeDocument/2006/relationships/image" Target="media/image10.png"/><Relationship Id="rId21" Type="http://schemas.openxmlformats.org/officeDocument/2006/relationships/image" Target="media/image9.emf"/><Relationship Id="rId20" Type="http://schemas.openxmlformats.org/officeDocument/2006/relationships/oleObject" Target="embeddings/oleObject6.bin"/><Relationship Id="rId2" Type="http://schemas.openxmlformats.org/officeDocument/2006/relationships/settings" Target="settings.xml"/><Relationship Id="rId19" Type="http://schemas.openxmlformats.org/officeDocument/2006/relationships/image" Target="media/image8.emf"/><Relationship Id="rId18" Type="http://schemas.openxmlformats.org/officeDocument/2006/relationships/oleObject" Target="embeddings/oleObject5.bin"/><Relationship Id="rId17" Type="http://schemas.openxmlformats.org/officeDocument/2006/relationships/image" Target="media/image7.emf"/><Relationship Id="rId16" Type="http://schemas.openxmlformats.org/officeDocument/2006/relationships/oleObject" Target="embeddings/oleObject4.bin"/><Relationship Id="rId15" Type="http://schemas.openxmlformats.org/officeDocument/2006/relationships/image" Target="media/image6.emf"/><Relationship Id="rId14" Type="http://schemas.openxmlformats.org/officeDocument/2006/relationships/oleObject" Target="embeddings/oleObject3.bin"/><Relationship Id="rId13" Type="http://schemas.openxmlformats.org/officeDocument/2006/relationships/image" Target="media/image5.emf"/><Relationship Id="rId12" Type="http://schemas.openxmlformats.org/officeDocument/2006/relationships/oleObject" Target="embeddings/oleObject2.bin"/><Relationship Id="rId11" Type="http://schemas.openxmlformats.org/officeDocument/2006/relationships/image" Target="media/image4.emf"/><Relationship Id="rId10" Type="http://schemas.openxmlformats.org/officeDocument/2006/relationships/oleObject" Target="embeddings/oleObject1.bin"/><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a:solidFill>
          <a:schemeClr val="lt1"/>
        </a:solidFill>
        <a:ln w="6350">
          <a:noFill/>
        </a:ln>
      </a:spPr>
      <a:bodyPr rot="0" vertOverflow="overflow" horzOverflow="overflow" vert="horz" wrap="square" lIns="91440" tIns="45720" rIns="91440" bIns="45720" numCol="1" spcCol="0" rtlCol="0" fromWordArt="0" anchor="t" anchorCtr="0" forceAA="0" compatLnSpc="1">
        <a:noAutofit/>
      </a:bodyPr>
      <a:lstStyle/>
      <a:style>
        <a:lnRef idx="0">
          <a:schemeClr val="accent1"/>
        </a:lnRef>
        <a:fillRef idx="0">
          <a:schemeClr val="accent1"/>
        </a:fillRef>
        <a:effectRef idx="0">
          <a:schemeClr val="accent1"/>
        </a:effectRef>
        <a:fontRef idx="minor">
          <a:schemeClr val="dk1"/>
        </a:fontRef>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Info spid="_x0000_s2055"/>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china</Company>
  <Pages>125</Pages>
  <Words>1731</Words>
  <Characters>1913</Characters>
  <Lines>989</Lines>
  <Paragraphs>278</Paragraphs>
  <TotalTime>1</TotalTime>
  <ScaleCrop>false</ScaleCrop>
  <LinksUpToDate>false</LinksUpToDate>
  <CharactersWithSpaces>1980</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2023-03-30T00:42:00Z</dcterms:created>
  <dc:creator>Administrator</dc:creator>
  <cp:lastModifiedBy>Administrator</cp:lastModifiedBy>
  <cp:lastPrinted>2025-02-17T09:06:00Z</cp:lastPrinted>
  <dcterms:modified xsi:type="dcterms:W3CDTF">2026-05-11T07:15:04Z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105547A06FD149A1940938728E947B22_13</vt:lpwstr>
  </property>
  <property fmtid="{D5CDD505-2E9C-101B-9397-08002B2CF9AE}" pid="4" name="KSOTemplateDocerSaveRecord">
    <vt:lpwstr>eyJoZGlkIjoiNWRjMmMxOGYyODIyY2NlNDUyNjMxNDcyZjU0YjU0ZjMiLCJ1c2VySWQiOiI1NTMwMDg1NzQifQ==</vt:lpwstr>
  </property>
</Properties>
</file>