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仿宋" w:hAnsi="仿宋" w:eastAsia="仿宋" w:cs="仿宋"/>
          <w:bCs/>
          <w:color w:val="auto"/>
          <w:sz w:val="72"/>
          <w:szCs w:val="72"/>
        </w:rPr>
      </w:pPr>
      <w:r>
        <w:rPr>
          <w:rFonts w:hint="eastAsia" w:ascii="仿宋" w:hAnsi="仿宋" w:eastAsia="仿宋" w:cs="仿宋"/>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outlineLvl w:val="0"/>
        <w:rPr>
          <w:rFonts w:hint="eastAsia" w:ascii="华文仿宋" w:hAnsi="华文仿宋" w:eastAsia="华文仿宋" w:cs="华文仿宋"/>
          <w:color w:val="auto"/>
          <w:kern w:val="44"/>
          <w:sz w:val="44"/>
          <w:szCs w:val="44"/>
        </w:rPr>
      </w:pPr>
    </w:p>
    <w:p>
      <w:pPr>
        <w:pStyle w:val="2"/>
        <w:rPr>
          <w:color w:val="auto"/>
        </w:rPr>
      </w:pPr>
    </w:p>
    <w:p>
      <w:pPr>
        <w:ind w:firstLine="1040"/>
        <w:rPr>
          <w:rFonts w:eastAsia="仿宋"/>
          <w:color w:val="auto"/>
          <w:sz w:val="44"/>
          <w:szCs w:val="44"/>
        </w:rPr>
      </w:pPr>
    </w:p>
    <w:p>
      <w:pPr>
        <w:ind w:firstLine="1040"/>
        <w:rPr>
          <w:rFonts w:eastAsia="仿宋"/>
          <w:color w:val="auto"/>
          <w:sz w:val="44"/>
          <w:szCs w:val="44"/>
        </w:rPr>
      </w:pPr>
    </w:p>
    <w:tbl>
      <w:tblPr>
        <w:tblStyle w:val="22"/>
        <w:tblpPr w:leftFromText="180" w:rightFromText="180" w:vertAnchor="text" w:horzAnchor="page" w:tblpX="1680" w:tblpY="75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2"/>
        <w:gridCol w:w="5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2" w:type="dxa"/>
            <w:tcBorders>
              <w:tl2br w:val="nil"/>
              <w:tr2bl w:val="nil"/>
            </w:tcBorders>
            <w:vAlign w:val="center"/>
          </w:tcPr>
          <w:p>
            <w:pPr>
              <w:adjustRightInd w:val="0"/>
              <w:snapToGrid w:val="0"/>
              <w:spacing w:line="360" w:lineRule="auto"/>
              <w:jc w:val="center"/>
              <w:rPr>
                <w:rFonts w:eastAsia="仿宋"/>
                <w:color w:val="auto"/>
                <w:sz w:val="36"/>
                <w:szCs w:val="36"/>
              </w:rPr>
            </w:pPr>
            <w:r>
              <w:rPr>
                <w:rFonts w:eastAsia="仿宋"/>
                <w:color w:val="auto"/>
                <w:sz w:val="36"/>
                <w:szCs w:val="36"/>
              </w:rPr>
              <w:t>项目名称：</w:t>
            </w:r>
          </w:p>
        </w:tc>
        <w:tc>
          <w:tcPr>
            <w:tcW w:w="5978" w:type="dxa"/>
            <w:tcBorders>
              <w:bottom w:val="nil"/>
            </w:tcBorders>
            <w:vAlign w:val="center"/>
          </w:tcPr>
          <w:p>
            <w:pPr>
              <w:adjustRightInd w:val="0"/>
              <w:snapToGrid w:val="0"/>
              <w:spacing w:line="360" w:lineRule="auto"/>
              <w:jc w:val="center"/>
              <w:rPr>
                <w:rFonts w:eastAsia="仿宋"/>
                <w:color w:val="auto"/>
                <w:sz w:val="36"/>
                <w:szCs w:val="36"/>
                <w:u w:val="single"/>
              </w:rPr>
            </w:pPr>
            <w:bookmarkStart w:id="0" w:name="OLE_LINK18"/>
            <w:r>
              <w:rPr>
                <w:rFonts w:hint="eastAsia" w:eastAsia="仿宋"/>
                <w:color w:val="auto"/>
                <w:sz w:val="36"/>
                <w:szCs w:val="36"/>
                <w:u w:val="single"/>
                <w:lang w:eastAsia="zh-CN"/>
              </w:rPr>
              <w:t>年产1200吨港口自动化机械配套件技改项目</w:t>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2" w:type="dxa"/>
            <w:tcBorders>
              <w:tl2br w:val="nil"/>
              <w:tr2bl w:val="nil"/>
            </w:tcBorders>
          </w:tcPr>
          <w:p>
            <w:pPr>
              <w:adjustRightInd w:val="0"/>
              <w:snapToGrid w:val="0"/>
              <w:spacing w:line="360" w:lineRule="auto"/>
              <w:jc w:val="distribute"/>
              <w:rPr>
                <w:rFonts w:eastAsia="仿宋"/>
                <w:color w:val="auto"/>
                <w:sz w:val="36"/>
                <w:szCs w:val="36"/>
              </w:rPr>
            </w:pPr>
            <w:r>
              <w:rPr>
                <w:rFonts w:eastAsia="仿宋"/>
                <w:color w:val="auto"/>
                <w:sz w:val="36"/>
                <w:szCs w:val="36"/>
              </w:rPr>
              <w:t>建设单位（盖章）：</w:t>
            </w:r>
          </w:p>
        </w:tc>
        <w:tc>
          <w:tcPr>
            <w:tcW w:w="5978" w:type="dxa"/>
            <w:tcBorders>
              <w:top w:val="nil"/>
              <w:bottom w:val="nil"/>
            </w:tcBorders>
          </w:tcPr>
          <w:p>
            <w:pPr>
              <w:adjustRightInd w:val="0"/>
              <w:snapToGrid w:val="0"/>
              <w:spacing w:line="360" w:lineRule="auto"/>
              <w:jc w:val="left"/>
              <w:rPr>
                <w:rFonts w:eastAsia="仿宋"/>
                <w:color w:val="auto"/>
                <w:sz w:val="36"/>
                <w:szCs w:val="36"/>
                <w:u w:val="single"/>
              </w:rPr>
            </w:pPr>
            <w:r>
              <w:rPr>
                <w:rFonts w:hint="eastAsia" w:eastAsia="仿宋"/>
                <w:color w:val="auto"/>
                <w:sz w:val="36"/>
                <w:szCs w:val="36"/>
                <w:u w:val="single"/>
              </w:rPr>
              <w:t xml:space="preserve">    </w:t>
            </w:r>
            <w:bookmarkStart w:id="1" w:name="OLE_LINK5"/>
            <w:r>
              <w:rPr>
                <w:rFonts w:hint="eastAsia" w:eastAsia="仿宋"/>
                <w:color w:val="auto"/>
                <w:sz w:val="36"/>
                <w:szCs w:val="36"/>
                <w:u w:val="single"/>
                <w:lang w:eastAsia="zh-CN"/>
              </w:rPr>
              <w:t>南通浩正机械设备有限公司</w:t>
            </w:r>
            <w:bookmarkEnd w:id="1"/>
            <w:r>
              <w:rPr>
                <w:rFonts w:hint="eastAsia" w:eastAsia="仿宋"/>
                <w:color w:val="auto"/>
                <w:sz w:val="36"/>
                <w:szCs w:val="36"/>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2" w:type="dxa"/>
            <w:tcBorders>
              <w:tl2br w:val="nil"/>
              <w:tr2bl w:val="nil"/>
            </w:tcBorders>
          </w:tcPr>
          <w:p>
            <w:pPr>
              <w:adjustRightInd w:val="0"/>
              <w:snapToGrid w:val="0"/>
              <w:spacing w:line="360" w:lineRule="auto"/>
              <w:jc w:val="distribute"/>
              <w:rPr>
                <w:rFonts w:eastAsia="仿宋"/>
                <w:color w:val="auto"/>
                <w:sz w:val="36"/>
                <w:szCs w:val="36"/>
              </w:rPr>
            </w:pPr>
            <w:r>
              <w:rPr>
                <w:rFonts w:eastAsia="仿宋"/>
                <w:color w:val="auto"/>
                <w:sz w:val="36"/>
                <w:szCs w:val="36"/>
              </w:rPr>
              <w:t>编制日期：</w:t>
            </w:r>
          </w:p>
        </w:tc>
        <w:tc>
          <w:tcPr>
            <w:tcW w:w="5978" w:type="dxa"/>
            <w:tcBorders>
              <w:top w:val="nil"/>
              <w:bottom w:val="nil"/>
            </w:tcBorders>
          </w:tcPr>
          <w:p>
            <w:pPr>
              <w:adjustRightInd w:val="0"/>
              <w:snapToGrid w:val="0"/>
              <w:spacing w:line="360" w:lineRule="auto"/>
              <w:rPr>
                <w:rFonts w:ascii="仿宋_GB2312" w:eastAsia="仿宋_GB2312"/>
                <w:color w:val="auto"/>
                <w:sz w:val="36"/>
                <w:szCs w:val="36"/>
                <w:u w:val="single"/>
              </w:rPr>
            </w:pPr>
            <w:r>
              <w:rPr>
                <w:rFonts w:hint="eastAsia" w:ascii="仿宋" w:hAnsi="仿宋" w:eastAsia="仿宋" w:cs="仿宋"/>
                <w:color w:val="auto"/>
                <w:sz w:val="36"/>
                <w:szCs w:val="36"/>
                <w:u w:val="single"/>
              </w:rPr>
              <w:t xml:space="preserve">        二零二</w:t>
            </w:r>
            <w:r>
              <w:rPr>
                <w:rFonts w:hint="eastAsia" w:ascii="仿宋" w:hAnsi="仿宋" w:eastAsia="仿宋" w:cs="仿宋"/>
                <w:color w:val="auto"/>
                <w:sz w:val="36"/>
                <w:szCs w:val="36"/>
                <w:u w:val="single"/>
                <w:lang w:val="en-US" w:eastAsia="zh-CN"/>
              </w:rPr>
              <w:t>五</w:t>
            </w:r>
            <w:r>
              <w:rPr>
                <w:rFonts w:hint="eastAsia" w:ascii="仿宋" w:hAnsi="仿宋" w:eastAsia="仿宋" w:cs="仿宋"/>
                <w:color w:val="auto"/>
                <w:sz w:val="36"/>
                <w:szCs w:val="36"/>
                <w:u w:val="single"/>
              </w:rPr>
              <w:t>年</w:t>
            </w:r>
            <w:r>
              <w:rPr>
                <w:rFonts w:hint="eastAsia" w:ascii="仿宋" w:hAnsi="仿宋" w:eastAsia="仿宋" w:cs="仿宋"/>
                <w:color w:val="auto"/>
                <w:sz w:val="36"/>
                <w:szCs w:val="36"/>
                <w:u w:val="single"/>
                <w:lang w:val="en-US" w:eastAsia="zh-CN"/>
              </w:rPr>
              <w:t>十一</w:t>
            </w:r>
            <w:r>
              <w:rPr>
                <w:rFonts w:hint="eastAsia" w:ascii="仿宋" w:hAnsi="仿宋" w:eastAsia="仿宋" w:cs="仿宋"/>
                <w:color w:val="auto"/>
                <w:sz w:val="36"/>
                <w:szCs w:val="36"/>
                <w:u w:val="single"/>
              </w:rPr>
              <w:t xml:space="preserve">月        </w:t>
            </w:r>
          </w:p>
        </w:tc>
      </w:tr>
    </w:tbl>
    <w:p>
      <w:pPr>
        <w:ind w:firstLine="1040"/>
        <w:rPr>
          <w:rFonts w:eastAsia="仿宋"/>
          <w:color w:val="auto"/>
          <w:sz w:val="44"/>
          <w:szCs w:val="44"/>
        </w:rPr>
      </w:pPr>
    </w:p>
    <w:p>
      <w:pPr>
        <w:adjustRightInd w:val="0"/>
        <w:snapToGrid w:val="0"/>
        <w:spacing w:line="288" w:lineRule="auto"/>
        <w:ind w:firstLine="1040"/>
        <w:rPr>
          <w:rFonts w:ascii="仿宋_GB2312" w:eastAsia="仿宋_GB2312"/>
          <w:b/>
          <w:bCs/>
          <w:color w:val="auto"/>
          <w:sz w:val="36"/>
          <w:szCs w:val="36"/>
          <w:u w:val="single"/>
        </w:rPr>
      </w:pPr>
      <w:bookmarkStart w:id="2" w:name="_Hlk57884087"/>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bookmarkEnd w:id="2"/>
    <w:p>
      <w:pPr>
        <w:adjustRightInd w:val="0"/>
        <w:snapToGrid w:val="0"/>
        <w:spacing w:line="288" w:lineRule="auto"/>
        <w:jc w:val="center"/>
        <w:rPr>
          <w:rFonts w:hint="eastAsia" w:ascii="楷体_GB2312" w:eastAsia="楷体_GB2312"/>
          <w:b/>
          <w:bCs/>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b/>
          <w:bCs/>
          <w:color w:val="auto"/>
          <w:sz w:val="36"/>
          <w:szCs w:val="36"/>
        </w:rPr>
        <w:t>中华人民共和国生态环境部制</w:t>
      </w:r>
    </w:p>
    <w:p>
      <w:pPr>
        <w:pStyle w:val="2"/>
        <w:rPr>
          <w:rFonts w:hint="eastAsia"/>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附图1：建设项目地理位置图；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附图2：建设项目周边环境示意图；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2"/>
          <w:szCs w:val="22"/>
          <w:lang w:val="en-US" w:eastAsia="zh-CN"/>
        </w:rPr>
      </w:pPr>
      <w:r>
        <w:rPr>
          <w:rFonts w:hint="eastAsia"/>
          <w:color w:val="auto"/>
          <w:sz w:val="22"/>
          <w:szCs w:val="22"/>
          <w:lang w:val="en-US" w:eastAsia="zh-CN"/>
        </w:rPr>
        <w:t>附图3：项目周边500米底图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4</w:t>
      </w:r>
      <w:r>
        <w:rPr>
          <w:rFonts w:hint="eastAsia"/>
          <w:color w:val="auto"/>
          <w:sz w:val="22"/>
          <w:szCs w:val="22"/>
        </w:rPr>
        <w:t>：如皋市生态管控区域示意图；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5</w:t>
      </w:r>
      <w:r>
        <w:rPr>
          <w:rFonts w:hint="eastAsia"/>
          <w:color w:val="auto"/>
          <w:sz w:val="22"/>
          <w:szCs w:val="22"/>
          <w:lang w:eastAsia="zh-CN"/>
        </w:rPr>
        <w:t>：“</w:t>
      </w:r>
      <w:r>
        <w:rPr>
          <w:rFonts w:hint="eastAsia"/>
          <w:color w:val="auto"/>
          <w:sz w:val="22"/>
          <w:szCs w:val="22"/>
        </w:rPr>
        <w:t>三区三线”划定示意关系图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6</w:t>
      </w:r>
      <w:r>
        <w:rPr>
          <w:rFonts w:hint="eastAsia"/>
          <w:color w:val="auto"/>
          <w:sz w:val="22"/>
          <w:szCs w:val="22"/>
        </w:rPr>
        <w:t>：本项目厂区平面布置图；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7</w:t>
      </w:r>
      <w:r>
        <w:rPr>
          <w:rFonts w:hint="eastAsia"/>
          <w:color w:val="auto"/>
          <w:sz w:val="22"/>
          <w:szCs w:val="22"/>
        </w:rPr>
        <w:t>：建设项目雨污管网图；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2"/>
          <w:szCs w:val="22"/>
          <w:lang w:val="en-US" w:eastAsia="zh-CN"/>
        </w:rPr>
      </w:pPr>
      <w:r>
        <w:rPr>
          <w:rFonts w:hint="eastAsia"/>
          <w:color w:val="auto"/>
          <w:sz w:val="22"/>
          <w:szCs w:val="22"/>
          <w:lang w:val="en-US" w:eastAsia="zh-CN"/>
        </w:rPr>
        <w:t>附图8：出租方总平面布置图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9</w:t>
      </w:r>
      <w:r>
        <w:rPr>
          <w:rFonts w:hint="eastAsia"/>
          <w:color w:val="auto"/>
          <w:sz w:val="22"/>
          <w:szCs w:val="22"/>
        </w:rPr>
        <w:t>：拟建项目与江苏省生态环境分区管控动态更新成果位置关系图；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10</w:t>
      </w:r>
      <w:r>
        <w:rPr>
          <w:rFonts w:hint="eastAsia"/>
          <w:color w:val="auto"/>
          <w:sz w:val="22"/>
          <w:szCs w:val="22"/>
        </w:rPr>
        <w:t>：拟建项目与江苏省生态环境管控单元位置关系图。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附图</w:t>
      </w:r>
      <w:r>
        <w:rPr>
          <w:rFonts w:hint="eastAsia"/>
          <w:color w:val="auto"/>
          <w:sz w:val="22"/>
          <w:szCs w:val="22"/>
          <w:lang w:val="en-US" w:eastAsia="zh-CN"/>
        </w:rPr>
        <w:t>11</w:t>
      </w:r>
      <w:r>
        <w:rPr>
          <w:rFonts w:hint="eastAsia"/>
          <w:color w:val="auto"/>
          <w:sz w:val="22"/>
          <w:szCs w:val="22"/>
        </w:rPr>
        <w:t>：建设项目水系图；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2"/>
          <w:szCs w:val="22"/>
          <w:lang w:val="en-US" w:eastAsia="zh-CN"/>
        </w:rPr>
      </w:pPr>
      <w:r>
        <w:rPr>
          <w:rFonts w:hint="eastAsia"/>
          <w:color w:val="auto"/>
          <w:sz w:val="22"/>
          <w:szCs w:val="22"/>
          <w:lang w:val="en-US" w:eastAsia="zh-CN"/>
        </w:rPr>
        <w:t>附图12：声环境功能区划图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附件1环评委托书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附件2环评技术合同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附件3项目备案证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附件4营业执照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附件5法人身份证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2"/>
          <w:szCs w:val="22"/>
          <w:lang w:val="en-US" w:eastAsia="zh-CN"/>
        </w:rPr>
      </w:pPr>
      <w:r>
        <w:rPr>
          <w:rFonts w:hint="eastAsia"/>
          <w:color w:val="auto"/>
          <w:sz w:val="22"/>
          <w:szCs w:val="22"/>
        </w:rPr>
        <w:t>附件6</w:t>
      </w:r>
      <w:r>
        <w:rPr>
          <w:rFonts w:hint="eastAsia"/>
          <w:color w:val="auto"/>
          <w:sz w:val="22"/>
          <w:szCs w:val="22"/>
          <w:lang w:val="en-US" w:eastAsia="zh-CN"/>
        </w:rPr>
        <w:t>产权</w:t>
      </w:r>
      <w:r>
        <w:rPr>
          <w:rFonts w:hint="eastAsia"/>
          <w:color w:val="auto"/>
          <w:sz w:val="22"/>
          <w:szCs w:val="22"/>
        </w:rPr>
        <w:t>证</w:t>
      </w:r>
      <w:r>
        <w:rPr>
          <w:rFonts w:hint="eastAsia"/>
          <w:color w:val="auto"/>
          <w:sz w:val="22"/>
          <w:szCs w:val="22"/>
          <w:lang w:eastAsia="zh-CN"/>
        </w:rPr>
        <w:t>、</w:t>
      </w:r>
      <w:r>
        <w:rPr>
          <w:rFonts w:hint="eastAsia"/>
          <w:color w:val="auto"/>
          <w:sz w:val="22"/>
          <w:szCs w:val="22"/>
          <w:lang w:val="en-US" w:eastAsia="zh-CN"/>
        </w:rPr>
        <w:t>租赁合同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附件7建设单位承诺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2"/>
          <w:szCs w:val="22"/>
        </w:rPr>
      </w:pPr>
      <w:r>
        <w:rPr>
          <w:rFonts w:hint="eastAsia"/>
          <w:color w:val="auto"/>
          <w:sz w:val="22"/>
          <w:szCs w:val="22"/>
        </w:rPr>
        <w:t>附件8声明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b w:val="0"/>
          <w:bCs w:val="0"/>
          <w:snapToGrid w:val="0"/>
          <w:color w:val="auto"/>
          <w:sz w:val="22"/>
          <w:szCs w:val="22"/>
        </w:rPr>
      </w:pPr>
      <w:bookmarkStart w:id="3" w:name="OLE_LINK13"/>
      <w:r>
        <w:rPr>
          <w:rFonts w:hint="eastAsia"/>
          <w:color w:val="auto"/>
          <w:sz w:val="22"/>
          <w:szCs w:val="22"/>
        </w:rPr>
        <w:t>附件</w:t>
      </w:r>
      <w:r>
        <w:rPr>
          <w:rFonts w:hint="eastAsia"/>
          <w:color w:val="auto"/>
          <w:sz w:val="22"/>
          <w:szCs w:val="22"/>
          <w:lang w:val="en-US" w:eastAsia="zh-CN"/>
        </w:rPr>
        <w:t>9</w:t>
      </w:r>
      <w:r>
        <w:rPr>
          <w:rFonts w:hint="eastAsia"/>
          <w:color w:val="auto"/>
          <w:sz w:val="22"/>
          <w:szCs w:val="22"/>
        </w:rPr>
        <w:t>噪声检测报告</w:t>
      </w:r>
    </w:p>
    <w:bookmarkEnd w:id="3"/>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aps/>
          <w:snapToGrid w:val="0"/>
          <w:color w:val="auto"/>
          <w:kern w:val="0"/>
          <w:sz w:val="22"/>
          <w:szCs w:val="22"/>
          <w:lang w:val="en-US" w:eastAsia="zh-CN" w:bidi="en-US"/>
        </w:rPr>
      </w:pPr>
      <w:r>
        <w:rPr>
          <w:rFonts w:hint="eastAsia" w:ascii="Times New Roman" w:hAnsi="Times New Roman" w:eastAsia="宋体" w:cs="Times New Roman"/>
          <w:b w:val="0"/>
          <w:bCs w:val="0"/>
          <w:caps/>
          <w:snapToGrid w:val="0"/>
          <w:color w:val="auto"/>
          <w:kern w:val="0"/>
          <w:sz w:val="22"/>
          <w:szCs w:val="22"/>
          <w:lang w:val="en-US" w:eastAsia="zh-CN" w:bidi="en-US"/>
        </w:rPr>
        <w:t>附件1</w:t>
      </w:r>
      <w:r>
        <w:rPr>
          <w:rFonts w:hint="eastAsia" w:cs="Times New Roman"/>
          <w:b w:val="0"/>
          <w:bCs w:val="0"/>
          <w:caps/>
          <w:snapToGrid w:val="0"/>
          <w:color w:val="auto"/>
          <w:kern w:val="0"/>
          <w:sz w:val="22"/>
          <w:szCs w:val="22"/>
          <w:lang w:val="en-US" w:eastAsia="zh-CN" w:bidi="en-US"/>
        </w:rPr>
        <w:t>0 面漆</w:t>
      </w:r>
      <w:r>
        <w:rPr>
          <w:rFonts w:hint="eastAsia" w:ascii="Times New Roman" w:hAnsi="Times New Roman" w:eastAsia="宋体" w:cs="Times New Roman"/>
          <w:b w:val="0"/>
          <w:bCs w:val="0"/>
          <w:caps/>
          <w:snapToGrid w:val="0"/>
          <w:color w:val="auto"/>
          <w:kern w:val="0"/>
          <w:sz w:val="22"/>
          <w:szCs w:val="22"/>
          <w:lang w:val="en-US" w:eastAsia="zh-CN" w:bidi="en-US"/>
        </w:rPr>
        <w:t>MSDS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aps/>
          <w:snapToGrid w:val="0"/>
          <w:color w:val="auto"/>
          <w:kern w:val="0"/>
          <w:sz w:val="22"/>
          <w:szCs w:val="22"/>
          <w:lang w:val="en-US" w:eastAsia="zh-CN" w:bidi="en-US"/>
        </w:rPr>
      </w:pPr>
      <w:r>
        <w:rPr>
          <w:rFonts w:hint="eastAsia" w:cs="Times New Roman"/>
          <w:b w:val="0"/>
          <w:bCs w:val="0"/>
          <w:caps/>
          <w:snapToGrid w:val="0"/>
          <w:color w:val="auto"/>
          <w:kern w:val="0"/>
          <w:sz w:val="22"/>
          <w:szCs w:val="22"/>
          <w:lang w:val="en-US" w:eastAsia="zh-CN" w:bidi="en-US"/>
        </w:rPr>
        <w:t>附件11 稀释剂</w:t>
      </w:r>
      <w:r>
        <w:rPr>
          <w:rFonts w:hint="eastAsia" w:ascii="Times New Roman" w:hAnsi="Times New Roman" w:eastAsia="宋体" w:cs="Times New Roman"/>
          <w:b w:val="0"/>
          <w:bCs w:val="0"/>
          <w:caps/>
          <w:snapToGrid w:val="0"/>
          <w:color w:val="auto"/>
          <w:kern w:val="0"/>
          <w:sz w:val="22"/>
          <w:szCs w:val="22"/>
          <w:lang w:val="en-US" w:eastAsia="zh-CN" w:bidi="en-US"/>
        </w:rPr>
        <w:t>MSDS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aps/>
          <w:snapToGrid w:val="0"/>
          <w:color w:val="auto"/>
          <w:kern w:val="0"/>
          <w:sz w:val="22"/>
          <w:szCs w:val="22"/>
          <w:lang w:val="en-US" w:eastAsia="zh-CN" w:bidi="en-US"/>
        </w:rPr>
      </w:pPr>
      <w:r>
        <w:rPr>
          <w:rFonts w:hint="eastAsia" w:cs="Times New Roman"/>
          <w:b w:val="0"/>
          <w:bCs w:val="0"/>
          <w:caps/>
          <w:snapToGrid w:val="0"/>
          <w:color w:val="auto"/>
          <w:kern w:val="0"/>
          <w:sz w:val="22"/>
          <w:szCs w:val="22"/>
          <w:lang w:val="en-US" w:eastAsia="zh-CN" w:bidi="en-US"/>
        </w:rPr>
        <w:t>附件12 面漆检测报告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aps/>
          <w:snapToGrid w:val="0"/>
          <w:color w:val="auto"/>
          <w:kern w:val="0"/>
          <w:sz w:val="22"/>
          <w:szCs w:val="22"/>
          <w:lang w:val="en-US" w:eastAsia="zh-CN" w:bidi="en-US"/>
        </w:rPr>
      </w:pPr>
      <w:r>
        <w:rPr>
          <w:rFonts w:hint="eastAsia" w:cs="Times New Roman"/>
          <w:b w:val="0"/>
          <w:bCs w:val="0"/>
          <w:caps/>
          <w:snapToGrid w:val="0"/>
          <w:color w:val="auto"/>
          <w:kern w:val="0"/>
          <w:sz w:val="22"/>
          <w:szCs w:val="22"/>
          <w:lang w:val="en-US" w:eastAsia="zh-CN" w:bidi="en-US"/>
        </w:rPr>
        <w:t>附件13焊丝MSDS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aps/>
          <w:snapToGrid w:val="0"/>
          <w:color w:val="auto"/>
          <w:kern w:val="0"/>
          <w:sz w:val="22"/>
          <w:szCs w:val="22"/>
          <w:lang w:val="en-US" w:eastAsia="zh-CN" w:bidi="en-US"/>
        </w:rPr>
      </w:pPr>
      <w:r>
        <w:rPr>
          <w:rFonts w:hint="eastAsia" w:cs="Times New Roman"/>
          <w:b w:val="0"/>
          <w:bCs w:val="0"/>
          <w:caps/>
          <w:snapToGrid w:val="0"/>
          <w:color w:val="auto"/>
          <w:kern w:val="0"/>
          <w:sz w:val="22"/>
          <w:szCs w:val="22"/>
          <w:lang w:val="en-US" w:eastAsia="zh-CN" w:bidi="en-US"/>
        </w:rPr>
        <w:t>附件14切削液MSDS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aps/>
          <w:snapToGrid w:val="0"/>
          <w:color w:val="auto"/>
          <w:kern w:val="0"/>
          <w:sz w:val="22"/>
          <w:szCs w:val="22"/>
          <w:lang w:val="en-US" w:eastAsia="zh-CN" w:bidi="en-US"/>
        </w:rPr>
      </w:pPr>
      <w:r>
        <w:rPr>
          <w:rFonts w:hint="eastAsia" w:ascii="Times New Roman" w:hAnsi="Times New Roman" w:eastAsia="宋体" w:cs="Times New Roman"/>
          <w:b w:val="0"/>
          <w:bCs w:val="0"/>
          <w:caps/>
          <w:snapToGrid w:val="0"/>
          <w:color w:val="auto"/>
          <w:kern w:val="0"/>
          <w:sz w:val="22"/>
          <w:szCs w:val="22"/>
          <w:lang w:val="en-US" w:eastAsia="zh-CN" w:bidi="en-US"/>
        </w:rPr>
        <w:t>附件1</w:t>
      </w:r>
      <w:r>
        <w:rPr>
          <w:rFonts w:hint="eastAsia" w:cs="Times New Roman"/>
          <w:b w:val="0"/>
          <w:bCs w:val="0"/>
          <w:caps/>
          <w:snapToGrid w:val="0"/>
          <w:color w:val="auto"/>
          <w:kern w:val="0"/>
          <w:sz w:val="22"/>
          <w:szCs w:val="22"/>
          <w:lang w:val="en-US" w:eastAsia="zh-CN" w:bidi="en-US"/>
        </w:rPr>
        <w:t>5</w:t>
      </w:r>
      <w:r>
        <w:rPr>
          <w:rFonts w:hint="eastAsia" w:ascii="Times New Roman" w:hAnsi="Times New Roman" w:eastAsia="宋体" w:cs="Times New Roman"/>
          <w:b w:val="0"/>
          <w:bCs w:val="0"/>
          <w:caps/>
          <w:snapToGrid w:val="0"/>
          <w:color w:val="auto"/>
          <w:kern w:val="0"/>
          <w:sz w:val="22"/>
          <w:szCs w:val="22"/>
          <w:lang w:val="en-US" w:eastAsia="zh-CN" w:bidi="en-US"/>
        </w:rPr>
        <w:t>生态环境分区综合服务查询报告</w:t>
      </w:r>
    </w:p>
    <w:p>
      <w:pPr>
        <w:spacing w:line="360" w:lineRule="auto"/>
        <w:rPr>
          <w:rFonts w:hint="eastAsia"/>
          <w:caps/>
          <w:snapToGrid w:val="0"/>
          <w:color w:val="auto"/>
          <w:kern w:val="0"/>
          <w:sz w:val="22"/>
          <w:szCs w:val="22"/>
          <w:lang w:bidi="en-US"/>
        </w:rPr>
      </w:pPr>
      <w:r>
        <w:rPr>
          <w:rFonts w:hint="eastAsia"/>
          <w:caps/>
          <w:snapToGrid w:val="0"/>
          <w:color w:val="auto"/>
          <w:kern w:val="0"/>
          <w:sz w:val="22"/>
          <w:szCs w:val="22"/>
          <w:lang w:bidi="en-US"/>
        </w:rPr>
        <w:t>附件1</w:t>
      </w:r>
      <w:r>
        <w:rPr>
          <w:rFonts w:hint="eastAsia"/>
          <w:caps/>
          <w:snapToGrid w:val="0"/>
          <w:color w:val="auto"/>
          <w:kern w:val="0"/>
          <w:sz w:val="22"/>
          <w:szCs w:val="22"/>
          <w:lang w:val="en-US" w:eastAsia="zh-CN" w:bidi="en-US"/>
        </w:rPr>
        <w:t>6</w:t>
      </w:r>
      <w:r>
        <w:rPr>
          <w:rFonts w:hint="eastAsia"/>
          <w:caps/>
          <w:snapToGrid w:val="0"/>
          <w:color w:val="auto"/>
          <w:kern w:val="0"/>
          <w:sz w:val="22"/>
          <w:szCs w:val="22"/>
          <w:lang w:bidi="en-US"/>
        </w:rPr>
        <w:t>环评自主公示截图</w:t>
      </w:r>
    </w:p>
    <w:p>
      <w:pPr>
        <w:spacing w:line="360" w:lineRule="auto"/>
        <w:rPr>
          <w:rFonts w:hint="eastAsia"/>
          <w:caps/>
          <w:snapToGrid w:val="0"/>
          <w:color w:val="auto"/>
          <w:kern w:val="0"/>
          <w:sz w:val="22"/>
          <w:szCs w:val="22"/>
          <w:lang w:val="en-US" w:eastAsia="zh-CN" w:bidi="en-US"/>
        </w:rPr>
      </w:pPr>
      <w:bookmarkStart w:id="4" w:name="OLE_LINK14"/>
      <w:r>
        <w:rPr>
          <w:rFonts w:hint="eastAsia"/>
          <w:caps/>
          <w:snapToGrid w:val="0"/>
          <w:color w:val="auto"/>
          <w:kern w:val="0"/>
          <w:sz w:val="22"/>
          <w:szCs w:val="22"/>
          <w:lang w:bidi="en-US"/>
        </w:rPr>
        <w:t>附件1</w:t>
      </w:r>
      <w:r>
        <w:rPr>
          <w:rFonts w:hint="eastAsia"/>
          <w:caps/>
          <w:snapToGrid w:val="0"/>
          <w:color w:val="auto"/>
          <w:kern w:val="0"/>
          <w:sz w:val="22"/>
          <w:szCs w:val="22"/>
          <w:lang w:val="en-US" w:eastAsia="zh-CN" w:bidi="en-US"/>
        </w:rPr>
        <w:t>7油性漆不可替代证</w:t>
      </w:r>
      <w:bookmarkEnd w:id="4"/>
      <w:r>
        <w:rPr>
          <w:rFonts w:hint="eastAsia"/>
          <w:caps/>
          <w:snapToGrid w:val="0"/>
          <w:color w:val="auto"/>
          <w:kern w:val="0"/>
          <w:sz w:val="22"/>
          <w:szCs w:val="22"/>
          <w:lang w:val="en-US" w:eastAsia="zh-CN" w:bidi="en-US"/>
        </w:rPr>
        <w:t>明</w:t>
      </w:r>
    </w:p>
    <w:p>
      <w:pPr>
        <w:spacing w:line="360" w:lineRule="auto"/>
        <w:rPr>
          <w:rFonts w:hint="eastAsia"/>
          <w:caps/>
          <w:snapToGrid w:val="0"/>
          <w:color w:val="auto"/>
          <w:kern w:val="0"/>
          <w:sz w:val="22"/>
          <w:szCs w:val="22"/>
          <w:lang w:val="en-US" w:eastAsia="zh-CN" w:bidi="en-US"/>
        </w:rPr>
      </w:pPr>
      <w:r>
        <w:rPr>
          <w:rFonts w:hint="eastAsia"/>
          <w:caps/>
          <w:snapToGrid w:val="0"/>
          <w:color w:val="auto"/>
          <w:kern w:val="0"/>
          <w:sz w:val="22"/>
          <w:szCs w:val="22"/>
          <w:lang w:bidi="en-US"/>
        </w:rPr>
        <w:t>附件</w:t>
      </w:r>
      <w:r>
        <w:rPr>
          <w:rFonts w:hint="eastAsia"/>
          <w:caps/>
          <w:snapToGrid w:val="0"/>
          <w:color w:val="auto"/>
          <w:kern w:val="0"/>
          <w:sz w:val="22"/>
          <w:szCs w:val="22"/>
          <w:lang w:val="en-US" w:eastAsia="zh-CN" w:bidi="en-US"/>
        </w:rPr>
        <w:t>18引用的大气现状监测报告</w:t>
      </w:r>
    </w:p>
    <w:p>
      <w:pPr>
        <w:spacing w:line="360" w:lineRule="auto"/>
        <w:rPr>
          <w:rFonts w:hint="eastAsia"/>
          <w:caps/>
          <w:snapToGrid w:val="0"/>
          <w:color w:val="auto"/>
          <w:kern w:val="0"/>
          <w:sz w:val="22"/>
          <w:szCs w:val="22"/>
          <w:lang w:val="en-US" w:eastAsia="zh-CN" w:bidi="en-US"/>
        </w:rPr>
      </w:pPr>
      <w:r>
        <w:rPr>
          <w:rFonts w:hint="eastAsia"/>
          <w:caps/>
          <w:snapToGrid w:val="0"/>
          <w:color w:val="auto"/>
          <w:kern w:val="0"/>
          <w:sz w:val="22"/>
          <w:szCs w:val="22"/>
          <w:lang w:bidi="en-US"/>
        </w:rPr>
        <w:t>附件</w:t>
      </w:r>
      <w:r>
        <w:rPr>
          <w:rFonts w:hint="eastAsia"/>
          <w:caps/>
          <w:snapToGrid w:val="0"/>
          <w:color w:val="auto"/>
          <w:kern w:val="0"/>
          <w:sz w:val="22"/>
          <w:szCs w:val="22"/>
          <w:lang w:val="en-US" w:eastAsia="zh-CN" w:bidi="en-US"/>
        </w:rPr>
        <w:t>19现有项目危废协议</w:t>
      </w:r>
    </w:p>
    <w:p>
      <w:pPr>
        <w:rPr>
          <w:rFonts w:hint="default"/>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6"/>
        <w:numPr>
          <w:ilvl w:val="0"/>
          <w:numId w:val="2"/>
        </w:numPr>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建设项目基本情况</w:t>
      </w:r>
    </w:p>
    <w:tbl>
      <w:tblPr>
        <w:tblStyle w:val="21"/>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8"/>
        <w:gridCol w:w="2020"/>
        <w:gridCol w:w="1891"/>
        <w:gridCol w:w="3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建设项目名称</w:t>
            </w:r>
          </w:p>
        </w:tc>
        <w:tc>
          <w:tcPr>
            <w:tcW w:w="7152" w:type="dxa"/>
            <w:gridSpan w:val="3"/>
            <w:vAlign w:val="center"/>
          </w:tcPr>
          <w:p>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年产1200吨港口自动化机械配套件技改项目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hint="eastAsia" w:ascii="Times New Roman" w:hAnsi="Times New Roman" w:eastAsia="宋体"/>
                <w:color w:val="auto"/>
                <w:sz w:val="24"/>
              </w:rPr>
              <w:t>项目代码</w:t>
            </w:r>
          </w:p>
        </w:tc>
        <w:tc>
          <w:tcPr>
            <w:tcW w:w="7152" w:type="dxa"/>
            <w:gridSpan w:val="3"/>
            <w:vAlign w:val="center"/>
          </w:tcPr>
          <w:p>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2411-320682-89-02-434161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建设单位联系人</w:t>
            </w:r>
          </w:p>
        </w:tc>
        <w:tc>
          <w:tcPr>
            <w:tcW w:w="2020" w:type="dxa"/>
            <w:vAlign w:val="center"/>
          </w:tcPr>
          <w:p>
            <w:pPr>
              <w:adjustRightInd w:val="0"/>
              <w:snapToGrid w:val="0"/>
              <w:jc w:val="center"/>
              <w:rPr>
                <w:rFonts w:hint="default" w:ascii="Times New Roman" w:hAnsi="Times New Roman" w:eastAsia="宋体"/>
                <w:color w:val="auto"/>
                <w:sz w:val="24"/>
                <w:lang w:val="en-US" w:eastAsia="zh-CN"/>
              </w:rPr>
            </w:pPr>
            <w:bookmarkStart w:id="31" w:name="_GoBack"/>
            <w:bookmarkEnd w:id="31"/>
            <w:r>
              <w:rPr>
                <w:rFonts w:ascii="Times New Roman" w:hAnsi="Times New Roman" w:eastAsia="宋体"/>
                <w:color w:val="auto"/>
                <w:sz w:val="24"/>
              </w:rPr>
              <w:t>陈</w:t>
            </w:r>
            <w:r>
              <w:rPr>
                <w:rFonts w:hint="eastAsia"/>
                <w:color w:val="auto"/>
                <w:sz w:val="24"/>
                <w:lang w:val="en-US" w:eastAsia="zh-CN"/>
              </w:rPr>
              <w:t>**</w:t>
            </w:r>
          </w:p>
        </w:tc>
        <w:tc>
          <w:tcPr>
            <w:tcW w:w="1891" w:type="dxa"/>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联系方式</w:t>
            </w:r>
          </w:p>
        </w:tc>
        <w:tc>
          <w:tcPr>
            <w:tcW w:w="3241" w:type="dxa"/>
            <w:vAlign w:val="center"/>
          </w:tcPr>
          <w:p>
            <w:pPr>
              <w:adjustRightInd w:val="0"/>
              <w:snapToGrid w:val="0"/>
              <w:jc w:val="center"/>
              <w:rPr>
                <w:rFonts w:ascii="Times New Roman" w:hAnsi="Times New Roman" w:eastAsia="宋体"/>
                <w:color w:val="auto"/>
                <w:sz w:val="24"/>
              </w:rPr>
            </w:pPr>
            <w:bookmarkStart w:id="5" w:name="OLE_LINK17"/>
            <w:r>
              <w:rPr>
                <w:rFonts w:ascii="Times New Roman" w:hAnsi="Times New Roman" w:eastAsia="宋体"/>
                <w:color w:val="auto"/>
                <w:sz w:val="24"/>
              </w:rPr>
              <w:t>1</w:t>
            </w:r>
            <w:r>
              <w:rPr>
                <w:rFonts w:hint="eastAsia"/>
                <w:color w:val="auto"/>
                <w:sz w:val="24"/>
                <w:lang w:val="en-US" w:eastAsia="zh-CN"/>
              </w:rPr>
              <w:t>******</w:t>
            </w:r>
            <w:r>
              <w:rPr>
                <w:rFonts w:ascii="Times New Roman" w:hAnsi="Times New Roman" w:eastAsia="宋体"/>
                <w:color w:val="auto"/>
                <w:sz w:val="24"/>
              </w:rPr>
              <w:t>6</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建设地点</w:t>
            </w:r>
          </w:p>
        </w:tc>
        <w:tc>
          <w:tcPr>
            <w:tcW w:w="7152" w:type="dxa"/>
            <w:gridSpan w:val="3"/>
            <w:vAlign w:val="center"/>
          </w:tcPr>
          <w:p>
            <w:pPr>
              <w:adjustRightInd w:val="0"/>
              <w:snapToGrid w:val="0"/>
              <w:jc w:val="center"/>
              <w:rPr>
                <w:rFonts w:hint="eastAsia" w:ascii="Times New Roman" w:hAnsi="Times New Roman" w:eastAsia="宋体"/>
                <w:color w:val="auto"/>
                <w:sz w:val="24"/>
                <w:lang w:eastAsia="zh-CN"/>
              </w:rPr>
            </w:pPr>
            <w:bookmarkStart w:id="6" w:name="OLE_LINK15"/>
            <w:r>
              <w:rPr>
                <w:rFonts w:hint="eastAsia"/>
                <w:color w:val="auto"/>
                <w:sz w:val="24"/>
                <w:lang w:val="en-US" w:eastAsia="zh-CN"/>
              </w:rPr>
              <w:t>江苏省南通市</w:t>
            </w:r>
            <w:r>
              <w:rPr>
                <w:rFonts w:hint="eastAsia" w:ascii="Times New Roman" w:hAnsi="Times New Roman" w:eastAsia="宋体"/>
                <w:color w:val="auto"/>
                <w:sz w:val="24"/>
                <w:lang w:eastAsia="zh-CN"/>
              </w:rPr>
              <w:t>如皋市下原镇兴原路58-7号</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地理坐标</w:t>
            </w:r>
          </w:p>
        </w:tc>
        <w:tc>
          <w:tcPr>
            <w:tcW w:w="7152" w:type="dxa"/>
            <w:gridSpan w:val="3"/>
            <w:vAlign w:val="center"/>
          </w:tcPr>
          <w:p>
            <w:pPr>
              <w:jc w:val="center"/>
              <w:rPr>
                <w:rFonts w:ascii="Times New Roman" w:hAnsi="Times New Roman" w:eastAsia="宋体"/>
                <w:color w:val="auto"/>
                <w:sz w:val="24"/>
              </w:rPr>
            </w:pPr>
            <w:r>
              <w:rPr>
                <w:rFonts w:ascii="Times New Roman" w:hAnsi="Times New Roman" w:eastAsia="宋体"/>
                <w:color w:val="auto"/>
                <w:sz w:val="24"/>
              </w:rPr>
              <w:t>（</w:t>
            </w:r>
            <w:r>
              <w:rPr>
                <w:rFonts w:ascii="Times New Roman" w:hAnsi="Times New Roman" w:eastAsia="宋体"/>
                <w:color w:val="auto"/>
                <w:sz w:val="24"/>
                <w:u w:val="single"/>
              </w:rPr>
              <w:t xml:space="preserve">120 </w:t>
            </w:r>
            <w:r>
              <w:rPr>
                <w:rFonts w:ascii="Times New Roman" w:hAnsi="Times New Roman" w:eastAsia="宋体"/>
                <w:color w:val="auto"/>
                <w:sz w:val="24"/>
              </w:rPr>
              <w:t>度</w:t>
            </w:r>
            <w:r>
              <w:rPr>
                <w:rFonts w:ascii="Times New Roman" w:hAnsi="Times New Roman" w:eastAsia="宋体"/>
                <w:color w:val="auto"/>
                <w:sz w:val="24"/>
                <w:u w:val="single"/>
              </w:rPr>
              <w:t xml:space="preserve"> </w:t>
            </w:r>
            <w:r>
              <w:rPr>
                <w:rFonts w:hint="eastAsia" w:ascii="Times New Roman" w:hAnsi="Times New Roman" w:eastAsia="宋体"/>
                <w:color w:val="auto"/>
                <w:sz w:val="24"/>
                <w:u w:val="single"/>
                <w:lang w:val="en-US" w:eastAsia="zh-CN"/>
              </w:rPr>
              <w:t>3</w:t>
            </w:r>
            <w:r>
              <w:rPr>
                <w:rFonts w:hint="eastAsia" w:ascii="Times New Roman" w:hAnsi="Times New Roman" w:eastAsia="宋体"/>
                <w:color w:val="auto"/>
                <w:sz w:val="24"/>
                <w:u w:val="single"/>
              </w:rPr>
              <w:t>8</w:t>
            </w:r>
            <w:r>
              <w:rPr>
                <w:rFonts w:ascii="Times New Roman" w:hAnsi="Times New Roman" w:eastAsia="宋体"/>
                <w:color w:val="auto"/>
                <w:sz w:val="24"/>
                <w:u w:val="single"/>
              </w:rPr>
              <w:t xml:space="preserve"> </w:t>
            </w:r>
            <w:r>
              <w:rPr>
                <w:rFonts w:ascii="Times New Roman" w:hAnsi="Times New Roman" w:eastAsia="宋体"/>
                <w:color w:val="auto"/>
                <w:sz w:val="24"/>
              </w:rPr>
              <w:t>分</w:t>
            </w:r>
            <w:r>
              <w:rPr>
                <w:rFonts w:ascii="Times New Roman" w:hAnsi="Times New Roman" w:eastAsia="宋体"/>
                <w:color w:val="auto"/>
                <w:sz w:val="24"/>
                <w:u w:val="single"/>
              </w:rPr>
              <w:t xml:space="preserve"> </w:t>
            </w:r>
            <w:r>
              <w:rPr>
                <w:rFonts w:hint="eastAsia" w:ascii="Times New Roman" w:hAnsi="Times New Roman" w:eastAsia="宋体"/>
                <w:color w:val="auto"/>
                <w:sz w:val="24"/>
                <w:u w:val="single"/>
                <w:lang w:val="en-US" w:eastAsia="zh-CN"/>
              </w:rPr>
              <w:t>30.75</w:t>
            </w:r>
            <w:r>
              <w:rPr>
                <w:rFonts w:ascii="Times New Roman" w:hAnsi="Times New Roman" w:eastAsia="宋体"/>
                <w:color w:val="auto"/>
                <w:sz w:val="24"/>
                <w:u w:val="single"/>
              </w:rPr>
              <w:t xml:space="preserve"> </w:t>
            </w:r>
            <w:r>
              <w:rPr>
                <w:rFonts w:ascii="Times New Roman" w:hAnsi="Times New Roman" w:eastAsia="宋体"/>
                <w:color w:val="auto"/>
                <w:sz w:val="24"/>
              </w:rPr>
              <w:t>秒，</w:t>
            </w:r>
            <w:r>
              <w:rPr>
                <w:rFonts w:ascii="Times New Roman" w:hAnsi="Times New Roman" w:eastAsia="宋体"/>
                <w:color w:val="auto"/>
                <w:sz w:val="24"/>
                <w:u w:val="single"/>
              </w:rPr>
              <w:t xml:space="preserve">32 </w:t>
            </w:r>
            <w:r>
              <w:rPr>
                <w:rFonts w:ascii="Times New Roman" w:hAnsi="Times New Roman" w:eastAsia="宋体"/>
                <w:color w:val="auto"/>
                <w:sz w:val="24"/>
              </w:rPr>
              <w:t>度</w:t>
            </w:r>
            <w:r>
              <w:rPr>
                <w:rFonts w:ascii="Times New Roman" w:hAnsi="Times New Roman" w:eastAsia="宋体"/>
                <w:color w:val="auto"/>
                <w:sz w:val="24"/>
                <w:u w:val="single"/>
              </w:rPr>
              <w:t xml:space="preserve"> </w:t>
            </w:r>
            <w:r>
              <w:rPr>
                <w:rFonts w:hint="eastAsia" w:ascii="Times New Roman" w:hAnsi="Times New Roman" w:eastAsia="宋体"/>
                <w:color w:val="auto"/>
                <w:sz w:val="24"/>
                <w:u w:val="single"/>
                <w:lang w:val="en-US" w:eastAsia="zh-CN"/>
              </w:rPr>
              <w:t>13</w:t>
            </w:r>
            <w:r>
              <w:rPr>
                <w:rFonts w:ascii="Times New Roman" w:hAnsi="Times New Roman" w:eastAsia="宋体"/>
                <w:color w:val="auto"/>
                <w:sz w:val="24"/>
                <w:u w:val="single"/>
              </w:rPr>
              <w:t xml:space="preserve"> </w:t>
            </w:r>
            <w:r>
              <w:rPr>
                <w:rFonts w:ascii="Times New Roman" w:hAnsi="Times New Roman" w:eastAsia="宋体"/>
                <w:color w:val="auto"/>
                <w:sz w:val="24"/>
              </w:rPr>
              <w:t>分</w:t>
            </w:r>
            <w:r>
              <w:rPr>
                <w:rFonts w:ascii="Times New Roman" w:hAnsi="Times New Roman" w:eastAsia="宋体"/>
                <w:color w:val="auto"/>
                <w:sz w:val="24"/>
                <w:u w:val="single"/>
              </w:rPr>
              <w:t xml:space="preserve"> </w:t>
            </w:r>
            <w:r>
              <w:rPr>
                <w:rFonts w:hint="eastAsia" w:ascii="Times New Roman" w:hAnsi="Times New Roman" w:eastAsia="宋体"/>
                <w:color w:val="auto"/>
                <w:sz w:val="24"/>
                <w:u w:val="single"/>
                <w:lang w:val="en-US" w:eastAsia="zh-CN"/>
              </w:rPr>
              <w:t>38.56</w:t>
            </w:r>
            <w:r>
              <w:rPr>
                <w:rFonts w:ascii="Times New Roman" w:hAnsi="Times New Roman" w:eastAsia="宋体"/>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国民经济</w:t>
            </w:r>
          </w:p>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行业类别</w:t>
            </w:r>
          </w:p>
        </w:tc>
        <w:tc>
          <w:tcPr>
            <w:tcW w:w="2020" w:type="dxa"/>
            <w:vAlign w:val="center"/>
          </w:tcPr>
          <w:p>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eastAsia="宋体"/>
                <w:color w:val="auto"/>
                <w:sz w:val="24"/>
              </w:rPr>
              <w:t>C</w:t>
            </w:r>
            <w:r>
              <w:rPr>
                <w:rFonts w:hint="eastAsia" w:ascii="Times New Roman" w:hAnsi="Times New Roman" w:eastAsia="宋体"/>
                <w:color w:val="auto"/>
                <w:sz w:val="24"/>
                <w:lang w:eastAsia="zh-CN"/>
              </w:rPr>
              <w:t>3484</w:t>
            </w:r>
            <w:r>
              <w:rPr>
                <w:rFonts w:hint="eastAsia" w:ascii="Times New Roman" w:hAnsi="Times New Roman" w:eastAsia="宋体"/>
                <w:color w:val="auto"/>
                <w:sz w:val="24"/>
              </w:rPr>
              <w:t xml:space="preserve"> </w:t>
            </w:r>
            <w:r>
              <w:rPr>
                <w:rFonts w:hint="eastAsia" w:ascii="Times New Roman" w:hAnsi="Times New Roman" w:eastAsia="宋体"/>
                <w:color w:val="auto"/>
                <w:sz w:val="24"/>
                <w:lang w:eastAsia="zh-CN"/>
              </w:rPr>
              <w:t>机械零部件加工</w:t>
            </w:r>
          </w:p>
        </w:tc>
        <w:tc>
          <w:tcPr>
            <w:tcW w:w="1891" w:type="dxa"/>
            <w:vAlign w:val="center"/>
          </w:tcPr>
          <w:p>
            <w:pPr>
              <w:adjustRightInd w:val="0"/>
              <w:snapToGrid w:val="0"/>
              <w:jc w:val="center"/>
              <w:rPr>
                <w:rFonts w:ascii="Times New Roman" w:hAnsi="Times New Roman" w:eastAsia="宋体"/>
                <w:color w:val="auto"/>
                <w:sz w:val="24"/>
              </w:rPr>
            </w:pPr>
            <w:bookmarkStart w:id="7" w:name="_Hlk49843745"/>
            <w:r>
              <w:rPr>
                <w:rFonts w:ascii="Times New Roman" w:hAnsi="Times New Roman" w:eastAsia="宋体"/>
                <w:color w:val="auto"/>
                <w:sz w:val="24"/>
              </w:rPr>
              <w:t>建设项目</w:t>
            </w:r>
          </w:p>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行业类别</w:t>
            </w:r>
            <w:bookmarkEnd w:id="7"/>
          </w:p>
        </w:tc>
        <w:tc>
          <w:tcPr>
            <w:tcW w:w="3241" w:type="dxa"/>
            <w:vAlign w:val="center"/>
          </w:tcPr>
          <w:p>
            <w:pPr>
              <w:adjustRightInd w:val="0"/>
              <w:snapToGrid w:val="0"/>
              <w:jc w:val="left"/>
              <w:rPr>
                <w:rFonts w:hint="default" w:ascii="Times New Roman" w:hAnsi="Times New Roman" w:eastAsia="宋体"/>
                <w:color w:val="auto"/>
                <w:sz w:val="24"/>
                <w:lang w:val="en-US" w:eastAsia="zh-CN"/>
              </w:rPr>
            </w:pPr>
            <w:r>
              <w:rPr>
                <w:rFonts w:hint="eastAsia" w:ascii="Times New Roman" w:hAnsi="Times New Roman" w:eastAsia="宋体"/>
                <w:color w:val="auto"/>
                <w:sz w:val="24"/>
              </w:rPr>
              <w:t>三十一、通用设备制造业</w:t>
            </w:r>
            <w:r>
              <w:rPr>
                <w:rFonts w:hint="eastAsia" w:ascii="Times New Roman" w:hAnsi="Times New Roman" w:eastAsia="宋体"/>
                <w:color w:val="auto"/>
                <w:sz w:val="24"/>
                <w:lang w:val="en-US" w:eastAsia="zh-CN"/>
              </w:rPr>
              <w:t>34 69通用零部件制造348中的其他（仅分割、焊接、组装的除外；年用非溶剂型低VOCs含量涂料10吨以下的除外）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建设性质</w:t>
            </w:r>
          </w:p>
        </w:tc>
        <w:tc>
          <w:tcPr>
            <w:tcW w:w="2020" w:type="dxa"/>
            <w:vAlign w:val="center"/>
          </w:tcPr>
          <w:p>
            <w:pPr>
              <w:jc w:val="left"/>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新建（迁建）</w:t>
            </w:r>
          </w:p>
          <w:p>
            <w:pPr>
              <w:jc w:val="left"/>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改建</w:t>
            </w:r>
          </w:p>
          <w:p>
            <w:pPr>
              <w:jc w:val="left"/>
              <w:rPr>
                <w:rFonts w:ascii="Times New Roman" w:hAnsi="Times New Roman" w:eastAsia="宋体"/>
                <w:color w:val="auto"/>
                <w:sz w:val="24"/>
              </w:rPr>
            </w:pPr>
            <w:r>
              <w:rPr>
                <w:rFonts w:hint="eastAsia" w:ascii="Times New Roman" w:hAnsi="Times New Roman" w:eastAsia="宋体"/>
                <w:color w:val="auto"/>
                <w:sz w:val="24"/>
                <w:lang w:eastAsia="zh-CN"/>
              </w:rPr>
              <w:t>□</w:t>
            </w:r>
            <w:r>
              <w:rPr>
                <w:rFonts w:ascii="Times New Roman" w:hAnsi="Times New Roman" w:eastAsia="宋体"/>
                <w:color w:val="auto"/>
                <w:sz w:val="24"/>
              </w:rPr>
              <w:t>扩建</w:t>
            </w:r>
          </w:p>
          <w:p>
            <w:pPr>
              <w:jc w:val="left"/>
              <w:rPr>
                <w:rFonts w:ascii="Times New Roman" w:hAnsi="Times New Roman" w:eastAsia="宋体"/>
                <w:color w:val="auto"/>
                <w:sz w:val="24"/>
              </w:rPr>
            </w:pPr>
            <w:r>
              <w:rPr>
                <w:rFonts w:hint="eastAsia" w:ascii="Times New Roman" w:hAnsi="Times New Roman" w:eastAsia="宋体"/>
                <w:color w:val="auto"/>
                <w:sz w:val="24"/>
              </w:rPr>
              <w:sym w:font="Wingdings 2" w:char="0052"/>
            </w:r>
            <w:r>
              <w:rPr>
                <w:rFonts w:ascii="Times New Roman" w:hAnsi="Times New Roman" w:eastAsia="宋体"/>
                <w:color w:val="auto"/>
                <w:sz w:val="24"/>
              </w:rPr>
              <w:t>技术改造</w:t>
            </w:r>
          </w:p>
        </w:tc>
        <w:tc>
          <w:tcPr>
            <w:tcW w:w="1891" w:type="dxa"/>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建设项目</w:t>
            </w:r>
          </w:p>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申报情形</w:t>
            </w:r>
          </w:p>
        </w:tc>
        <w:tc>
          <w:tcPr>
            <w:tcW w:w="3241" w:type="dxa"/>
            <w:vAlign w:val="center"/>
          </w:tcPr>
          <w:p>
            <w:pPr>
              <w:jc w:val="left"/>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 xml:space="preserve">首次申报项目             </w:t>
            </w:r>
          </w:p>
          <w:p>
            <w:pPr>
              <w:jc w:val="left"/>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不予批准后再次申报项目</w:t>
            </w:r>
          </w:p>
          <w:p>
            <w:pPr>
              <w:jc w:val="left"/>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 xml:space="preserve">超五年重新审核项目     </w:t>
            </w:r>
          </w:p>
          <w:p>
            <w:pPr>
              <w:jc w:val="left"/>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项目审批（核准/</w:t>
            </w:r>
          </w:p>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备案）部门（选填）</w:t>
            </w:r>
          </w:p>
        </w:tc>
        <w:tc>
          <w:tcPr>
            <w:tcW w:w="2020" w:type="dxa"/>
            <w:vAlign w:val="center"/>
          </w:tcPr>
          <w:p>
            <w:pPr>
              <w:adjustRightInd w:val="0"/>
              <w:snapToGrid w:val="0"/>
              <w:jc w:val="center"/>
              <w:rPr>
                <w:rFonts w:ascii="Times New Roman" w:hAnsi="Times New Roman" w:eastAsia="宋体"/>
                <w:color w:val="auto"/>
                <w:sz w:val="24"/>
              </w:rPr>
            </w:pPr>
            <w:r>
              <w:rPr>
                <w:rFonts w:hint="eastAsia" w:ascii="Times New Roman" w:hAnsi="Times New Roman" w:eastAsia="宋体"/>
                <w:color w:val="auto"/>
                <w:sz w:val="24"/>
              </w:rPr>
              <w:t>如皋市数据局</w:t>
            </w:r>
          </w:p>
        </w:tc>
        <w:tc>
          <w:tcPr>
            <w:tcW w:w="1891" w:type="dxa"/>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项目审批（核准/</w:t>
            </w:r>
          </w:p>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备案）文号（选填）</w:t>
            </w:r>
          </w:p>
        </w:tc>
        <w:tc>
          <w:tcPr>
            <w:tcW w:w="3241" w:type="dxa"/>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皋数据备〔2024〕666号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总投资（万元）</w:t>
            </w:r>
          </w:p>
        </w:tc>
        <w:tc>
          <w:tcPr>
            <w:tcW w:w="2020" w:type="dxa"/>
            <w:vAlign w:val="center"/>
          </w:tcPr>
          <w:p>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100</w:t>
            </w:r>
          </w:p>
        </w:tc>
        <w:tc>
          <w:tcPr>
            <w:tcW w:w="1891"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环保投资（万元）</w:t>
            </w:r>
          </w:p>
        </w:tc>
        <w:tc>
          <w:tcPr>
            <w:tcW w:w="3241" w:type="dxa"/>
            <w:vAlign w:val="center"/>
          </w:tcPr>
          <w:p>
            <w:pPr>
              <w:adjustRightInd w:val="0"/>
              <w:snapToGrid w:val="0"/>
              <w:jc w:val="center"/>
              <w:rPr>
                <w:rFonts w:hint="default" w:ascii="Times New Roman" w:hAnsi="Times New Roman" w:eastAsia="宋体"/>
                <w:color w:val="auto"/>
                <w:sz w:val="24"/>
                <w:lang w:val="en-US" w:eastAsia="zh-CN"/>
              </w:rPr>
            </w:pPr>
            <w:r>
              <w:rPr>
                <w:rFonts w:hint="eastAsia"/>
                <w:color w:val="auto"/>
                <w:sz w:val="24"/>
                <w:lang w:val="en-US" w:eastAsia="zh-CN"/>
              </w:rPr>
              <w:t>4</w:t>
            </w:r>
            <w:r>
              <w:rPr>
                <w:rFonts w:hint="eastAsia" w:ascii="Times New Roman" w:hAnsi="Times New Roman" w:eastAsia="宋体"/>
                <w:color w:val="auto"/>
                <w:sz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环保投资占比（%）</w:t>
            </w:r>
          </w:p>
        </w:tc>
        <w:tc>
          <w:tcPr>
            <w:tcW w:w="2020" w:type="dxa"/>
            <w:vAlign w:val="center"/>
          </w:tcPr>
          <w:p>
            <w:pPr>
              <w:adjustRightInd w:val="0"/>
              <w:snapToGrid w:val="0"/>
              <w:jc w:val="center"/>
              <w:rPr>
                <w:rFonts w:hint="default" w:ascii="Times New Roman" w:hAnsi="Times New Roman" w:eastAsia="宋体"/>
                <w:color w:val="auto"/>
                <w:sz w:val="24"/>
                <w:lang w:val="en-US" w:eastAsia="zh-CN"/>
              </w:rPr>
            </w:pPr>
            <w:r>
              <w:rPr>
                <w:rFonts w:hint="eastAsia"/>
                <w:color w:val="auto"/>
                <w:sz w:val="24"/>
                <w:lang w:val="en-US" w:eastAsia="zh-CN"/>
              </w:rPr>
              <w:t>4</w:t>
            </w:r>
            <w:r>
              <w:rPr>
                <w:rFonts w:hint="eastAsia" w:ascii="Times New Roman" w:hAnsi="Times New Roman" w:eastAsia="宋体"/>
                <w:color w:val="auto"/>
                <w:sz w:val="24"/>
                <w:lang w:val="en-US" w:eastAsia="zh-CN"/>
              </w:rPr>
              <w:t>0</w:t>
            </w:r>
          </w:p>
        </w:tc>
        <w:tc>
          <w:tcPr>
            <w:tcW w:w="1891"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施工工期</w:t>
            </w:r>
          </w:p>
        </w:tc>
        <w:tc>
          <w:tcPr>
            <w:tcW w:w="3241" w:type="dxa"/>
            <w:vAlign w:val="center"/>
          </w:tcPr>
          <w:p>
            <w:pPr>
              <w:adjustRightInd w:val="0"/>
              <w:snapToGrid w:val="0"/>
              <w:jc w:val="center"/>
              <w:rPr>
                <w:rFonts w:ascii="Times New Roman" w:hAnsi="Times New Roman" w:eastAsia="宋体"/>
                <w:color w:val="auto"/>
                <w:sz w:val="24"/>
              </w:rPr>
            </w:pPr>
            <w:r>
              <w:rPr>
                <w:rFonts w:hint="eastAsia" w:ascii="Times New Roman" w:hAnsi="Times New Roman" w:eastAsia="宋体"/>
                <w:color w:val="auto"/>
                <w:sz w:val="24"/>
                <w:lang w:val="en-US" w:eastAsia="zh-CN"/>
              </w:rPr>
              <w:t>2</w:t>
            </w:r>
            <w:r>
              <w:rPr>
                <w:rFonts w:hint="eastAsia" w:ascii="Times New Roman" w:hAnsi="Times New Roman" w:eastAsia="宋体"/>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是否开工建设</w:t>
            </w:r>
          </w:p>
        </w:tc>
        <w:tc>
          <w:tcPr>
            <w:tcW w:w="2020" w:type="dxa"/>
            <w:vAlign w:val="center"/>
          </w:tcPr>
          <w:p>
            <w:pPr>
              <w:adjustRightInd w:val="0"/>
              <w:snapToGrid w:val="0"/>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否</w:t>
            </w:r>
          </w:p>
          <w:p>
            <w:pPr>
              <w:adjustRightInd w:val="0"/>
              <w:snapToGrid w:val="0"/>
              <w:rPr>
                <w:rFonts w:ascii="Times New Roman" w:hAnsi="Times New Roman" w:eastAsia="宋体"/>
                <w:color w:val="auto"/>
                <w:sz w:val="24"/>
              </w:rPr>
            </w:pPr>
            <w:r>
              <w:rPr>
                <w:rFonts w:hint="eastAsia" w:ascii="Times New Roman" w:hAnsi="Times New Roman" w:eastAsia="宋体"/>
                <w:color w:val="auto"/>
                <w:sz w:val="24"/>
              </w:rPr>
              <w:t>□</w:t>
            </w:r>
            <w:r>
              <w:rPr>
                <w:rFonts w:ascii="Times New Roman" w:hAnsi="Times New Roman" w:eastAsia="宋体"/>
                <w:color w:val="auto"/>
                <w:sz w:val="24"/>
              </w:rPr>
              <w:t>是：</w:t>
            </w:r>
            <w:r>
              <w:rPr>
                <w:rFonts w:ascii="Times New Roman" w:hAnsi="Times New Roman" w:eastAsia="宋体"/>
                <w:color w:val="auto"/>
                <w:sz w:val="24"/>
                <w:u w:val="single"/>
              </w:rPr>
              <w:t xml:space="preserve">             </w:t>
            </w:r>
          </w:p>
        </w:tc>
        <w:tc>
          <w:tcPr>
            <w:tcW w:w="1891" w:type="dxa"/>
            <w:tcMar>
              <w:top w:w="16" w:type="dxa"/>
              <w:left w:w="16" w:type="dxa"/>
              <w:right w:w="16" w:type="dxa"/>
            </w:tcMar>
            <w:vAlign w:val="center"/>
          </w:tcPr>
          <w:p>
            <w:pPr>
              <w:adjustRightInd w:val="0"/>
              <w:snapToGrid w:val="0"/>
              <w:jc w:val="center"/>
              <w:rPr>
                <w:rFonts w:ascii="Times New Roman" w:hAnsi="Times New Roman" w:eastAsia="宋体"/>
                <w:color w:val="auto"/>
                <w:spacing w:val="-6"/>
                <w:sz w:val="24"/>
              </w:rPr>
            </w:pPr>
            <w:r>
              <w:rPr>
                <w:rFonts w:ascii="Times New Roman" w:hAnsi="Times New Roman" w:eastAsia="宋体"/>
                <w:color w:val="auto"/>
                <w:spacing w:val="-6"/>
                <w:sz w:val="24"/>
              </w:rPr>
              <w:t>用地（用海）</w:t>
            </w:r>
          </w:p>
          <w:p>
            <w:pPr>
              <w:adjustRightInd w:val="0"/>
              <w:snapToGrid w:val="0"/>
              <w:jc w:val="center"/>
              <w:rPr>
                <w:rFonts w:ascii="Times New Roman" w:hAnsi="Times New Roman" w:eastAsia="宋体"/>
                <w:color w:val="auto"/>
                <w:sz w:val="24"/>
              </w:rPr>
            </w:pPr>
            <w:r>
              <w:rPr>
                <w:rFonts w:ascii="Times New Roman" w:hAnsi="Times New Roman" w:eastAsia="宋体"/>
                <w:color w:val="auto"/>
                <w:spacing w:val="-6"/>
                <w:sz w:val="24"/>
              </w:rPr>
              <w:t>面积（m</w:t>
            </w:r>
            <w:r>
              <w:rPr>
                <w:rFonts w:ascii="Times New Roman" w:hAnsi="Times New Roman" w:eastAsia="宋体"/>
                <w:color w:val="auto"/>
                <w:spacing w:val="-6"/>
                <w:sz w:val="24"/>
                <w:vertAlign w:val="superscript"/>
              </w:rPr>
              <w:t>2</w:t>
            </w:r>
            <w:r>
              <w:rPr>
                <w:rFonts w:ascii="Times New Roman" w:hAnsi="Times New Roman" w:eastAsia="宋体"/>
                <w:color w:val="auto"/>
                <w:spacing w:val="-6"/>
                <w:sz w:val="24"/>
              </w:rPr>
              <w:t>）</w:t>
            </w:r>
          </w:p>
        </w:tc>
        <w:tc>
          <w:tcPr>
            <w:tcW w:w="3241" w:type="dxa"/>
            <w:vAlign w:val="center"/>
          </w:tcPr>
          <w:p>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rPr>
              <w:t>本次</w:t>
            </w:r>
            <w:r>
              <w:rPr>
                <w:rFonts w:hint="eastAsia" w:ascii="Times New Roman" w:hAnsi="Times New Roman" w:eastAsia="宋体"/>
                <w:color w:val="auto"/>
                <w:sz w:val="24"/>
                <w:lang w:val="en-US" w:eastAsia="zh-CN"/>
              </w:rPr>
              <w:t>技改</w:t>
            </w:r>
            <w:r>
              <w:rPr>
                <w:rFonts w:hint="eastAsia" w:ascii="Times New Roman" w:hAnsi="Times New Roman" w:eastAsia="宋体"/>
                <w:color w:val="auto"/>
                <w:sz w:val="24"/>
              </w:rPr>
              <w:t>不新增用地，利用现有厂房</w:t>
            </w:r>
            <w:r>
              <w:rPr>
                <w:rFonts w:hint="eastAsia" w:ascii="Times New Roman" w:hAnsi="Times New Roman" w:eastAsia="宋体"/>
                <w:color w:val="auto"/>
                <w:sz w:val="24"/>
                <w:lang w:val="en-US" w:eastAsia="zh-CN"/>
              </w:rPr>
              <w:t>进行建设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4" w:hRule="atLeast"/>
          <w:jc w:val="center"/>
        </w:trPr>
        <w:tc>
          <w:tcPr>
            <w:tcW w:w="1718" w:type="dxa"/>
            <w:vAlign w:val="center"/>
          </w:tcPr>
          <w:p>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专项评价设置情况</w:t>
            </w:r>
          </w:p>
        </w:tc>
        <w:tc>
          <w:tcPr>
            <w:tcW w:w="7152"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Times New Roman" w:hAnsi="Times New Roman" w:eastAsia="宋体"/>
                <w:color w:val="auto"/>
                <w:kern w:val="0"/>
                <w:sz w:val="24"/>
                <w:lang w:eastAsia="zh-CN"/>
              </w:rPr>
            </w:pPr>
            <w:r>
              <w:rPr>
                <w:rFonts w:hint="eastAsia" w:ascii="Times New Roman" w:hAnsi="Times New Roman"/>
                <w:color w:val="auto"/>
                <w:kern w:val="0"/>
                <w:sz w:val="24"/>
              </w:rPr>
              <w:t>根据建设项目环境影响报告表编制技术指南</w:t>
            </w:r>
            <w:r>
              <w:rPr>
                <w:rFonts w:hint="eastAsia" w:ascii="Times New Roman" w:hAnsi="Times New Roman"/>
                <w:color w:val="auto"/>
                <w:kern w:val="0"/>
                <w:sz w:val="24"/>
                <w:lang w:eastAsia="zh-CN"/>
              </w:rPr>
              <w:t>（</w:t>
            </w:r>
            <w:r>
              <w:rPr>
                <w:rFonts w:hint="eastAsia" w:ascii="Times New Roman" w:hAnsi="Times New Roman"/>
                <w:color w:val="auto"/>
                <w:kern w:val="0"/>
                <w:sz w:val="24"/>
              </w:rPr>
              <w:t>污染影响类</w:t>
            </w:r>
            <w:r>
              <w:rPr>
                <w:rFonts w:hint="eastAsia" w:ascii="Times New Roman" w:hAnsi="Times New Roman"/>
                <w:color w:val="auto"/>
                <w:kern w:val="0"/>
                <w:sz w:val="24"/>
                <w:lang w:eastAsia="zh-CN"/>
              </w:rPr>
              <w:t>）（</w:t>
            </w:r>
            <w:r>
              <w:rPr>
                <w:rFonts w:hint="eastAsia" w:ascii="Times New Roman" w:hAnsi="Times New Roman"/>
                <w:color w:val="auto"/>
                <w:kern w:val="0"/>
                <w:sz w:val="24"/>
              </w:rPr>
              <w:t>试行</w:t>
            </w:r>
            <w:r>
              <w:rPr>
                <w:rFonts w:hint="eastAsia" w:ascii="Times New Roman" w:hAnsi="Times New Roman"/>
                <w:color w:val="auto"/>
                <w:kern w:val="0"/>
                <w:sz w:val="24"/>
                <w:lang w:eastAsia="zh-CN"/>
              </w:rPr>
              <w:t>）</w:t>
            </w:r>
            <w:r>
              <w:rPr>
                <w:rFonts w:hint="eastAsia" w:ascii="Times New Roman" w:hAnsi="Times New Roman"/>
                <w:color w:val="auto"/>
                <w:kern w:val="0"/>
                <w:sz w:val="24"/>
              </w:rPr>
              <w:t>表1专项评价设置原则，本项目专项设置情况判断如下</w:t>
            </w:r>
            <w:r>
              <w:rPr>
                <w:rFonts w:hint="eastAsia" w:ascii="Times New Roman" w:hAnsi="Times New Roman"/>
                <w:color w:val="auto"/>
                <w:kern w:val="0"/>
                <w:sz w:val="24"/>
                <w:lang w:eastAsia="zh-CN"/>
              </w:rPr>
              <w:t>：</w:t>
            </w:r>
          </w:p>
          <w:p>
            <w:pPr>
              <w:autoSpaceDE w:val="0"/>
              <w:autoSpaceDN w:val="0"/>
              <w:adjustRightInd w:val="0"/>
              <w:snapToGrid w:val="0"/>
              <w:jc w:val="center"/>
              <w:rPr>
                <w:rFonts w:ascii="Times New Roman" w:hAnsi="Times New Roman"/>
                <w:color w:val="auto"/>
              </w:rPr>
            </w:pPr>
            <w:r>
              <w:rPr>
                <w:rFonts w:hint="eastAsia" w:ascii="Times New Roman" w:hAnsi="Times New Roman"/>
                <w:b/>
                <w:bCs/>
                <w:color w:val="auto"/>
                <w:kern w:val="0"/>
                <w:sz w:val="24"/>
                <w:lang w:val="en-US" w:eastAsia="zh-CN"/>
              </w:rPr>
              <w:t>表1-1 专项设置情况判断表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526"/>
              <w:gridCol w:w="1464"/>
              <w:gridCol w:w="1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9"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专项评价的类别</w:t>
                  </w:r>
                </w:p>
              </w:tc>
              <w:tc>
                <w:tcPr>
                  <w:tcW w:w="1829" w:type="pct"/>
                  <w:tcBorders>
                    <w:tl2br w:val="nil"/>
                    <w:tr2bl w:val="nil"/>
                  </w:tcBorders>
                  <w:vAlign w:val="center"/>
                </w:tcPr>
                <w:p>
                  <w:pPr>
                    <w:autoSpaceDE w:val="0"/>
                    <w:autoSpaceDN w:val="0"/>
                    <w:adjustRightInd w:val="0"/>
                    <w:snapToGrid w:val="0"/>
                    <w:jc w:val="center"/>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设置原则</w:t>
                  </w:r>
                </w:p>
              </w:tc>
              <w:tc>
                <w:tcPr>
                  <w:tcW w:w="1060" w:type="pct"/>
                  <w:tcBorders>
                    <w:tl2br w:val="nil"/>
                    <w:tr2bl w:val="nil"/>
                  </w:tcBorders>
                  <w:vAlign w:val="center"/>
                </w:tcPr>
                <w:p>
                  <w:pPr>
                    <w:autoSpaceDE w:val="0"/>
                    <w:autoSpaceDN w:val="0"/>
                    <w:adjustRightInd w:val="0"/>
                    <w:snapToGrid w:val="0"/>
                    <w:jc w:val="center"/>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本项目情况</w:t>
                  </w:r>
                </w:p>
              </w:tc>
              <w:tc>
                <w:tcPr>
                  <w:tcW w:w="1251" w:type="pct"/>
                  <w:tcBorders>
                    <w:tl2br w:val="nil"/>
                    <w:tr2bl w:val="nil"/>
                  </w:tcBorders>
                  <w:vAlign w:val="center"/>
                </w:tcPr>
                <w:p>
                  <w:pPr>
                    <w:autoSpaceDE w:val="0"/>
                    <w:autoSpaceDN w:val="0"/>
                    <w:adjustRightInd w:val="0"/>
                    <w:snapToGrid w:val="0"/>
                    <w:jc w:val="center"/>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是否设置专项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9"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大气</w:t>
                  </w:r>
                </w:p>
              </w:tc>
              <w:tc>
                <w:tcPr>
                  <w:tcW w:w="1829"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排放废气含有毒有害污染物、二噁英、苯并[a]芘、氰化物、氯气且厂界外 500 米范围内有环境空气保护目标的建设项目</w:t>
                  </w:r>
                </w:p>
              </w:tc>
              <w:tc>
                <w:tcPr>
                  <w:tcW w:w="1060"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本项目不涉及上述因子</w:t>
                  </w:r>
                </w:p>
              </w:tc>
              <w:tc>
                <w:tcPr>
                  <w:tcW w:w="1251"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9"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地表水</w:t>
                  </w:r>
                </w:p>
              </w:tc>
              <w:tc>
                <w:tcPr>
                  <w:tcW w:w="1829"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新增工业废水直排建设项目</w:t>
                  </w:r>
                  <w:r>
                    <w:rPr>
                      <w:rFonts w:hint="eastAsia" w:ascii="Times New Roman" w:hAnsi="Times New Roman"/>
                      <w:color w:val="auto"/>
                      <w:vertAlign w:val="baseline"/>
                      <w:lang w:eastAsia="zh-CN"/>
                    </w:rPr>
                    <w:t>（</w:t>
                  </w:r>
                  <w:r>
                    <w:rPr>
                      <w:rFonts w:hint="eastAsia" w:ascii="Times New Roman" w:hAnsi="Times New Roman"/>
                      <w:color w:val="auto"/>
                      <w:vertAlign w:val="baseline"/>
                    </w:rPr>
                    <w:t>槽罐车外送污水处理厂的除外</w:t>
                  </w:r>
                  <w:r>
                    <w:rPr>
                      <w:rFonts w:hint="eastAsia" w:ascii="Times New Roman" w:hAnsi="Times New Roman"/>
                      <w:color w:val="auto"/>
                      <w:vertAlign w:val="baseline"/>
                      <w:lang w:eastAsia="zh-CN"/>
                    </w:rPr>
                    <w:t>）；</w:t>
                  </w:r>
                  <w:r>
                    <w:rPr>
                      <w:rFonts w:hint="eastAsia" w:ascii="Times New Roman" w:hAnsi="Times New Roman"/>
                      <w:color w:val="auto"/>
                      <w:vertAlign w:val="baseline"/>
                    </w:rPr>
                    <w:t>新增废水直排的污水集中处理厂</w:t>
                  </w:r>
                </w:p>
              </w:tc>
              <w:tc>
                <w:tcPr>
                  <w:tcW w:w="1060"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rPr>
                    <w:t>本项目废水接管至如皋市恒发水处理</w:t>
                  </w:r>
                  <w:r>
                    <w:rPr>
                      <w:rFonts w:hint="eastAsia" w:ascii="Times New Roman" w:hAnsi="Times New Roman"/>
                      <w:color w:val="auto"/>
                      <w:vertAlign w:val="baseline"/>
                      <w:lang w:val="en-US" w:eastAsia="zh-CN"/>
                    </w:rPr>
                    <w:t>厂</w:t>
                  </w:r>
                </w:p>
              </w:tc>
              <w:tc>
                <w:tcPr>
                  <w:tcW w:w="1251"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59" w:type="pct"/>
                  <w:tcBorders>
                    <w:tl2br w:val="nil"/>
                    <w:tr2bl w:val="nil"/>
                  </w:tcBorders>
                  <w:vAlign w:val="center"/>
                </w:tcPr>
                <w:p>
                  <w:pPr>
                    <w:autoSpaceDE w:val="0"/>
                    <w:autoSpaceDN w:val="0"/>
                    <w:adjustRightInd w:val="0"/>
                    <w:snapToGrid w:val="0"/>
                    <w:jc w:val="center"/>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环境风险</w:t>
                  </w:r>
                </w:p>
              </w:tc>
              <w:tc>
                <w:tcPr>
                  <w:tcW w:w="1829"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有毒有害和易燃易爆危险物质存储量超过临界量的建设项目</w:t>
                  </w:r>
                </w:p>
              </w:tc>
              <w:tc>
                <w:tcPr>
                  <w:tcW w:w="1060"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本项目危险物质存储量未超过临界量</w:t>
                  </w:r>
                </w:p>
              </w:tc>
              <w:tc>
                <w:tcPr>
                  <w:tcW w:w="1251"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9"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生态</w:t>
                  </w:r>
                </w:p>
              </w:tc>
              <w:tc>
                <w:tcPr>
                  <w:tcW w:w="1829"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取水口下游500米范围内有重要水生生物的自然产卵场、索饵场、越冬场和洄游通道的新增河道取水的污染类建设项目</w:t>
                  </w:r>
                </w:p>
              </w:tc>
              <w:tc>
                <w:tcPr>
                  <w:tcW w:w="1060"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本项目不向河道取水，500m 范围不涉及取水口，不涉及重要水生生物</w:t>
                  </w:r>
                </w:p>
              </w:tc>
              <w:tc>
                <w:tcPr>
                  <w:tcW w:w="1251"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9" w:type="pct"/>
                  <w:tcBorders>
                    <w:tl2br w:val="nil"/>
                    <w:tr2bl w:val="nil"/>
                  </w:tcBorders>
                  <w:vAlign w:val="center"/>
                </w:tcPr>
                <w:p>
                  <w:pPr>
                    <w:autoSpaceDE w:val="0"/>
                    <w:autoSpaceDN w:val="0"/>
                    <w:adjustRightInd w:val="0"/>
                    <w:snapToGrid w:val="0"/>
                    <w:jc w:val="center"/>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海洋</w:t>
                  </w:r>
                </w:p>
              </w:tc>
              <w:tc>
                <w:tcPr>
                  <w:tcW w:w="1829"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直接向海排放污染物的海洋工程建设项</w:t>
                  </w:r>
                  <w:r>
                    <w:rPr>
                      <w:rFonts w:hint="eastAsia"/>
                      <w:color w:val="auto"/>
                      <w:vertAlign w:val="baseline"/>
                      <w:lang w:val="en-US" w:eastAsia="zh-CN"/>
                    </w:rPr>
                    <w:t>目</w:t>
                  </w:r>
                </w:p>
              </w:tc>
              <w:tc>
                <w:tcPr>
                  <w:tcW w:w="1060" w:type="pct"/>
                  <w:tcBorders>
                    <w:tl2br w:val="nil"/>
                    <w:tr2bl w:val="nil"/>
                  </w:tcBorders>
                  <w:vAlign w:val="center"/>
                </w:tcPr>
                <w:p>
                  <w:pPr>
                    <w:autoSpaceDE w:val="0"/>
                    <w:autoSpaceDN w:val="0"/>
                    <w:adjustRightInd w:val="0"/>
                    <w:snapToGrid w:val="0"/>
                    <w:jc w:val="center"/>
                    <w:rPr>
                      <w:rFonts w:ascii="Times New Roman" w:hAnsi="Times New Roman"/>
                      <w:color w:val="auto"/>
                      <w:vertAlign w:val="baseline"/>
                    </w:rPr>
                  </w:pPr>
                  <w:r>
                    <w:rPr>
                      <w:rFonts w:hint="eastAsia" w:ascii="Times New Roman" w:hAnsi="Times New Roman"/>
                      <w:color w:val="auto"/>
                      <w:vertAlign w:val="baseline"/>
                    </w:rPr>
                    <w:t>本项目不涉及</w:t>
                  </w:r>
                </w:p>
              </w:tc>
              <w:tc>
                <w:tcPr>
                  <w:tcW w:w="1251" w:type="pct"/>
                  <w:tcBorders>
                    <w:tl2br w:val="nil"/>
                    <w:tr2bl w:val="nil"/>
                  </w:tcBorders>
                  <w:vAlign w:val="center"/>
                </w:tcPr>
                <w:p>
                  <w:pPr>
                    <w:autoSpaceDE w:val="0"/>
                    <w:autoSpaceDN w:val="0"/>
                    <w:adjustRightInd w:val="0"/>
                    <w:snapToGrid w:val="0"/>
                    <w:jc w:val="center"/>
                    <w:rPr>
                      <w:rFonts w:hint="eastAsia"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否</w:t>
                  </w:r>
                </w:p>
              </w:tc>
            </w:tr>
          </w:tbl>
          <w:p>
            <w:pPr>
              <w:autoSpaceDE w:val="0"/>
              <w:autoSpaceDN w:val="0"/>
              <w:adjustRightInd w:val="0"/>
              <w:snapToGrid w:val="0"/>
              <w:ind w:firstLine="480" w:firstLineChars="200"/>
              <w:jc w:val="both"/>
              <w:rPr>
                <w:rFonts w:ascii="Times New Roman" w:hAnsi="Times New Roman" w:eastAsia="宋体"/>
                <w:color w:val="auto"/>
                <w:kern w:val="0"/>
                <w:sz w:val="24"/>
              </w:rPr>
            </w:pPr>
            <w:r>
              <w:rPr>
                <w:rFonts w:hint="eastAsia" w:ascii="Times New Roman" w:hAnsi="Times New Roman"/>
                <w:color w:val="auto"/>
                <w:kern w:val="0"/>
                <w:sz w:val="24"/>
              </w:rPr>
              <w:t>根据上表分析，本项目无须设置专项评价。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718" w:type="dxa"/>
            <w:vAlign w:val="center"/>
          </w:tcPr>
          <w:p>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sz w:val="24"/>
              </w:rPr>
              <w:t>规划情况</w:t>
            </w:r>
          </w:p>
        </w:tc>
        <w:tc>
          <w:tcPr>
            <w:tcW w:w="7152" w:type="dxa"/>
            <w:gridSpan w:val="3"/>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olor w:val="auto"/>
                <w:szCs w:val="24"/>
                <w:lang w:eastAsia="zh-CN"/>
              </w:rPr>
            </w:pPr>
            <w:r>
              <w:rPr>
                <w:rFonts w:hint="eastAsia" w:ascii="Times New Roman" w:hAnsi="Times New Roman" w:eastAsia="宋体"/>
                <w:color w:val="auto"/>
                <w:szCs w:val="24"/>
                <w:lang w:eastAsia="zh-CN"/>
              </w:rPr>
              <w:t>规划名称：《如皋市下原镇总体规划》（</w:t>
            </w:r>
            <w:r>
              <w:rPr>
                <w:rFonts w:hint="eastAsia" w:ascii="Times New Roman" w:hAnsi="Times New Roman" w:eastAsia="宋体"/>
                <w:color w:val="auto"/>
                <w:szCs w:val="24"/>
                <w:lang w:val="en-US" w:eastAsia="zh-CN"/>
              </w:rPr>
              <w:t>2017-2030</w:t>
            </w:r>
            <w:r>
              <w:rPr>
                <w:rFonts w:hint="eastAsia" w:ascii="Times New Roman" w:hAnsi="Times New Roman" w:eastAsia="宋体"/>
                <w:color w:val="auto"/>
                <w:szCs w:val="24"/>
                <w:lang w:eastAsia="zh-CN"/>
              </w:rPr>
              <w:t>）</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olor w:val="auto"/>
                <w:szCs w:val="24"/>
                <w:lang w:eastAsia="zh-CN"/>
              </w:rPr>
            </w:pPr>
            <w:r>
              <w:rPr>
                <w:rFonts w:hint="eastAsia" w:ascii="Times New Roman" w:hAnsi="Times New Roman" w:eastAsia="宋体"/>
                <w:color w:val="auto"/>
                <w:szCs w:val="24"/>
                <w:lang w:eastAsia="zh-CN"/>
              </w:rPr>
              <w:t>审批机关：如皋市人民政府</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olor w:val="auto"/>
                <w:szCs w:val="24"/>
                <w:lang w:eastAsia="zh-CN"/>
              </w:rPr>
            </w:pPr>
            <w:r>
              <w:rPr>
                <w:rFonts w:hint="eastAsia" w:ascii="Times New Roman" w:hAnsi="Times New Roman" w:eastAsia="宋体"/>
                <w:color w:val="auto"/>
                <w:szCs w:val="24"/>
                <w:lang w:eastAsia="zh-CN"/>
              </w:rPr>
              <w:t>审批文件名称及文号：市政府关于如皋市下原镇总体规划的批复（皋政复〔</w:t>
            </w:r>
            <w:r>
              <w:rPr>
                <w:rFonts w:hint="eastAsia" w:ascii="Times New Roman" w:hAnsi="Times New Roman" w:eastAsia="宋体"/>
                <w:color w:val="auto"/>
                <w:szCs w:val="24"/>
                <w:lang w:val="en-US" w:eastAsia="zh-CN"/>
              </w:rPr>
              <w:t>2017〕85号</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olor w:val="auto"/>
                <w:szCs w:val="24"/>
              </w:rPr>
            </w:pPr>
            <w:r>
              <w:rPr>
                <w:rFonts w:hint="eastAsia" w:ascii="Times New Roman" w:hAnsi="Times New Roman" w:eastAsia="宋体"/>
                <w:color w:val="auto"/>
                <w:szCs w:val="24"/>
                <w:lang w:eastAsia="zh-CN"/>
              </w:rPr>
              <w:t>批准时间：</w:t>
            </w:r>
            <w:r>
              <w:rPr>
                <w:rFonts w:hint="eastAsia" w:ascii="Times New Roman" w:hAnsi="Times New Roman" w:eastAsia="宋体"/>
                <w:color w:val="auto"/>
                <w:szCs w:val="24"/>
                <w:lang w:val="en-US" w:eastAsia="zh-CN"/>
              </w:rPr>
              <w:t>2017年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718" w:type="dxa"/>
            <w:vAlign w:val="center"/>
          </w:tcPr>
          <w:p>
            <w:pPr>
              <w:adjustRightInd w:val="0"/>
              <w:snapToGrid w:val="0"/>
              <w:jc w:val="center"/>
              <w:rPr>
                <w:rFonts w:ascii="Times New Roman" w:hAnsi="Times New Roman" w:eastAsia="宋体"/>
                <w:color w:val="auto"/>
                <w:kern w:val="0"/>
                <w:sz w:val="24"/>
              </w:rPr>
            </w:pPr>
            <w:r>
              <w:rPr>
                <w:rFonts w:ascii="Times New Roman" w:hAnsi="Times New Roman" w:eastAsia="宋体"/>
                <w:color w:val="auto"/>
                <w:sz w:val="24"/>
              </w:rPr>
              <w:t>规划环境影响评价情况</w:t>
            </w:r>
          </w:p>
        </w:tc>
        <w:tc>
          <w:tcPr>
            <w:tcW w:w="7152" w:type="dxa"/>
            <w:gridSpan w:val="3"/>
            <w:vAlign w:val="center"/>
          </w:tcPr>
          <w:p>
            <w:pPr>
              <w:autoSpaceDE w:val="0"/>
              <w:autoSpaceDN w:val="0"/>
              <w:adjustRightInd w:val="0"/>
              <w:snapToGrid w:val="0"/>
              <w:jc w:val="center"/>
              <w:rPr>
                <w:rFonts w:ascii="Times New Roman" w:hAnsi="Times New Roman" w:eastAsia="宋体"/>
                <w:color w:val="auto"/>
                <w:kern w:val="0"/>
                <w:sz w:val="24"/>
              </w:rPr>
            </w:pPr>
            <w:r>
              <w:rPr>
                <w:rFonts w:hint="eastAsia" w:ascii="Times New Roman" w:hAnsi="Times New Roman" w:eastAsia="宋体"/>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8" w:type="dxa"/>
            <w:vAlign w:val="center"/>
          </w:tcPr>
          <w:p>
            <w:pPr>
              <w:autoSpaceDE w:val="0"/>
              <w:autoSpaceDN w:val="0"/>
              <w:adjustRightInd w:val="0"/>
              <w:snapToGrid w:val="0"/>
              <w:jc w:val="center"/>
              <w:rPr>
                <w:rFonts w:ascii="Times New Roman" w:hAnsi="Times New Roman" w:eastAsia="宋体"/>
                <w:color w:val="auto"/>
                <w:sz w:val="24"/>
              </w:rPr>
            </w:pPr>
            <w:r>
              <w:rPr>
                <w:rFonts w:ascii="Times New Roman" w:hAnsi="Times New Roman" w:eastAsia="宋体"/>
                <w:color w:val="auto"/>
                <w:sz w:val="24"/>
              </w:rPr>
              <w:t>规划及规划环境影响评价符合性分析</w:t>
            </w:r>
          </w:p>
        </w:tc>
        <w:tc>
          <w:tcPr>
            <w:tcW w:w="715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与</w:t>
            </w:r>
            <w:r>
              <w:rPr>
                <w:rFonts w:hint="eastAsia" w:ascii="Times New Roman" w:hAnsi="Times New Roman" w:eastAsia="宋体"/>
                <w:color w:val="auto"/>
                <w:kern w:val="0"/>
                <w:sz w:val="24"/>
                <w:lang w:eastAsia="zh-CN"/>
              </w:rPr>
              <w:t>《如皋市下原镇总体规划》（</w:t>
            </w:r>
            <w:r>
              <w:rPr>
                <w:rFonts w:hint="eastAsia" w:ascii="Times New Roman" w:hAnsi="Times New Roman" w:eastAsia="宋体"/>
                <w:color w:val="auto"/>
                <w:kern w:val="0"/>
                <w:sz w:val="24"/>
                <w:lang w:val="en-US" w:eastAsia="zh-CN"/>
              </w:rPr>
              <w:t>2017-2030</w:t>
            </w:r>
            <w:r>
              <w:rPr>
                <w:rFonts w:hint="eastAsia" w:ascii="Times New Roman" w:hAnsi="Times New Roman" w:eastAsia="宋体"/>
                <w:color w:val="auto"/>
                <w:kern w:val="0"/>
                <w:sz w:val="24"/>
                <w:lang w:eastAsia="zh-CN"/>
              </w:rPr>
              <w:t>）相符性分析</w:t>
            </w:r>
          </w:p>
          <w:p>
            <w:pPr>
              <w:keepNext w:val="0"/>
              <w:keepLines w:val="0"/>
              <w:pageBreakBefore w:val="0"/>
              <w:widowControl w:val="0"/>
              <w:kinsoku/>
              <w:wordWrap/>
              <w:overflowPunct/>
              <w:topLinePunct w:val="0"/>
              <w:autoSpaceDE/>
              <w:autoSpaceDN/>
              <w:bidi w:val="0"/>
              <w:adjustRightInd/>
              <w:snapToGrid/>
              <w:spacing w:line="360" w:lineRule="auto"/>
              <w:ind w:right="105" w:rightChars="50" w:firstLine="480" w:firstLineChars="200"/>
              <w:textAlignment w:val="auto"/>
              <w:rPr>
                <w:rFonts w:hint="eastAsia" w:ascii="Times New Roman" w:hAnsi="Times New Roman" w:eastAsia="宋体"/>
                <w:color w:val="auto"/>
                <w:kern w:val="0"/>
                <w:sz w:val="24"/>
                <w:lang w:val="en-US" w:eastAsia="zh-CN"/>
              </w:rPr>
            </w:pPr>
            <w:r>
              <w:rPr>
                <w:rFonts w:hint="eastAsia" w:ascii="Times New Roman" w:hAnsi="Times New Roman" w:eastAsia="宋体"/>
                <w:color w:val="auto"/>
                <w:kern w:val="0"/>
                <w:sz w:val="24"/>
                <w:lang w:eastAsia="zh-CN"/>
              </w:rPr>
              <w:t>根据《如皋市下原镇总体规划》（</w:t>
            </w:r>
            <w:r>
              <w:rPr>
                <w:rFonts w:hint="eastAsia" w:ascii="Times New Roman" w:hAnsi="Times New Roman" w:eastAsia="宋体"/>
                <w:color w:val="auto"/>
                <w:kern w:val="0"/>
                <w:sz w:val="24"/>
                <w:lang w:val="en-US" w:eastAsia="zh-CN"/>
              </w:rPr>
              <w:t>2017-2030</w:t>
            </w:r>
            <w:r>
              <w:rPr>
                <w:rFonts w:hint="eastAsia" w:ascii="Times New Roman" w:hAnsi="Times New Roman" w:eastAsia="宋体"/>
                <w:color w:val="auto"/>
                <w:kern w:val="0"/>
                <w:sz w:val="24"/>
                <w:lang w:eastAsia="zh-CN"/>
              </w:rPr>
              <w:t>），规划形成“一心三轴四片”的空间结构</w:t>
            </w:r>
            <w:r>
              <w:rPr>
                <w:rFonts w:hint="eastAsia" w:ascii="Times New Roman" w:hAnsi="Times New Roman" w:eastAsia="宋体"/>
                <w:color w:val="auto"/>
                <w:kern w:val="0"/>
                <w:sz w:val="24"/>
                <w:lang w:val="en-US" w:eastAsia="zh-CN"/>
              </w:rPr>
              <w:t>。“一心”：沿政府周边形成的行政、商业服务中心；“三轴”：分别为惠原路—富盛路和沿纬四路形成的横向城镇发展主轴线和沿兴园路形成的纵向城镇发展主轴线；“四片”：分别为老镇区居住区、生产研发区、兴园路传统工业区和蒲路新兴工业园区。</w:t>
            </w:r>
          </w:p>
          <w:p>
            <w:pPr>
              <w:keepNext w:val="0"/>
              <w:keepLines w:val="0"/>
              <w:pageBreakBefore w:val="0"/>
              <w:widowControl w:val="0"/>
              <w:kinsoku/>
              <w:wordWrap/>
              <w:overflowPunct/>
              <w:topLinePunct w:val="0"/>
              <w:autoSpaceDE/>
              <w:autoSpaceDN/>
              <w:bidi w:val="0"/>
              <w:adjustRightInd/>
              <w:snapToGrid/>
              <w:spacing w:line="360" w:lineRule="auto"/>
              <w:ind w:right="105" w:rightChars="5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建设项目位于</w:t>
            </w:r>
            <w:r>
              <w:rPr>
                <w:rFonts w:hint="eastAsia" w:ascii="Times New Roman" w:hAnsi="Times New Roman" w:eastAsia="宋体"/>
                <w:color w:val="auto"/>
                <w:kern w:val="0"/>
                <w:sz w:val="24"/>
                <w:lang w:val="en-US" w:eastAsia="zh-CN"/>
              </w:rPr>
              <w:t>如皋市下原镇兴原路58-7号</w:t>
            </w:r>
            <w:r>
              <w:rPr>
                <w:rFonts w:hint="eastAsia" w:ascii="Times New Roman" w:hAnsi="Times New Roman" w:eastAsia="宋体"/>
                <w:color w:val="auto"/>
                <w:kern w:val="0"/>
                <w:sz w:val="24"/>
                <w:lang w:eastAsia="zh-CN"/>
              </w:rPr>
              <w:t>。项目用地为工业用地，符合如皋市下原镇总体规划。</w:t>
            </w:r>
          </w:p>
          <w:p>
            <w:pPr>
              <w:ind w:right="105" w:rightChars="50"/>
              <w:rPr>
                <w:rFonts w:ascii="Times New Roman" w:hAnsi="Times New Roman" w:eastAsia="宋体"/>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8" w:hRule="atLeast"/>
          <w:jc w:val="center"/>
        </w:trPr>
        <w:tc>
          <w:tcPr>
            <w:tcW w:w="1718" w:type="dxa"/>
            <w:vAlign w:val="center"/>
          </w:tcPr>
          <w:p>
            <w:pPr>
              <w:autoSpaceDE w:val="0"/>
              <w:autoSpaceDN w:val="0"/>
              <w:adjustRightInd w:val="0"/>
              <w:snapToGrid w:val="0"/>
              <w:jc w:val="center"/>
              <w:rPr>
                <w:rFonts w:ascii="Times New Roman" w:hAnsi="Times New Roman" w:eastAsia="宋体"/>
                <w:color w:val="auto"/>
                <w:kern w:val="0"/>
                <w:szCs w:val="21"/>
              </w:rPr>
            </w:pPr>
            <w:r>
              <w:rPr>
                <w:rFonts w:ascii="Times New Roman" w:hAnsi="Times New Roman" w:eastAsia="宋体"/>
                <w:color w:val="auto"/>
                <w:kern w:val="0"/>
                <w:szCs w:val="21"/>
              </w:rPr>
              <w:t>其他符合性分析</w:t>
            </w:r>
          </w:p>
        </w:tc>
        <w:tc>
          <w:tcPr>
            <w:tcW w:w="7152" w:type="dxa"/>
            <w:gridSpan w:val="3"/>
            <w:vAlign w:val="center"/>
          </w:tcPr>
          <w:p>
            <w:pPr>
              <w:spacing w:line="360" w:lineRule="auto"/>
              <w:rPr>
                <w:rFonts w:ascii="Times New Roman" w:hAnsi="Times New Roman" w:eastAsia="宋体"/>
                <w:b/>
                <w:bCs/>
                <w:color w:val="auto"/>
                <w:sz w:val="24"/>
              </w:rPr>
            </w:pPr>
            <w:r>
              <w:rPr>
                <w:rFonts w:ascii="Times New Roman" w:hAnsi="Times New Roman" w:eastAsia="宋体"/>
                <w:b/>
                <w:bCs/>
                <w:color w:val="auto"/>
                <w:sz w:val="24"/>
              </w:rPr>
              <w:t>1、产业政策符合性分析</w:t>
            </w:r>
          </w:p>
          <w:p>
            <w:pPr>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本项目为</w:t>
            </w:r>
            <w:r>
              <w:rPr>
                <w:rFonts w:hint="eastAsia" w:ascii="Times New Roman" w:hAnsi="Times New Roman" w:eastAsia="宋体"/>
                <w:color w:val="auto"/>
                <w:sz w:val="24"/>
              </w:rPr>
              <w:t>C</w:t>
            </w:r>
            <w:r>
              <w:rPr>
                <w:rFonts w:hint="eastAsia" w:ascii="Times New Roman" w:hAnsi="Times New Roman" w:eastAsia="宋体"/>
                <w:color w:val="auto"/>
                <w:sz w:val="24"/>
                <w:lang w:eastAsia="zh-CN"/>
              </w:rPr>
              <w:t>3484</w:t>
            </w:r>
            <w:r>
              <w:rPr>
                <w:rFonts w:hint="eastAsia" w:ascii="Times New Roman" w:hAnsi="Times New Roman" w:eastAsia="宋体"/>
                <w:color w:val="auto"/>
                <w:sz w:val="24"/>
              </w:rPr>
              <w:t xml:space="preserve"> </w:t>
            </w:r>
            <w:r>
              <w:rPr>
                <w:rFonts w:hint="eastAsia" w:ascii="Times New Roman" w:hAnsi="Times New Roman" w:eastAsia="宋体"/>
                <w:color w:val="auto"/>
                <w:sz w:val="24"/>
                <w:lang w:eastAsia="zh-CN"/>
              </w:rPr>
              <w:t>机械零部件加工</w:t>
            </w:r>
            <w:r>
              <w:rPr>
                <w:rFonts w:ascii="Times New Roman" w:hAnsi="Times New Roman" w:eastAsia="宋体"/>
                <w:color w:val="auto"/>
                <w:sz w:val="24"/>
              </w:rPr>
              <w:t>，</w:t>
            </w:r>
            <w:r>
              <w:rPr>
                <w:rFonts w:hint="eastAsia" w:ascii="Times New Roman" w:hAnsi="Times New Roman"/>
                <w:color w:val="auto"/>
                <w:sz w:val="24"/>
              </w:rPr>
              <w:t>对照《产业结构调整指导目录（2024年本）》，</w:t>
            </w:r>
            <w:r>
              <w:rPr>
                <w:rFonts w:hint="eastAsia"/>
                <w:color w:val="auto"/>
                <w:sz w:val="24"/>
                <w:szCs w:val="24"/>
              </w:rPr>
              <w:t>本项目不属于其中的限制类或淘汰类，为允许类</w:t>
            </w:r>
            <w:r>
              <w:rPr>
                <w:rFonts w:hint="eastAsia" w:ascii="Times New Roman" w:hAnsi="Times New Roman"/>
                <w:color w:val="auto"/>
                <w:sz w:val="24"/>
                <w:lang w:val="en-US" w:eastAsia="zh-CN"/>
              </w:rPr>
              <w:t>；</w:t>
            </w:r>
            <w:r>
              <w:rPr>
                <w:rFonts w:hint="eastAsia" w:ascii="Times New Roman" w:hAnsi="Times New Roman"/>
                <w:color w:val="auto"/>
                <w:sz w:val="24"/>
              </w:rPr>
              <w:t>对照《</w:t>
            </w:r>
            <w:r>
              <w:rPr>
                <w:rFonts w:hint="eastAsia" w:ascii="Times New Roman" w:hAnsi="Times New Roman"/>
                <w:color w:val="auto"/>
                <w:sz w:val="24"/>
                <w:lang w:val="en-US" w:eastAsia="zh-CN"/>
              </w:rPr>
              <w:t>江苏省“两高”项目管理目录（2024年版）</w:t>
            </w:r>
            <w:r>
              <w:rPr>
                <w:rFonts w:hint="eastAsia" w:ascii="Times New Roman" w:hAnsi="Times New Roman"/>
                <w:color w:val="auto"/>
                <w:sz w:val="24"/>
              </w:rPr>
              <w:t>》</w:t>
            </w:r>
            <w:r>
              <w:rPr>
                <w:rFonts w:hint="default" w:ascii="Times New Roman" w:hAnsi="Times New Roman" w:eastAsia="宋体" w:cs="楷体"/>
                <w:snapToGrid w:val="0"/>
                <w:color w:val="auto"/>
                <w:kern w:val="0"/>
                <w:sz w:val="24"/>
                <w:lang w:val="en-US" w:eastAsia="zh-CN"/>
              </w:rPr>
              <w:t>的通知（苏发改规发</w:t>
            </w:r>
            <w:r>
              <w:rPr>
                <w:rFonts w:hint="eastAsia" w:cs="楷体"/>
                <w:snapToGrid w:val="0"/>
                <w:color w:val="auto"/>
                <w:kern w:val="0"/>
                <w:sz w:val="24"/>
                <w:lang w:val="en-US" w:eastAsia="zh-CN"/>
              </w:rPr>
              <w:t>〔2024〕4号</w:t>
            </w:r>
            <w:r>
              <w:rPr>
                <w:rFonts w:hint="default" w:ascii="Times New Roman" w:hAnsi="Times New Roman" w:eastAsia="宋体" w:cs="楷体"/>
                <w:snapToGrid w:val="0"/>
                <w:color w:val="auto"/>
                <w:kern w:val="0"/>
                <w:sz w:val="24"/>
                <w:lang w:val="en-US" w:eastAsia="zh-CN"/>
              </w:rPr>
              <w:t>）</w:t>
            </w:r>
            <w:r>
              <w:rPr>
                <w:rFonts w:hint="eastAsia" w:ascii="Times New Roman" w:hAnsi="Times New Roman"/>
                <w:color w:val="auto"/>
                <w:sz w:val="24"/>
                <w:lang w:eastAsia="zh-CN"/>
              </w:rPr>
              <w:t>，</w:t>
            </w:r>
            <w:r>
              <w:rPr>
                <w:rFonts w:hint="eastAsia" w:ascii="Times New Roman" w:hAnsi="Times New Roman"/>
                <w:color w:val="auto"/>
                <w:sz w:val="24"/>
              </w:rPr>
              <w:t>不在“</w:t>
            </w:r>
            <w:r>
              <w:rPr>
                <w:rFonts w:hint="eastAsia" w:ascii="Times New Roman" w:hAnsi="Times New Roman"/>
                <w:color w:val="auto"/>
                <w:sz w:val="24"/>
                <w:lang w:val="en-US" w:eastAsia="zh-CN"/>
              </w:rPr>
              <w:t>两高</w:t>
            </w:r>
            <w:r>
              <w:rPr>
                <w:rFonts w:hint="eastAsia" w:ascii="Times New Roman" w:hAnsi="Times New Roman"/>
                <w:color w:val="auto"/>
                <w:sz w:val="24"/>
              </w:rPr>
              <w:t>”</w:t>
            </w:r>
            <w:r>
              <w:rPr>
                <w:rFonts w:hint="eastAsia" w:ascii="Times New Roman" w:hAnsi="Times New Roman"/>
                <w:color w:val="auto"/>
                <w:sz w:val="24"/>
                <w:lang w:val="en-US" w:eastAsia="zh-CN"/>
              </w:rPr>
              <w:t>项目</w:t>
            </w:r>
            <w:r>
              <w:rPr>
                <w:rFonts w:hint="eastAsia" w:ascii="Times New Roman" w:hAnsi="Times New Roman"/>
                <w:color w:val="auto"/>
                <w:sz w:val="24"/>
              </w:rPr>
              <w:t>名录内。</w:t>
            </w:r>
            <w:r>
              <w:rPr>
                <w:rFonts w:hint="eastAsia" w:ascii="Times New Roman" w:hAnsi="Times New Roman" w:cs="Times New Roman"/>
                <w:b w:val="0"/>
                <w:bCs w:val="0"/>
                <w:color w:val="auto"/>
                <w:sz w:val="24"/>
                <w:szCs w:val="24"/>
                <w:lang w:val="en-US" w:eastAsia="zh-CN"/>
              </w:rPr>
              <w:t>对照《江苏省产业结构调整限制、淘汰和禁止目录》（2018年），本项目不属于其中的限制类、淘汰类和禁止类项目；对照《南通市工业结构调整指导目录》，本项目不属于其中的限制类或淘汰类项目。</w:t>
            </w:r>
            <w:r>
              <w:rPr>
                <w:rFonts w:hint="eastAsia" w:ascii="Times New Roman" w:hAnsi="Times New Roman"/>
                <w:color w:val="auto"/>
                <w:sz w:val="24"/>
              </w:rPr>
              <w:t>因此，本项目的建设符合国家和地方相关产业政策的要求</w:t>
            </w:r>
            <w:r>
              <w:rPr>
                <w:rFonts w:hint="eastAsia" w:ascii="Times New Roman" w:hAnsi="Times New Roman" w:eastAsia="宋体"/>
                <w:color w:val="auto"/>
                <w:sz w:val="24"/>
              </w:rPr>
              <w:t>。</w:t>
            </w:r>
          </w:p>
          <w:p>
            <w:pPr>
              <w:spacing w:line="360" w:lineRule="auto"/>
              <w:rPr>
                <w:rFonts w:ascii="Times New Roman" w:hAnsi="Times New Roman" w:eastAsia="宋体"/>
                <w:b/>
                <w:bCs/>
                <w:color w:val="auto"/>
                <w:sz w:val="24"/>
              </w:rPr>
            </w:pPr>
            <w:r>
              <w:rPr>
                <w:rFonts w:ascii="Times New Roman" w:hAnsi="Times New Roman" w:eastAsia="宋体"/>
                <w:b/>
                <w:bCs/>
                <w:color w:val="auto"/>
                <w:sz w:val="24"/>
              </w:rPr>
              <w:t>2、选址及用地规划相符性分析</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本项目位于</w:t>
            </w:r>
            <w:r>
              <w:rPr>
                <w:rFonts w:hint="eastAsia" w:ascii="Times New Roman" w:hAnsi="Times New Roman" w:eastAsia="宋体"/>
                <w:color w:val="auto"/>
                <w:sz w:val="24"/>
                <w:lang w:eastAsia="zh-CN"/>
              </w:rPr>
              <w:t>如皋市下原镇兴原路58-7号</w:t>
            </w:r>
            <w:r>
              <w:rPr>
                <w:rFonts w:ascii="Times New Roman" w:hAnsi="Times New Roman" w:eastAsia="宋体"/>
                <w:color w:val="auto"/>
                <w:sz w:val="24"/>
              </w:rPr>
              <w:t>，用地性质为工业用地。</w:t>
            </w:r>
            <w:r>
              <w:rPr>
                <w:rFonts w:hint="eastAsia" w:ascii="Times New Roman" w:hAnsi="Times New Roman" w:eastAsia="宋体"/>
                <w:color w:val="auto"/>
                <w:sz w:val="24"/>
              </w:rPr>
              <w:t>（详见附件土地证）。项目用地符合如皋市</w:t>
            </w:r>
            <w:r>
              <w:rPr>
                <w:rFonts w:hint="eastAsia" w:ascii="Times New Roman" w:hAnsi="Times New Roman"/>
                <w:color w:val="auto"/>
                <w:sz w:val="24"/>
                <w:lang w:eastAsia="zh-CN"/>
              </w:rPr>
              <w:t>下原镇</w:t>
            </w:r>
            <w:r>
              <w:rPr>
                <w:rFonts w:hint="eastAsia" w:ascii="Times New Roman" w:hAnsi="Times New Roman" w:eastAsia="宋体"/>
                <w:color w:val="auto"/>
                <w:sz w:val="24"/>
              </w:rPr>
              <w:t>土地利用总体规划和城镇规划。</w:t>
            </w:r>
          </w:p>
          <w:p>
            <w:pPr>
              <w:spacing w:line="360" w:lineRule="auto"/>
              <w:ind w:firstLine="480" w:firstLineChars="200"/>
              <w:rPr>
                <w:rFonts w:ascii="Times New Roman" w:hAnsi="Times New Roman" w:eastAsia="宋体"/>
                <w:color w:val="auto"/>
                <w:sz w:val="24"/>
              </w:rPr>
            </w:pPr>
            <w:r>
              <w:rPr>
                <w:rFonts w:hint="default" w:ascii="Times New Roman" w:hAnsi="Times New Roman" w:eastAsia="宋体"/>
                <w:color w:val="auto"/>
                <w:sz w:val="24"/>
                <w:lang w:val="en-US" w:eastAsia="zh-CN"/>
              </w:rPr>
              <w:t>项目用地</w:t>
            </w:r>
            <w:r>
              <w:rPr>
                <w:rFonts w:ascii="Times New Roman" w:hAnsi="Times New Roman" w:eastAsia="宋体"/>
                <w:color w:val="auto"/>
                <w:sz w:val="24"/>
              </w:rPr>
              <w:t>不属于《自然资源要素支撑产业高质量发展指导目录》（2024年本）中禁止、限制用地类项目</w:t>
            </w:r>
            <w:r>
              <w:rPr>
                <w:rFonts w:hint="eastAsia" w:ascii="Times New Roman" w:hAnsi="Times New Roman" w:eastAsia="宋体"/>
                <w:color w:val="auto"/>
                <w:sz w:val="24"/>
                <w:lang w:eastAsia="zh-CN"/>
              </w:rPr>
              <w:t>，</w:t>
            </w:r>
            <w:r>
              <w:rPr>
                <w:rFonts w:hint="default" w:ascii="Times New Roman" w:hAnsi="Times New Roman" w:eastAsia="宋体"/>
                <w:color w:val="auto"/>
                <w:sz w:val="24"/>
                <w:lang w:val="en-US" w:eastAsia="zh-CN"/>
              </w:rPr>
              <w:t>因此，本项目选址合理且符合用地规划</w:t>
            </w:r>
            <w:r>
              <w:rPr>
                <w:rFonts w:hint="eastAsia" w:ascii="Times New Roman" w:hAnsi="Times New Roman" w:eastAsia="宋体"/>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（1）与《市政府办公室印发</w:t>
            </w:r>
            <w:r>
              <w:rPr>
                <w:rFonts w:hint="eastAsia" w:cs="Times New Roman"/>
                <w:b/>
                <w:bCs/>
                <w:color w:val="auto"/>
                <w:sz w:val="24"/>
                <w:szCs w:val="24"/>
                <w:lang w:val="en-US" w:eastAsia="zh-CN"/>
              </w:rPr>
              <w:t>&lt;</w:t>
            </w:r>
            <w:r>
              <w:rPr>
                <w:rFonts w:hint="eastAsia" w:ascii="Times New Roman" w:hAnsi="Times New Roman" w:cs="Times New Roman"/>
                <w:b/>
                <w:bCs/>
                <w:color w:val="auto"/>
                <w:sz w:val="24"/>
                <w:szCs w:val="24"/>
                <w:lang w:val="en-US" w:eastAsia="zh-CN"/>
              </w:rPr>
              <w:t>关于进一步促进全市乡镇工业集聚区高质量发展的实施意见</w:t>
            </w:r>
            <w:r>
              <w:rPr>
                <w:rFonts w:hint="eastAsia" w:cs="Times New Roman"/>
                <w:b/>
                <w:bCs/>
                <w:color w:val="auto"/>
                <w:sz w:val="24"/>
                <w:szCs w:val="24"/>
                <w:lang w:val="en-US" w:eastAsia="zh-CN"/>
              </w:rPr>
              <w:t>〉的通知》</w:t>
            </w:r>
            <w:r>
              <w:rPr>
                <w:rFonts w:hint="eastAsia" w:ascii="Times New Roman" w:hAnsi="Times New Roman" w:cs="Times New Roman"/>
                <w:b/>
                <w:bCs/>
                <w:color w:val="auto"/>
                <w:sz w:val="24"/>
                <w:szCs w:val="24"/>
                <w:lang w:val="en-US" w:eastAsia="zh-CN"/>
              </w:rPr>
              <w:t>（通政办发〔2022〕70号）相符性分析</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本项目为</w:t>
            </w:r>
            <w:r>
              <w:rPr>
                <w:rFonts w:hint="eastAsia" w:cs="Times New Roman"/>
                <w:b w:val="0"/>
                <w:bCs w:val="0"/>
                <w:color w:val="auto"/>
                <w:sz w:val="24"/>
                <w:szCs w:val="24"/>
                <w:lang w:val="en-US" w:eastAsia="zh-CN"/>
              </w:rPr>
              <w:t>技改</w:t>
            </w:r>
            <w:r>
              <w:rPr>
                <w:rFonts w:hint="eastAsia" w:ascii="Times New Roman" w:hAnsi="Times New Roman" w:cs="Times New Roman"/>
                <w:b w:val="0"/>
                <w:bCs w:val="0"/>
                <w:color w:val="auto"/>
                <w:sz w:val="24"/>
                <w:szCs w:val="24"/>
                <w:lang w:val="en-US" w:eastAsia="zh-CN"/>
              </w:rPr>
              <w:t>项目，位于</w:t>
            </w:r>
            <w:bookmarkStart w:id="8" w:name="OLE_LINK4"/>
            <w:r>
              <w:rPr>
                <w:rFonts w:hint="eastAsia" w:ascii="Times New Roman" w:hAnsi="Times New Roman" w:eastAsia="宋体"/>
                <w:color w:val="auto"/>
                <w:sz w:val="24"/>
                <w:lang w:eastAsia="zh-CN"/>
              </w:rPr>
              <w:t>如皋市下原镇兴原路58-7号</w:t>
            </w:r>
            <w:bookmarkEnd w:id="8"/>
            <w:r>
              <w:rPr>
                <w:rFonts w:hint="eastAsia" w:ascii="Times New Roman" w:hAnsi="Times New Roman" w:cs="Times New Roman"/>
                <w:b w:val="0"/>
                <w:bCs w:val="0"/>
                <w:color w:val="auto"/>
                <w:sz w:val="24"/>
                <w:szCs w:val="24"/>
                <w:lang w:val="en-US" w:eastAsia="zh-CN"/>
              </w:rPr>
              <w:t>。项目用地为工业用地，根据附件</w:t>
            </w:r>
            <w:r>
              <w:rPr>
                <w:rFonts w:hint="eastAsia" w:cs="Times New Roman"/>
                <w:b w:val="0"/>
                <w:bCs w:val="0"/>
                <w:color w:val="auto"/>
                <w:sz w:val="24"/>
                <w:szCs w:val="24"/>
                <w:lang w:val="en-US" w:eastAsia="zh-CN"/>
              </w:rPr>
              <w:t>15</w:t>
            </w:r>
            <w:r>
              <w:rPr>
                <w:rFonts w:hint="eastAsia" w:ascii="Times New Roman" w:hAnsi="Times New Roman" w:cs="Times New Roman"/>
                <w:b w:val="0"/>
                <w:bCs w:val="0"/>
                <w:color w:val="auto"/>
                <w:sz w:val="24"/>
                <w:szCs w:val="24"/>
                <w:lang w:val="en-US" w:eastAsia="zh-CN"/>
              </w:rPr>
              <w:t>生态环境分区管控综合查询报告</w:t>
            </w:r>
            <w:r>
              <w:rPr>
                <w:rFonts w:hint="eastAsia"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本项目位于下原工业集中区。项目开工前依据流程，项目已完成</w:t>
            </w:r>
            <w:r>
              <w:rPr>
                <w:rFonts w:hint="eastAsia" w:cs="Times New Roman"/>
                <w:b w:val="0"/>
                <w:bCs w:val="0"/>
                <w:color w:val="auto"/>
                <w:sz w:val="24"/>
                <w:szCs w:val="24"/>
                <w:lang w:val="en-US" w:eastAsia="zh-CN"/>
              </w:rPr>
              <w:t>备案</w:t>
            </w:r>
            <w:r>
              <w:rPr>
                <w:rFonts w:hint="eastAsia" w:ascii="Times New Roman" w:hAnsi="Times New Roman" w:cs="Times New Roman"/>
                <w:b w:val="0"/>
                <w:bCs w:val="0"/>
                <w:color w:val="auto"/>
                <w:sz w:val="24"/>
                <w:szCs w:val="24"/>
                <w:lang w:val="en-US" w:eastAsia="zh-CN"/>
              </w:rPr>
              <w:t>。因此本项目符合《市政府办公室印发</w:t>
            </w:r>
            <w:r>
              <w:rPr>
                <w:rFonts w:hint="eastAsia" w:cs="Times New Roman"/>
                <w:b w:val="0"/>
                <w:bCs w:val="0"/>
                <w:color w:val="auto"/>
                <w:sz w:val="24"/>
                <w:szCs w:val="24"/>
                <w:lang w:val="en-US" w:eastAsia="zh-CN"/>
              </w:rPr>
              <w:t>&lt;</w:t>
            </w:r>
            <w:r>
              <w:rPr>
                <w:rFonts w:hint="eastAsia" w:ascii="Times New Roman" w:hAnsi="Times New Roman" w:cs="Times New Roman"/>
                <w:b w:val="0"/>
                <w:bCs w:val="0"/>
                <w:color w:val="auto"/>
                <w:sz w:val="24"/>
                <w:szCs w:val="24"/>
                <w:lang w:val="en-US" w:eastAsia="zh-CN"/>
              </w:rPr>
              <w:t>关于进一步促进全市乡镇工业集聚区高质量发展的实施意见&gt;的通知》</w:t>
            </w:r>
            <w:r>
              <w:rPr>
                <w:rFonts w:hint="eastAsia"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与“三区三线”划定成果和《如皋市国土空间总体规划</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2021-2035年</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》相符性分析</w:t>
            </w:r>
          </w:p>
          <w:p>
            <w:pPr>
              <w:spacing w:line="360" w:lineRule="auto"/>
              <w:ind w:firstLine="480" w:firstLineChars="200"/>
              <w:rPr>
                <w:rFonts w:hint="eastAsia"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对照《如皋市国土空间总体规划（2021-2035年）》中第三节“三区三线”划定，包括“生态保护红线、耕地和永久基本农田保护、城镇发展边界”。根据第五节“国土空间规划分区与管控”，生态保护红线区按照生态保护红线相关管控要求。必须强制性严格保护，在符合现行法律法规前提下，除国家重大战略项目外，仅允许对生态功能不造成破坏的有限人为活动；确需占用的国家重大项目，按规定办理用地审批。永久基本农田保护区按照永久基本农田保护要求进行管控。保障粮食安全和重要农产品供给，永久基本农田实施永久特殊保护。一经划定，不得转为林地、草地、园地等其他农用地及农业设施建设用地；强化永久基本农田对各类建设布局的约束，任何单位和个人不得擅自占用或者改变用途。重大建设项目选址确实难以避让的，须按相关法律法规和政策文件办理审批手续。城镇发展区按照“详细规划+规划许可”进行管控。城镇开发边界内编制详细规划，作为城镇地区开展国土空间开发保护活动、实施国土空间用途管制、核发建设工程规划许可、进行各项建设等的法定依据</w:t>
            </w:r>
            <w:r>
              <w:rPr>
                <w:rFonts w:hint="eastAsia" w:cs="Times New Roman"/>
                <w:b w:val="0"/>
                <w:bCs w:val="0"/>
                <w:color w:val="auto"/>
                <w:sz w:val="24"/>
                <w:szCs w:val="24"/>
                <w:lang w:val="en-US" w:eastAsia="zh-CN"/>
              </w:rPr>
              <w:t>。</w:t>
            </w:r>
          </w:p>
          <w:p>
            <w:pPr>
              <w:spacing w:line="360" w:lineRule="auto"/>
              <w:ind w:firstLine="480" w:firstLineChars="200"/>
              <w:rPr>
                <w:rFonts w:ascii="Times New Roman" w:hAnsi="Times New Roman" w:eastAsia="宋体"/>
                <w:b/>
                <w:color w:val="auto"/>
                <w:sz w:val="24"/>
              </w:rPr>
            </w:pPr>
            <w:r>
              <w:rPr>
                <w:rFonts w:hint="default" w:ascii="Times New Roman" w:hAnsi="Times New Roman" w:cs="Times New Roman"/>
                <w:b w:val="0"/>
                <w:bCs w:val="0"/>
                <w:color w:val="auto"/>
                <w:sz w:val="24"/>
                <w:szCs w:val="24"/>
                <w:lang w:val="en-US" w:eastAsia="zh-CN"/>
              </w:rPr>
              <w:t>对照《如皋市国土空间总体规划（2021-2035年）》（见附图</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），本项目位于城镇开发边界，符合《如皋市国土空间总体规划（2021</w:t>
            </w:r>
            <w:r>
              <w:rPr>
                <w:rFonts w:hint="eastAsia"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2035年）》相关要求。</w:t>
            </w:r>
          </w:p>
          <w:p>
            <w:pPr>
              <w:adjustRightInd w:val="0"/>
              <w:snapToGrid w:val="0"/>
              <w:spacing w:line="360" w:lineRule="auto"/>
              <w:rPr>
                <w:rFonts w:ascii="Times New Roman" w:hAnsi="Times New Roman" w:eastAsia="宋体"/>
                <w:b/>
                <w:color w:val="auto"/>
                <w:sz w:val="24"/>
              </w:rPr>
            </w:pPr>
            <w:r>
              <w:rPr>
                <w:rFonts w:hint="eastAsia" w:ascii="Times New Roman" w:hAnsi="Times New Roman" w:eastAsia="宋体"/>
                <w:b/>
                <w:color w:val="auto"/>
                <w:sz w:val="24"/>
              </w:rPr>
              <w:t>3</w:t>
            </w:r>
            <w:r>
              <w:rPr>
                <w:rFonts w:ascii="Times New Roman" w:hAnsi="Times New Roman" w:eastAsia="宋体"/>
                <w:b/>
                <w:color w:val="auto"/>
                <w:sz w:val="24"/>
              </w:rPr>
              <w:t>、“三线一单”相符性分析</w:t>
            </w:r>
          </w:p>
          <w:p>
            <w:pPr>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（1）生态红线区域保护规划</w:t>
            </w:r>
            <w:r>
              <w:rPr>
                <w:rFonts w:hint="eastAsia" w:ascii="Times New Roman" w:hAnsi="Times New Roman" w:eastAsia="宋体"/>
                <w:b/>
                <w:bCs/>
                <w:color w:val="auto"/>
                <w:sz w:val="24"/>
              </w:rPr>
              <w:t>及江苏省生态空间管控规划</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①对照《江苏省国家级生态保护红线规划》和《省政府关于调整取消部分集中式饮用水水源地保护区的通知》（苏政发</w:t>
            </w:r>
            <w:r>
              <w:rPr>
                <w:rFonts w:hint="eastAsia" w:ascii="Times New Roman" w:hAnsi="Times New Roman" w:eastAsia="宋体"/>
                <w:color w:val="auto"/>
                <w:sz w:val="24"/>
              </w:rPr>
              <w:t>〔</w:t>
            </w:r>
            <w:r>
              <w:rPr>
                <w:rFonts w:ascii="Times New Roman" w:hAnsi="Times New Roman" w:eastAsia="宋体"/>
                <w:color w:val="auto"/>
                <w:sz w:val="24"/>
              </w:rPr>
              <w:t>2020</w:t>
            </w:r>
            <w:r>
              <w:rPr>
                <w:rFonts w:hint="eastAsia" w:ascii="Times New Roman" w:hAnsi="Times New Roman" w:eastAsia="宋体"/>
                <w:color w:val="auto"/>
                <w:sz w:val="24"/>
              </w:rPr>
              <w:t>〕</w:t>
            </w:r>
            <w:r>
              <w:rPr>
                <w:rFonts w:ascii="Times New Roman" w:hAnsi="Times New Roman" w:eastAsia="宋体"/>
                <w:color w:val="auto"/>
                <w:sz w:val="24"/>
              </w:rPr>
              <w:t>82号），如皋市境内生态保护红线为长江长青沙饮用水水源保护区、长青沙水库应急水源地饮用水水源保护区、长江如皋段刀鲚国家级水产种质资源保护区。本项目位于</w:t>
            </w:r>
            <w:r>
              <w:rPr>
                <w:rFonts w:hint="eastAsia" w:ascii="Times New Roman" w:hAnsi="Times New Roman" w:eastAsia="宋体"/>
                <w:color w:val="auto"/>
                <w:sz w:val="24"/>
                <w:lang w:eastAsia="zh-CN"/>
              </w:rPr>
              <w:t>如皋市下原镇兴原路58-7号</w:t>
            </w:r>
            <w:r>
              <w:rPr>
                <w:rFonts w:ascii="Times New Roman" w:hAnsi="Times New Roman" w:eastAsia="宋体"/>
                <w:color w:val="auto"/>
                <w:sz w:val="24"/>
              </w:rPr>
              <w:t>，不在生态红线范围内，不涉及上述区域。</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对照《省政府关于印发江苏省生态空间管控区域规划的通知》（苏政发</w:t>
            </w:r>
            <w:r>
              <w:rPr>
                <w:rFonts w:hint="eastAsia" w:ascii="Times New Roman" w:hAnsi="Times New Roman" w:eastAsia="宋体"/>
                <w:color w:val="auto"/>
                <w:sz w:val="24"/>
              </w:rPr>
              <w:t>〔</w:t>
            </w:r>
            <w:r>
              <w:rPr>
                <w:rFonts w:ascii="Times New Roman" w:hAnsi="Times New Roman" w:eastAsia="宋体"/>
                <w:color w:val="auto"/>
                <w:sz w:val="24"/>
              </w:rPr>
              <w:t>2020</w:t>
            </w:r>
            <w:r>
              <w:rPr>
                <w:rFonts w:hint="eastAsia" w:ascii="Times New Roman" w:hAnsi="Times New Roman" w:eastAsia="宋体"/>
                <w:color w:val="auto"/>
                <w:sz w:val="24"/>
              </w:rPr>
              <w:t>〕</w:t>
            </w:r>
            <w:r>
              <w:rPr>
                <w:rFonts w:ascii="Times New Roman" w:hAnsi="Times New Roman" w:eastAsia="宋体"/>
                <w:color w:val="auto"/>
                <w:sz w:val="24"/>
              </w:rPr>
              <w:t>1号）及如皋市人民政府印发的《如皋市生态空间管控区域调整方案》，与本项目最近的生态空间管控区域</w:t>
            </w:r>
            <w:r>
              <w:rPr>
                <w:rFonts w:hint="eastAsia" w:ascii="Times New Roman" w:hAnsi="Times New Roman" w:eastAsia="宋体"/>
                <w:color w:val="auto"/>
                <w:sz w:val="24"/>
                <w:lang w:val="en-US" w:eastAsia="zh-CN"/>
              </w:rPr>
              <w:t>为项目所在地西侧的如海运河</w:t>
            </w:r>
            <w:r>
              <w:rPr>
                <w:rFonts w:hint="eastAsia" w:ascii="Times New Roman" w:hAnsi="Times New Roman" w:eastAsia="宋体"/>
                <w:color w:val="auto"/>
                <w:sz w:val="24"/>
              </w:rPr>
              <w:t>（如皋市）</w:t>
            </w:r>
            <w:r>
              <w:rPr>
                <w:rFonts w:ascii="Times New Roman" w:hAnsi="Times New Roman" w:eastAsia="宋体"/>
                <w:color w:val="auto"/>
                <w:sz w:val="24"/>
              </w:rPr>
              <w:t>清水通道维护区。本项目距离</w:t>
            </w:r>
            <w:r>
              <w:rPr>
                <w:rFonts w:hint="eastAsia" w:ascii="Times New Roman" w:hAnsi="Times New Roman" w:eastAsia="宋体"/>
                <w:color w:val="auto"/>
                <w:sz w:val="24"/>
                <w:lang w:val="en-US" w:eastAsia="zh-CN"/>
              </w:rPr>
              <w:t>如海运河</w:t>
            </w:r>
            <w:r>
              <w:rPr>
                <w:rFonts w:hint="eastAsia" w:ascii="Times New Roman" w:hAnsi="Times New Roman" w:eastAsia="宋体"/>
                <w:color w:val="auto"/>
                <w:sz w:val="24"/>
              </w:rPr>
              <w:t>（如皋市）</w:t>
            </w:r>
            <w:r>
              <w:rPr>
                <w:rFonts w:ascii="Times New Roman" w:hAnsi="Times New Roman" w:eastAsia="宋体"/>
                <w:color w:val="auto"/>
                <w:sz w:val="24"/>
              </w:rPr>
              <w:t>清水通道维护区</w:t>
            </w:r>
            <w:r>
              <w:rPr>
                <w:rFonts w:hint="eastAsia" w:ascii="Times New Roman" w:hAnsi="Times New Roman" w:eastAsia="宋体"/>
                <w:color w:val="auto"/>
                <w:sz w:val="24"/>
                <w:lang w:val="en-US" w:eastAsia="zh-CN"/>
              </w:rPr>
              <w:t>2700</w:t>
            </w:r>
            <w:r>
              <w:rPr>
                <w:rFonts w:ascii="Times New Roman" w:hAnsi="Times New Roman" w:eastAsia="宋体"/>
                <w:color w:val="auto"/>
                <w:sz w:val="24"/>
              </w:rPr>
              <w:t>m，不在其生态空间管控区域范围内，在项目评价范围内不涉及如皋市范围内的重要生态空间保护区域，不会导致如皋市辖区内生态空间保护区域重要生态服务功能下降。因此，本项目与《省政府关于印发江苏省生态空间管控区域规划的通知》苏政发（2020）1 号</w:t>
            </w:r>
            <w:r>
              <w:rPr>
                <w:rFonts w:hint="eastAsia" w:ascii="Times New Roman" w:hAnsi="Times New Roman" w:eastAsia="宋体"/>
                <w:color w:val="auto"/>
                <w:sz w:val="24"/>
              </w:rPr>
              <w:t>、</w:t>
            </w:r>
            <w:r>
              <w:rPr>
                <w:rFonts w:ascii="Times New Roman" w:hAnsi="Times New Roman" w:eastAsia="宋体"/>
                <w:color w:val="auto"/>
                <w:sz w:val="24"/>
              </w:rPr>
              <w:t>《如皋市生态空间管控区域调整方案》是相符的。</w:t>
            </w:r>
          </w:p>
          <w:p>
            <w:pPr>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（2）质量底线</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环境空气：环境空气</w:t>
            </w:r>
            <w:r>
              <w:rPr>
                <w:rFonts w:hint="eastAsia" w:ascii="Times New Roman" w:hAnsi="Times New Roman" w:eastAsia="宋体"/>
                <w:color w:val="auto"/>
                <w:sz w:val="24"/>
                <w:lang w:eastAsia="zh-CN"/>
              </w:rPr>
              <w:t>：</w:t>
            </w:r>
            <w:r>
              <w:rPr>
                <w:rFonts w:ascii="Times New Roman" w:hAnsi="Times New Roman" w:eastAsia="宋体"/>
                <w:color w:val="auto"/>
                <w:sz w:val="24"/>
              </w:rPr>
              <w:t>根据《南通市生态环境状况公报（2024年）》及如皋市生态环境局统计数据，如皋市2024年各污染因子均能满足《环境空气质量标准》（GB3095-2012）二级标准，判定为达标区</w:t>
            </w:r>
            <w:r>
              <w:rPr>
                <w:rFonts w:hint="eastAsia" w:ascii="Times New Roman" w:hAnsi="Times New Roman" w:eastAsia="宋体"/>
                <w:color w:val="auto"/>
                <w:sz w:val="24"/>
              </w:rPr>
              <w:t>。</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地表水：</w:t>
            </w:r>
            <w:r>
              <w:rPr>
                <w:rFonts w:ascii="Times New Roman" w:hAnsi="Times New Roman" w:eastAsia="宋体"/>
                <w:color w:val="auto"/>
                <w:sz w:val="24"/>
              </w:rPr>
              <w:t>南通市共有16个国家考核断面，均达到或优于《地表水环境质量标准》（GB3838-2002）Ⅲ类标准。55个省考以上断面中，碾砣港闸、聚南大桥、营船港闸、通吕二号桥、东湖桥等19个断面水质符合Ⅱ类标准，孙窑大桥、嫩江路桥、新江海河桥、团结新大桥等36个断面水质符合Ⅲ类标准，优Ⅲ类比例100%，高于省定98.2%的考核标准；无Ⅴ类和劣Ⅴ类断面。</w:t>
            </w:r>
          </w:p>
          <w:p>
            <w:pPr>
              <w:spacing w:line="360" w:lineRule="auto"/>
              <w:ind w:firstLine="480" w:firstLineChars="200"/>
              <w:rPr>
                <w:rFonts w:ascii="Times New Roman" w:hAnsi="Times New Roman" w:eastAsia="宋体"/>
                <w:color w:val="auto"/>
                <w:sz w:val="24"/>
                <w:highlight w:val="yellow"/>
              </w:rPr>
            </w:pPr>
            <w:r>
              <w:rPr>
                <w:rFonts w:ascii="Times New Roman" w:hAnsi="Times New Roman" w:eastAsia="宋体"/>
                <w:color w:val="auto"/>
                <w:sz w:val="24"/>
              </w:rPr>
              <w:t>声环境：</w:t>
            </w:r>
            <w:r>
              <w:rPr>
                <w:rFonts w:hint="eastAsia" w:ascii="Times New Roman" w:hAnsi="Times New Roman" w:eastAsia="宋体"/>
                <w:color w:val="auto"/>
                <w:sz w:val="24"/>
                <w:lang w:eastAsia="zh-CN"/>
              </w:rPr>
              <w:t>根据《南通市生态环境状况公报(2024年)》如皋市工业区声环境质量昼间区域噪声平均等效声级为 55B(A)、夜间为 50 B(A)，区域声环境等级均处于二级水平。如皋市各功能区昼间声环境质量均符合相应功能区要求</w:t>
            </w:r>
            <w:r>
              <w:rPr>
                <w:rFonts w:hint="eastAsia" w:ascii="Times New Roman" w:hAnsi="Times New Roman" w:eastAsia="宋体"/>
                <w:color w:val="auto"/>
                <w:sz w:val="24"/>
              </w:rPr>
              <w:t>。运营期采取相应的污染防治措施后，各类污染物能够达标排放，不会改变区域环境功能区质量要求，能维持环境功能区质量现状</w:t>
            </w:r>
            <w:r>
              <w:rPr>
                <w:rFonts w:ascii="Times New Roman" w:hAnsi="Times New Roman" w:eastAsia="宋体"/>
                <w:color w:val="auto"/>
                <w:sz w:val="24"/>
              </w:rPr>
              <w:t>。</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本项目废水、废气、固废均得到合理处置，噪声对周边影响较小，不会突破项目所在地的环境质量底线。因此项目建设符合环境质量底线标准。</w:t>
            </w:r>
          </w:p>
          <w:p>
            <w:pPr>
              <w:pStyle w:val="3"/>
              <w:adjustRightInd w:val="0"/>
              <w:snapToGrid w:val="0"/>
              <w:spacing w:line="360" w:lineRule="auto"/>
              <w:ind w:firstLine="482" w:firstLineChars="200"/>
              <w:rPr>
                <w:rFonts w:ascii="Times New Roman" w:hAnsi="Times New Roman" w:eastAsia="宋体"/>
                <w:color w:val="auto"/>
                <w:sz w:val="24"/>
                <w:szCs w:val="24"/>
              </w:rPr>
            </w:pPr>
            <w:r>
              <w:rPr>
                <w:rFonts w:ascii="Times New Roman" w:hAnsi="Times New Roman" w:eastAsia="宋体"/>
                <w:color w:val="auto"/>
                <w:sz w:val="24"/>
                <w:szCs w:val="24"/>
              </w:rPr>
              <w:t>（3）资源利用上线</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项目用水由当地的自来水部门供给，用电来自当地供电网。本项目的用水、用电不会对自来水厂、供电单位产生负担。因此本项目不会超出资源利用上线。项目用地为工业用地，符合当地土地规划要求。因此本项目建设符合资源利用上线的要求。</w:t>
            </w:r>
          </w:p>
          <w:p>
            <w:pPr>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（4）环境准入负面清单</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①对照《&lt;长江经济带发展负面清单指南&gt;（试行）》（长江办</w:t>
            </w:r>
            <w:r>
              <w:rPr>
                <w:rFonts w:hint="eastAsia"/>
                <w:color w:val="auto"/>
                <w:sz w:val="24"/>
                <w:lang w:eastAsia="zh-CN"/>
              </w:rPr>
              <w:t>〔2022〕</w:t>
            </w:r>
            <w:r>
              <w:rPr>
                <w:rFonts w:ascii="Times New Roman" w:hAnsi="Times New Roman" w:eastAsia="宋体"/>
                <w:color w:val="auto"/>
                <w:sz w:val="24"/>
              </w:rPr>
              <w:t>7 号）），本项目不在长江经济带发展负面清单指南提出的禁止范畴内，符合指导意见要求，详见表1-</w:t>
            </w:r>
            <w:r>
              <w:rPr>
                <w:rFonts w:hint="eastAsia"/>
                <w:color w:val="auto"/>
                <w:sz w:val="24"/>
                <w:lang w:val="en-US" w:eastAsia="zh-CN"/>
              </w:rPr>
              <w:t>2</w:t>
            </w:r>
            <w:r>
              <w:rPr>
                <w:rFonts w:ascii="Times New Roman" w:hAnsi="Times New Roman" w:eastAsia="宋体"/>
                <w:color w:val="auto"/>
                <w:sz w:val="24"/>
              </w:rPr>
              <w:t>。</w:t>
            </w:r>
          </w:p>
          <w:p>
            <w:pPr>
              <w:pStyle w:val="26"/>
              <w:ind w:firstLine="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表1-</w:t>
            </w:r>
            <w:r>
              <w:rPr>
                <w:rFonts w:hint="eastAsia"/>
                <w:b/>
                <w:bCs/>
                <w:color w:val="auto"/>
                <w:sz w:val="21"/>
                <w:szCs w:val="21"/>
                <w:lang w:val="en-US" w:eastAsia="zh-CN"/>
              </w:rPr>
              <w:t>2</w:t>
            </w:r>
            <w:r>
              <w:rPr>
                <w:rFonts w:ascii="Times New Roman" w:hAnsi="Times New Roman" w:eastAsia="宋体"/>
                <w:b/>
                <w:bCs/>
                <w:color w:val="auto"/>
                <w:sz w:val="21"/>
                <w:szCs w:val="21"/>
              </w:rPr>
              <w:t xml:space="preserve">  与《&lt;长江经济带发展负面清单指南&gt;（长江办</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2022</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7号）》</w:t>
            </w:r>
          </w:p>
          <w:p>
            <w:pPr>
              <w:pStyle w:val="26"/>
              <w:ind w:firstLine="0"/>
              <w:jc w:val="center"/>
              <w:rPr>
                <w:rFonts w:ascii="Times New Roman" w:hAnsi="Times New Roman" w:eastAsia="宋体"/>
                <w:b/>
                <w:bCs/>
                <w:color w:val="auto"/>
                <w:sz w:val="21"/>
                <w:szCs w:val="21"/>
              </w:rPr>
            </w:pPr>
            <w:r>
              <w:rPr>
                <w:rFonts w:ascii="Times New Roman" w:hAnsi="Times New Roman" w:eastAsia="宋体"/>
                <w:b/>
                <w:bCs/>
                <w:color w:val="auto"/>
                <w:sz w:val="21"/>
                <w:szCs w:val="21"/>
              </w:rPr>
              <w:t>相符性分析</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39"/>
              <w:gridCol w:w="3322"/>
              <w:gridCol w:w="2486"/>
              <w:gridCol w:w="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序号</w:t>
                  </w:r>
                </w:p>
              </w:tc>
              <w:tc>
                <w:tcPr>
                  <w:tcW w:w="2404"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管控条款</w:t>
                  </w:r>
                </w:p>
              </w:tc>
              <w:tc>
                <w:tcPr>
                  <w:tcW w:w="1799"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本项目情况</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1</w:t>
                  </w:r>
                </w:p>
              </w:tc>
              <w:tc>
                <w:tcPr>
                  <w:tcW w:w="2404"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禁止建设不符合全国和省级港口布局规划以及港口总体规划的码头项目，禁止建设不符 合《长江干线过江通道布局规划》的过长江干线通道项目。</w:t>
                  </w:r>
                </w:p>
              </w:tc>
              <w:tc>
                <w:tcPr>
                  <w:tcW w:w="1799"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pacing w:val="-2"/>
                      <w:kern w:val="2"/>
                      <w:szCs w:val="21"/>
                      <w:lang w:eastAsia="zh-CN" w:bidi="en-US"/>
                    </w:rPr>
                    <w:t>本项目不属于码头及长江干线过江通道项目。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2</w:t>
                  </w:r>
                </w:p>
              </w:tc>
              <w:tc>
                <w:tcPr>
                  <w:tcW w:w="2404"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1799"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kern w:val="2"/>
                      <w:szCs w:val="21"/>
                      <w:lang w:eastAsia="zh-CN" w:bidi="en-US"/>
                    </w:rPr>
                    <w:t>本项目</w:t>
                  </w:r>
                  <w:r>
                    <w:rPr>
                      <w:rFonts w:ascii="Times New Roman" w:hAnsi="Times New Roman" w:eastAsia="宋体"/>
                      <w:color w:val="auto"/>
                      <w:szCs w:val="21"/>
                      <w:lang w:eastAsia="zh-CN" w:bidi="en-US"/>
                    </w:rPr>
                    <w:t>位于</w:t>
                  </w:r>
                  <w:r>
                    <w:rPr>
                      <w:rFonts w:hint="eastAsia" w:ascii="Times New Roman" w:hAnsi="Times New Roman" w:eastAsia="宋体"/>
                      <w:color w:val="auto"/>
                      <w:szCs w:val="21"/>
                      <w:lang w:eastAsia="zh-CN" w:bidi="en-US"/>
                    </w:rPr>
                    <w:t>如皋市下原镇兴原路58-7号</w:t>
                  </w:r>
                  <w:r>
                    <w:rPr>
                      <w:rFonts w:ascii="Times New Roman" w:hAnsi="Times New Roman" w:eastAsia="宋体"/>
                      <w:color w:val="auto"/>
                      <w:kern w:val="2"/>
                      <w:szCs w:val="21"/>
                      <w:lang w:eastAsia="zh-CN" w:bidi="en-US"/>
                    </w:rPr>
                    <w:t>，不在自然保护区核心区、缓冲区的岸线和河段范围内，不在国家级和省级风景名胜区核心景区的岸线和河段范围内。</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3</w:t>
                  </w:r>
                </w:p>
              </w:tc>
              <w:tc>
                <w:tcPr>
                  <w:tcW w:w="2404"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99"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，不在饮用水水源一级保护区的岸线和河段范围内，不在饮用水水源二级保护区的岸线和河段范围内。</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pacing w:val="4"/>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4</w:t>
                  </w:r>
                </w:p>
              </w:tc>
              <w:tc>
                <w:tcPr>
                  <w:tcW w:w="2404"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禁止在水产种质资源保护区的岸线和河段范围内新建围湖造田、围海造地或围</w:t>
                  </w:r>
                  <w:r>
                    <w:rPr>
                      <w:rFonts w:hint="eastAsia"/>
                      <w:color w:val="auto"/>
                      <w:szCs w:val="21"/>
                      <w:lang w:val="en-US" w:eastAsia="zh-CN"/>
                    </w:rPr>
                    <w:t>填</w:t>
                  </w:r>
                  <w:r>
                    <w:rPr>
                      <w:rFonts w:ascii="Times New Roman" w:hAnsi="Times New Roman" w:eastAsia="宋体"/>
                      <w:color w:val="auto"/>
                      <w:szCs w:val="21"/>
                    </w:rPr>
                    <w:t>海等投资建设项目。禁止在国家湿地公园的岸线和河段范围内挖沙、采矿，以及任何不符合主体功能定位的投资建设项目。</w:t>
                  </w:r>
                </w:p>
              </w:tc>
              <w:tc>
                <w:tcPr>
                  <w:tcW w:w="1799"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，不在国家级和省级水产种质资源保护区的岸线和河段范围内，不在国家湿地公园的岸线和河段范围内。</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5</w:t>
                  </w:r>
                </w:p>
              </w:tc>
              <w:tc>
                <w:tcPr>
                  <w:tcW w:w="2404"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99"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，不在《长江岸线保护和开发利用总体规划》划定的岸线保护区和岸线保留区内，不在《全国重要江河湖泊水功能区划》划定的河段保护区、保留区内。</w:t>
                  </w:r>
                </w:p>
                <w:p>
                  <w:pPr>
                    <w:autoSpaceDE w:val="0"/>
                    <w:adjustRightInd w:val="0"/>
                    <w:snapToGrid w:val="0"/>
                    <w:jc w:val="center"/>
                    <w:rPr>
                      <w:rFonts w:ascii="Times New Roman" w:hAnsi="Times New Roman" w:eastAsia="宋体"/>
                      <w:color w:val="auto"/>
                      <w:spacing w:val="4"/>
                      <w:szCs w:val="21"/>
                    </w:rPr>
                  </w:pP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pacing w:val="4"/>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6</w:t>
                  </w:r>
                </w:p>
              </w:tc>
              <w:tc>
                <w:tcPr>
                  <w:tcW w:w="2404" w:type="pct"/>
                  <w:tcBorders>
                    <w:tl2br w:val="nil"/>
                    <w:tr2bl w:val="nil"/>
                  </w:tcBorders>
                  <w:vAlign w:val="center"/>
                </w:tcPr>
                <w:p>
                  <w:pPr>
                    <w:pStyle w:val="29"/>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禁止未经许可在长江干支流及湖泊新设、改设或扩大排污口。</w:t>
                  </w:r>
                </w:p>
              </w:tc>
              <w:tc>
                <w:tcPr>
                  <w:tcW w:w="1799" w:type="pct"/>
                  <w:tcBorders>
                    <w:tl2br w:val="nil"/>
                    <w:tr2bl w:val="nil"/>
                  </w:tcBorders>
                  <w:vAlign w:val="center"/>
                </w:tcPr>
                <w:p>
                  <w:pPr>
                    <w:pStyle w:val="29"/>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本项目不涉及。</w:t>
                  </w:r>
                </w:p>
              </w:tc>
              <w:tc>
                <w:tcPr>
                  <w:tcW w:w="477" w:type="pct"/>
                  <w:tcBorders>
                    <w:tl2br w:val="nil"/>
                    <w:tr2bl w:val="nil"/>
                  </w:tcBorders>
                  <w:vAlign w:val="center"/>
                </w:tcPr>
                <w:p>
                  <w:pPr>
                    <w:pStyle w:val="27"/>
                    <w:spacing w:beforeLines="0" w:afterLines="0" w:line="240" w:lineRule="auto"/>
                    <w:jc w:val="center"/>
                    <w:rPr>
                      <w:rFonts w:ascii="Times New Roman" w:hAnsi="Times New Roman" w:eastAsia="宋体"/>
                      <w:color w:val="auto"/>
                      <w:spacing w:val="4"/>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7</w:t>
                  </w:r>
                </w:p>
                <w:p>
                  <w:pPr>
                    <w:pStyle w:val="27"/>
                    <w:spacing w:beforeLines="0" w:afterLines="0" w:line="240" w:lineRule="auto"/>
                    <w:jc w:val="center"/>
                    <w:rPr>
                      <w:rFonts w:ascii="Times New Roman" w:hAnsi="Times New Roman" w:eastAsia="宋体"/>
                      <w:color w:val="auto"/>
                      <w:szCs w:val="21"/>
                      <w:lang w:bidi="en-US"/>
                    </w:rPr>
                  </w:pPr>
                </w:p>
              </w:tc>
              <w:tc>
                <w:tcPr>
                  <w:tcW w:w="2404" w:type="pct"/>
                  <w:tcBorders>
                    <w:tl2br w:val="nil"/>
                    <w:tr2bl w:val="nil"/>
                  </w:tcBorders>
                  <w:vAlign w:val="center"/>
                </w:tcPr>
                <w:p>
                  <w:pPr>
                    <w:pStyle w:val="29"/>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禁止在“一江一口两湖七河”和 332 个水生生物保护区开展生产性捕捞。</w:t>
                  </w:r>
                </w:p>
              </w:tc>
              <w:tc>
                <w:tcPr>
                  <w:tcW w:w="1799" w:type="pct"/>
                  <w:tcBorders>
                    <w:tl2br w:val="nil"/>
                    <w:tr2bl w:val="nil"/>
                  </w:tcBorders>
                  <w:vAlign w:val="center"/>
                </w:tcPr>
                <w:p>
                  <w:pPr>
                    <w:autoSpaceDE w:val="0"/>
                    <w:adjustRightInd w:val="0"/>
                    <w:snapToGrid w:val="0"/>
                    <w:jc w:val="center"/>
                    <w:rPr>
                      <w:rFonts w:ascii="Times New Roman" w:hAnsi="Times New Roman" w:eastAsia="宋体"/>
                      <w:color w:val="auto"/>
                      <w:spacing w:val="4"/>
                      <w:szCs w:val="21"/>
                    </w:rPr>
                  </w:pPr>
                  <w:r>
                    <w:rPr>
                      <w:rFonts w:ascii="Times New Roman" w:hAnsi="Times New Roman" w:eastAsia="宋体"/>
                      <w:color w:val="auto"/>
                      <w:szCs w:val="21"/>
                    </w:rPr>
                    <w:t>本项目不涉及。</w:t>
                  </w:r>
                </w:p>
              </w:tc>
              <w:tc>
                <w:tcPr>
                  <w:tcW w:w="477" w:type="pct"/>
                  <w:tcBorders>
                    <w:tl2br w:val="nil"/>
                    <w:tr2bl w:val="nil"/>
                  </w:tcBorders>
                  <w:vAlign w:val="center"/>
                </w:tcPr>
                <w:p>
                  <w:pPr>
                    <w:pStyle w:val="27"/>
                    <w:spacing w:beforeLines="0" w:afterLines="0" w:line="240" w:lineRule="auto"/>
                    <w:jc w:val="center"/>
                    <w:rPr>
                      <w:rFonts w:ascii="Times New Roman" w:hAnsi="Times New Roman" w:eastAsia="宋体"/>
                      <w:color w:val="auto"/>
                      <w:spacing w:val="4"/>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8</w:t>
                  </w:r>
                </w:p>
              </w:tc>
              <w:tc>
                <w:tcPr>
                  <w:tcW w:w="2404" w:type="pct"/>
                  <w:tcBorders>
                    <w:tl2br w:val="nil"/>
                    <w:tr2bl w:val="nil"/>
                  </w:tcBorders>
                  <w:vAlign w:val="center"/>
                </w:tcPr>
                <w:p>
                  <w:pPr>
                    <w:pStyle w:val="29"/>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99" w:type="pct"/>
                  <w:tcBorders>
                    <w:tl2br w:val="nil"/>
                    <w:tr2bl w:val="nil"/>
                  </w:tcBorders>
                  <w:vAlign w:val="center"/>
                </w:tcPr>
                <w:p>
                  <w:pPr>
                    <w:pStyle w:val="29"/>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本项目不属于化工项目。</w:t>
                  </w:r>
                </w:p>
              </w:tc>
              <w:tc>
                <w:tcPr>
                  <w:tcW w:w="477" w:type="pct"/>
                  <w:tcBorders>
                    <w:tl2br w:val="nil"/>
                    <w:tr2bl w:val="nil"/>
                  </w:tcBorders>
                  <w:vAlign w:val="center"/>
                </w:tcPr>
                <w:p>
                  <w:pPr>
                    <w:pStyle w:val="27"/>
                    <w:spacing w:beforeLines="0" w:afterLines="0" w:line="240" w:lineRule="auto"/>
                    <w:jc w:val="center"/>
                    <w:rPr>
                      <w:rFonts w:ascii="Times New Roman" w:hAnsi="Times New Roman" w:eastAsia="宋体"/>
                      <w:color w:val="auto"/>
                      <w:spacing w:val="4"/>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9</w:t>
                  </w:r>
                </w:p>
              </w:tc>
              <w:tc>
                <w:tcPr>
                  <w:tcW w:w="2404" w:type="pct"/>
                  <w:tcBorders>
                    <w:tl2br w:val="nil"/>
                    <w:tr2bl w:val="nil"/>
                  </w:tcBorders>
                  <w:vAlign w:val="center"/>
                </w:tcPr>
                <w:p>
                  <w:pPr>
                    <w:pStyle w:val="29"/>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禁止在合规园区外新建、扩建钢铁、石化、化工、焦化、建材、有色等高污染项目。</w:t>
                  </w:r>
                </w:p>
              </w:tc>
              <w:tc>
                <w:tcPr>
                  <w:tcW w:w="1799"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pacing w:val="-2"/>
                      <w:kern w:val="2"/>
                      <w:szCs w:val="21"/>
                      <w:lang w:eastAsia="zh-CN"/>
                    </w:rPr>
                  </w:pPr>
                  <w:r>
                    <w:rPr>
                      <w:rFonts w:ascii="Times New Roman" w:hAnsi="Times New Roman" w:eastAsia="宋体"/>
                      <w:color w:val="auto"/>
                      <w:spacing w:val="-2"/>
                      <w:kern w:val="2"/>
                      <w:szCs w:val="21"/>
                      <w:lang w:eastAsia="zh-CN" w:bidi="en-US"/>
                    </w:rPr>
                    <w:t>本项目不属于</w:t>
                  </w:r>
                  <w:r>
                    <w:rPr>
                      <w:rFonts w:ascii="Times New Roman" w:hAnsi="Times New Roman" w:eastAsia="宋体"/>
                      <w:color w:val="auto"/>
                      <w:szCs w:val="21"/>
                      <w:lang w:eastAsia="zh-CN" w:bidi="en-US"/>
                    </w:rPr>
                    <w:t>钢铁、石化、化工、焦化、建材、有色等高污染项目</w:t>
                  </w:r>
                  <w:r>
                    <w:rPr>
                      <w:rFonts w:ascii="Times New Roman" w:hAnsi="Times New Roman" w:eastAsia="宋体"/>
                      <w:color w:val="auto"/>
                      <w:spacing w:val="-2"/>
                      <w:kern w:val="2"/>
                      <w:szCs w:val="21"/>
                      <w:lang w:eastAsia="zh-CN" w:bidi="en-US"/>
                    </w:rPr>
                    <w:t>。</w:t>
                  </w:r>
                </w:p>
              </w:tc>
              <w:tc>
                <w:tcPr>
                  <w:tcW w:w="477" w:type="pct"/>
                  <w:tcBorders>
                    <w:tl2br w:val="nil"/>
                    <w:tr2bl w:val="nil"/>
                  </w:tcBorders>
                  <w:vAlign w:val="center"/>
                </w:tcPr>
                <w:p>
                  <w:pPr>
                    <w:pStyle w:val="27"/>
                    <w:spacing w:beforeLines="0" w:afterLines="0" w:line="240" w:lineRule="auto"/>
                    <w:jc w:val="center"/>
                    <w:rPr>
                      <w:rFonts w:ascii="Times New Roman" w:hAnsi="Times New Roman" w:eastAsia="宋体"/>
                      <w:color w:val="auto"/>
                      <w:spacing w:val="4"/>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10</w:t>
                  </w:r>
                </w:p>
              </w:tc>
              <w:tc>
                <w:tcPr>
                  <w:tcW w:w="2404" w:type="pct"/>
                  <w:tcBorders>
                    <w:tl2br w:val="nil"/>
                    <w:tr2bl w:val="nil"/>
                  </w:tcBorders>
                  <w:vAlign w:val="center"/>
                </w:tcPr>
                <w:p>
                  <w:pPr>
                    <w:pStyle w:val="29"/>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禁止新建、扩建不符合国家石化、现代煤化工等产业布局规划的项目。</w:t>
                  </w:r>
                </w:p>
              </w:tc>
              <w:tc>
                <w:tcPr>
                  <w:tcW w:w="1799"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pacing w:val="-2"/>
                      <w:kern w:val="2"/>
                      <w:szCs w:val="21"/>
                      <w:lang w:eastAsia="zh-CN"/>
                    </w:rPr>
                  </w:pPr>
                  <w:r>
                    <w:rPr>
                      <w:rFonts w:ascii="Times New Roman" w:hAnsi="Times New Roman" w:eastAsia="宋体"/>
                      <w:color w:val="auto"/>
                      <w:spacing w:val="-2"/>
                      <w:kern w:val="2"/>
                      <w:szCs w:val="21"/>
                      <w:lang w:eastAsia="zh-CN" w:bidi="en-US"/>
                    </w:rPr>
                    <w:t>本项目不属于国家石化、现代煤化工等产业。</w:t>
                  </w:r>
                </w:p>
              </w:tc>
              <w:tc>
                <w:tcPr>
                  <w:tcW w:w="477"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11</w:t>
                  </w:r>
                </w:p>
              </w:tc>
              <w:tc>
                <w:tcPr>
                  <w:tcW w:w="2404" w:type="pct"/>
                  <w:tcBorders>
                    <w:tl2br w:val="nil"/>
                    <w:tr2bl w:val="nil"/>
                  </w:tcBorders>
                  <w:vAlign w:val="center"/>
                </w:tcPr>
                <w:p>
                  <w:pPr>
                    <w:pStyle w:val="29"/>
                    <w:autoSpaceDE w:val="0"/>
                    <w:adjustRightInd w:val="0"/>
                    <w:snapToGrid w:val="0"/>
                    <w:jc w:val="center"/>
                    <w:rPr>
                      <w:rFonts w:ascii="Times New Roman" w:hAnsi="Times New Roman" w:eastAsia="宋体"/>
                      <w:color w:val="auto"/>
                      <w:kern w:val="0"/>
                      <w:szCs w:val="21"/>
                    </w:rPr>
                  </w:pPr>
                  <w:r>
                    <w:rPr>
                      <w:rFonts w:ascii="Times New Roman" w:hAnsi="Times New Roman" w:eastAsia="宋体"/>
                      <w:color w:val="auto"/>
                      <w:szCs w:val="21"/>
                    </w:rPr>
                    <w:t>禁止新建、扩建法律法规和相关政策明令禁止的落后产能项目。禁止新建、扩建不符合国家产能置换要求的严重过剩产能行业的项目。禁止新建、扩建不符合要求的高能耗高排放项目。</w:t>
                  </w:r>
                </w:p>
              </w:tc>
              <w:tc>
                <w:tcPr>
                  <w:tcW w:w="1799"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pacing w:val="-2"/>
                      <w:kern w:val="2"/>
                      <w:szCs w:val="21"/>
                      <w:lang w:eastAsia="zh-CN"/>
                    </w:rPr>
                  </w:pPr>
                  <w:r>
                    <w:rPr>
                      <w:rFonts w:ascii="Times New Roman" w:hAnsi="Times New Roman" w:eastAsia="宋体"/>
                      <w:color w:val="auto"/>
                      <w:spacing w:val="-2"/>
                      <w:kern w:val="2"/>
                      <w:szCs w:val="21"/>
                      <w:lang w:eastAsia="zh-CN" w:bidi="en-US"/>
                    </w:rPr>
                    <w:t>本项目不属于法律法规和相关政策明令禁止的落后产能项目，不属于国家产能置换要求的严重过剩产能行业的项目，不属于高耗能高排放项目。</w:t>
                  </w:r>
                </w:p>
              </w:tc>
              <w:tc>
                <w:tcPr>
                  <w:tcW w:w="477" w:type="pct"/>
                  <w:tcBorders>
                    <w:tl2br w:val="nil"/>
                    <w:tr2bl w:val="nil"/>
                  </w:tcBorders>
                  <w:vAlign w:val="center"/>
                </w:tcPr>
                <w:p>
                  <w:pPr>
                    <w:pStyle w:val="27"/>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相符</w:t>
                  </w:r>
                </w:p>
              </w:tc>
            </w:tr>
          </w:tbl>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②对照</w:t>
            </w:r>
            <w:r>
              <w:rPr>
                <w:rFonts w:hint="default" w:ascii="Times New Roman" w:hAnsi="Times New Roman" w:eastAsia="宋体"/>
                <w:color w:val="auto"/>
                <w:sz w:val="24"/>
              </w:rPr>
              <w:t>《</w:t>
            </w:r>
            <w:r>
              <w:rPr>
                <w:rFonts w:hint="default" w:ascii="Times New Roman" w:hAnsi="Times New Roman" w:eastAsia="宋体"/>
                <w:color w:val="auto"/>
                <w:sz w:val="24"/>
                <w:lang w:eastAsia="zh-CN"/>
              </w:rPr>
              <w:t>〈</w:t>
            </w:r>
            <w:r>
              <w:rPr>
                <w:rFonts w:hint="default" w:ascii="Times New Roman" w:hAnsi="Times New Roman" w:eastAsia="宋体"/>
                <w:color w:val="auto"/>
                <w:sz w:val="24"/>
              </w:rPr>
              <w:t>长江经济带发展负面清单指南（试行</w:t>
            </w: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2022年版</w:t>
            </w:r>
            <w:r>
              <w:rPr>
                <w:rFonts w:hint="default" w:ascii="Times New Roman" w:hAnsi="Times New Roman" w:eastAsia="宋体"/>
                <w:color w:val="auto"/>
                <w:sz w:val="24"/>
              </w:rPr>
              <w:t>）</w:t>
            </w:r>
            <w:r>
              <w:rPr>
                <w:rFonts w:hint="default" w:ascii="Times New Roman" w:hAnsi="Times New Roman" w:eastAsia="宋体"/>
                <w:color w:val="auto"/>
                <w:sz w:val="24"/>
                <w:lang w:eastAsia="zh-CN"/>
              </w:rPr>
              <w:t>〉</w:t>
            </w:r>
            <w:r>
              <w:rPr>
                <w:rFonts w:hint="default" w:ascii="Times New Roman" w:hAnsi="Times New Roman" w:eastAsia="宋体"/>
                <w:color w:val="auto"/>
                <w:sz w:val="24"/>
              </w:rPr>
              <w:t>江苏省实施细则》（苏长江办发〔</w:t>
            </w:r>
            <w:r>
              <w:rPr>
                <w:rFonts w:hint="default" w:ascii="Times New Roman" w:hAnsi="Times New Roman" w:eastAsia="宋体"/>
                <w:color w:val="auto"/>
                <w:sz w:val="24"/>
                <w:lang w:val="en-US" w:eastAsia="zh-CN"/>
              </w:rPr>
              <w:t>2022</w:t>
            </w:r>
            <w:r>
              <w:rPr>
                <w:rFonts w:hint="default" w:ascii="Times New Roman" w:hAnsi="Times New Roman" w:eastAsia="宋体"/>
                <w:color w:val="auto"/>
                <w:sz w:val="24"/>
              </w:rPr>
              <w:t>〕</w:t>
            </w:r>
            <w:r>
              <w:rPr>
                <w:rFonts w:hint="default" w:ascii="Times New Roman" w:hAnsi="Times New Roman" w:eastAsia="宋体"/>
                <w:color w:val="auto"/>
                <w:sz w:val="24"/>
                <w:lang w:val="en-US" w:eastAsia="zh-CN"/>
              </w:rPr>
              <w:t>55</w:t>
            </w:r>
            <w:r>
              <w:rPr>
                <w:rFonts w:hint="default" w:ascii="Times New Roman" w:hAnsi="Times New Roman" w:eastAsia="宋体"/>
                <w:color w:val="auto"/>
                <w:sz w:val="24"/>
              </w:rPr>
              <w:t>号）</w:t>
            </w:r>
            <w:r>
              <w:rPr>
                <w:rFonts w:ascii="Times New Roman" w:hAnsi="Times New Roman" w:eastAsia="宋体"/>
                <w:color w:val="auto"/>
                <w:sz w:val="24"/>
              </w:rPr>
              <w:t>，本项目不在长江经济带发展负面清单指南提出的禁止范畴内，因此符合指导意见要求。具体管控要求对照详见表1-</w:t>
            </w:r>
            <w:r>
              <w:rPr>
                <w:rFonts w:hint="eastAsia"/>
                <w:color w:val="auto"/>
                <w:sz w:val="24"/>
                <w:lang w:val="en-US" w:eastAsia="zh-CN"/>
              </w:rPr>
              <w:t>3</w:t>
            </w:r>
            <w:r>
              <w:rPr>
                <w:rFonts w:ascii="Times New Roman" w:hAnsi="Times New Roman" w:eastAsia="宋体"/>
                <w:color w:val="auto"/>
                <w:sz w:val="24"/>
              </w:rPr>
              <w:t>。</w:t>
            </w:r>
          </w:p>
          <w:p>
            <w:pPr>
              <w:pStyle w:val="26"/>
              <w:ind w:firstLine="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表1-</w:t>
            </w:r>
            <w:r>
              <w:rPr>
                <w:rFonts w:hint="eastAsia"/>
                <w:b/>
                <w:bCs/>
                <w:color w:val="auto"/>
                <w:sz w:val="21"/>
                <w:szCs w:val="21"/>
                <w:lang w:val="en-US" w:eastAsia="zh-CN"/>
              </w:rPr>
              <w:t>3</w:t>
            </w:r>
            <w:r>
              <w:rPr>
                <w:rFonts w:ascii="Times New Roman" w:hAnsi="Times New Roman" w:eastAsia="宋体"/>
                <w:b/>
                <w:bCs/>
                <w:color w:val="auto"/>
                <w:sz w:val="21"/>
                <w:szCs w:val="21"/>
              </w:rPr>
              <w:t xml:space="preserve">  与《&lt;长江经济带发展负面清单指南&gt;江苏省实施细则》相符性分析</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39"/>
              <w:gridCol w:w="3351"/>
              <w:gridCol w:w="2457"/>
              <w:gridCol w:w="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序号</w:t>
                  </w:r>
                </w:p>
              </w:tc>
              <w:tc>
                <w:tcPr>
                  <w:tcW w:w="2426"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管控条款</w:t>
                  </w:r>
                </w:p>
              </w:tc>
              <w:tc>
                <w:tcPr>
                  <w:tcW w:w="1778"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本项目情况</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b/>
                      <w:bCs/>
                      <w:color w:val="auto"/>
                      <w:szCs w:val="21"/>
                      <w:lang w:bidi="en-US"/>
                    </w:rPr>
                  </w:pPr>
                  <w:r>
                    <w:rPr>
                      <w:rFonts w:ascii="Times New Roman" w:hAnsi="Times New Roman" w:eastAsia="宋体"/>
                      <w:b/>
                      <w:bCs/>
                      <w:color w:val="auto"/>
                      <w:szCs w:val="21"/>
                      <w:lang w:bidi="en-US"/>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1</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禁止建设不符合国家港口布局规划和《江苏省沿江沿海港口布局规划（2015</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2030年）》《江苏省内河港口布局规划（2017</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2035年）》以及我省有关港口总</w:t>
                  </w:r>
                  <w:r>
                    <w:rPr>
                      <w:rFonts w:hint="default" w:ascii="Times New Roman" w:hAnsi="Times New Roman" w:eastAsia="宋体" w:cs="Times New Roman"/>
                      <w:color w:val="000000"/>
                      <w:spacing w:val="-2"/>
                      <w:sz w:val="21"/>
                      <w:szCs w:val="21"/>
                      <w:highlight w:val="none"/>
                    </w:rPr>
                    <w:t>体规划的码头项目，禁止建设未纳入《长</w:t>
                  </w:r>
                  <w:r>
                    <w:rPr>
                      <w:rFonts w:hint="default" w:ascii="Times New Roman" w:hAnsi="Times New Roman" w:eastAsia="宋体" w:cs="Times New Roman"/>
                      <w:color w:val="000000"/>
                      <w:sz w:val="21"/>
                      <w:szCs w:val="21"/>
                      <w:highlight w:val="none"/>
                    </w:rPr>
                    <w:t>江干线过江通道布局规划》的过长江干线通道项目。</w:t>
                  </w:r>
                </w:p>
              </w:tc>
              <w:tc>
                <w:tcPr>
                  <w:tcW w:w="177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pacing w:val="-2"/>
                      <w:kern w:val="2"/>
                      <w:szCs w:val="21"/>
                      <w:lang w:eastAsia="zh-CN" w:bidi="en-US"/>
                    </w:rPr>
                    <w:t>本项目不属于码头及长江干线过江通道项目。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2</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严格执行《中华人民共和国自然保护区条例》，禁止在自然保护区核心区、缓冲区的岸线和河段范围内投资建设旅游和生产经营项目。严格执行《风景名胜区条例》《江苏</w:t>
                  </w:r>
                  <w:r>
                    <w:rPr>
                      <w:rFonts w:hint="default" w:ascii="Times New Roman" w:hAnsi="Times New Roman" w:eastAsia="宋体" w:cs="Times New Roman"/>
                      <w:color w:val="000000"/>
                      <w:spacing w:val="-2"/>
                      <w:sz w:val="21"/>
                      <w:szCs w:val="21"/>
                      <w:highlight w:val="none"/>
                    </w:rPr>
                    <w:t>省风景名胜区管理条例》，禁止在</w:t>
                  </w:r>
                  <w:r>
                    <w:rPr>
                      <w:rFonts w:hint="default" w:ascii="Times New Roman" w:hAnsi="Times New Roman" w:eastAsia="宋体" w:cs="Times New Roman"/>
                      <w:color w:val="000000"/>
                      <w:sz w:val="21"/>
                      <w:szCs w:val="21"/>
                      <w:highlight w:val="none"/>
                    </w:rPr>
                    <w:t>国家级和省级风景名胜区核心景区的岸线和河段范围内投资建设与风景名胜资源保护无关的项目。</w:t>
                  </w:r>
                  <w:r>
                    <w:rPr>
                      <w:rFonts w:hint="default" w:ascii="Times New Roman" w:hAnsi="Times New Roman" w:eastAsia="宋体" w:cs="Times New Roman"/>
                      <w:color w:val="000000"/>
                      <w:sz w:val="21"/>
                      <w:szCs w:val="21"/>
                      <w:highlight w:val="none"/>
                      <w:lang w:eastAsia="zh-CN"/>
                    </w:rPr>
                    <w:t>自然保护区、风景名胜区由省林业局会同有关方面界定并落实管控责任。</w:t>
                  </w:r>
                </w:p>
              </w:tc>
              <w:tc>
                <w:tcPr>
                  <w:tcW w:w="1778"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kern w:val="2"/>
                      <w:szCs w:val="21"/>
                      <w:lang w:eastAsia="zh-CN" w:bidi="en-US"/>
                    </w:rPr>
                    <w:t>本项目</w:t>
                  </w:r>
                  <w:r>
                    <w:rPr>
                      <w:rFonts w:ascii="Times New Roman" w:hAnsi="Times New Roman" w:eastAsia="宋体"/>
                      <w:color w:val="auto"/>
                      <w:szCs w:val="21"/>
                      <w:lang w:eastAsia="zh-CN" w:bidi="en-US"/>
                    </w:rPr>
                    <w:t>位于</w:t>
                  </w:r>
                  <w:r>
                    <w:rPr>
                      <w:rFonts w:hint="eastAsia" w:ascii="Times New Roman" w:hAnsi="Times New Roman" w:eastAsia="宋体"/>
                      <w:color w:val="auto"/>
                      <w:szCs w:val="21"/>
                      <w:lang w:eastAsia="zh-CN" w:bidi="en-US"/>
                    </w:rPr>
                    <w:t>如皋市下原镇兴原路58-7号</w:t>
                  </w:r>
                  <w:r>
                    <w:rPr>
                      <w:rFonts w:ascii="Times New Roman" w:hAnsi="Times New Roman" w:eastAsia="宋体"/>
                      <w:color w:val="auto"/>
                      <w:kern w:val="2"/>
                      <w:szCs w:val="21"/>
                      <w:lang w:eastAsia="zh-CN" w:bidi="en-US"/>
                    </w:rPr>
                    <w:t>，不在自然保护区核心区、缓冲区的岸线和河段范围内，不在国家级和省级风景名胜区核心景区的岸线和河段范围内。</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3</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pacing w:val="4"/>
                      <w:kern w:val="0"/>
                      <w:sz w:val="21"/>
                      <w:szCs w:val="21"/>
                      <w:highlight w:val="none"/>
                      <w:lang w:val="en-US" w:eastAsia="zh-CN" w:bidi="ar-SA"/>
                    </w:rPr>
                  </w:pPr>
                  <w:r>
                    <w:rPr>
                      <w:rFonts w:hint="default" w:ascii="Times New Roman" w:hAnsi="Times New Roman" w:eastAsia="宋体" w:cs="Times New Roman"/>
                      <w:color w:val="000000"/>
                      <w:sz w:val="21"/>
                      <w:szCs w:val="21"/>
                      <w:highlight w:val="none"/>
                    </w:rPr>
                    <w:t>严格执行《中华人民共和国水污染防治法》《江苏省人民代表大会常务委员会关于加强饮用水源地保护的决定》</w:t>
                  </w:r>
                  <w:r>
                    <w:rPr>
                      <w:rFonts w:hint="default" w:ascii="Times New Roman" w:hAnsi="Times New Roman" w:eastAsia="宋体" w:cs="Times New Roman"/>
                      <w:color w:val="000000"/>
                      <w:sz w:val="21"/>
                      <w:szCs w:val="21"/>
                      <w:highlight w:val="none"/>
                      <w:lang w:eastAsia="zh-CN"/>
                    </w:rPr>
                    <w:t>《江苏省水污染防治条例》</w:t>
                  </w:r>
                  <w:r>
                    <w:rPr>
                      <w:rFonts w:hint="default" w:ascii="Times New Roman" w:hAnsi="Times New Roman" w:eastAsia="宋体" w:cs="Times New Roman"/>
                      <w:color w:val="000000"/>
                      <w:sz w:val="21"/>
                      <w:szCs w:val="21"/>
                      <w:highlight w:val="none"/>
                    </w:rPr>
                    <w:t>，禁止在饮用水水源一级保护区的岸线和河段范围内新建、改建、扩建与供水设施和保护水源无关的项目，以及网箱养殖、</w:t>
                  </w:r>
                  <w:r>
                    <w:rPr>
                      <w:rFonts w:hint="default" w:ascii="Times New Roman" w:hAnsi="Times New Roman" w:eastAsia="宋体" w:cs="Times New Roman"/>
                      <w:color w:val="000000"/>
                      <w:sz w:val="21"/>
                      <w:szCs w:val="21"/>
                      <w:highlight w:val="none"/>
                      <w:lang w:eastAsia="zh-CN"/>
                    </w:rPr>
                    <w:t>畜禽养殖、</w:t>
                  </w:r>
                  <w:r>
                    <w:rPr>
                      <w:rFonts w:hint="default" w:ascii="Times New Roman" w:hAnsi="Times New Roman" w:eastAsia="宋体" w:cs="Times New Roman"/>
                      <w:color w:val="000000"/>
                      <w:sz w:val="21"/>
                      <w:szCs w:val="21"/>
                      <w:highlight w:val="none"/>
                    </w:rPr>
                    <w:t>旅游等可能污染饮用水水体的投资建设项目；禁止在饮用水水源二级保护区的岸线和河段范围内新建、改建、扩建排放污染物的投资建设项目</w:t>
                  </w:r>
                  <w:r>
                    <w:rPr>
                      <w:rFonts w:hint="default" w:ascii="Times New Roman" w:hAnsi="Times New Roman" w:eastAsia="宋体" w:cs="Times New Roman"/>
                      <w:color w:val="000000"/>
                      <w:sz w:val="21"/>
                      <w:szCs w:val="21"/>
                      <w:highlight w:val="none"/>
                      <w:lang w:eastAsia="zh-CN"/>
                    </w:rPr>
                    <w:t>；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778"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，不在饮用水水源一级保护区的岸线和河段范围内，不在饮用水水源二级保护区的岸线和河段范围内。</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4</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严格执行《水产种质资源保护区管理暂行办法》，禁止在国家级和省级水产种质资源保护区的岸线和河段范围内新建围湖造田、围海造地或围填海等投资建设项目。严格执行</w:t>
                  </w:r>
                  <w:r>
                    <w:rPr>
                      <w:rFonts w:hint="default" w:ascii="Times New Roman" w:hAnsi="Times New Roman" w:eastAsia="宋体" w:cs="Times New Roman"/>
                      <w:color w:val="000000"/>
                      <w:sz w:val="21"/>
                      <w:szCs w:val="21"/>
                      <w:highlight w:val="none"/>
                      <w:lang w:eastAsia="zh-CN"/>
                    </w:rPr>
                    <w:t>《中华人民共和国湿地保护法》</w:t>
                  </w:r>
                  <w:r>
                    <w:rPr>
                      <w:rFonts w:hint="default" w:ascii="Times New Roman" w:hAnsi="Times New Roman" w:eastAsia="宋体" w:cs="Times New Roman"/>
                      <w:color w:val="000000"/>
                      <w:sz w:val="21"/>
                      <w:szCs w:val="21"/>
                      <w:highlight w:val="none"/>
                    </w:rPr>
                    <w:t>《江苏省湿地保护条例》，禁止在国家湿地公园的岸线和河段范围内挖沙、采矿，以及任何不符合主体功能定位的投资建设项目。</w:t>
                  </w:r>
                  <w:r>
                    <w:rPr>
                      <w:rFonts w:hint="default" w:ascii="Times New Roman" w:hAnsi="Times New Roman" w:eastAsia="宋体" w:cs="Times New Roman"/>
                      <w:color w:val="000000"/>
                      <w:sz w:val="21"/>
                      <w:szCs w:val="21"/>
                      <w:highlight w:val="none"/>
                      <w:lang w:eastAsia="zh-CN"/>
                    </w:rPr>
                    <w:t>水产种质资源保护区、国家湿地公园分别由省农业农村厅、省林业局会同有关方面界定并落实管控责任。</w:t>
                  </w:r>
                </w:p>
              </w:tc>
              <w:tc>
                <w:tcPr>
                  <w:tcW w:w="1778"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w:t>
                  </w:r>
                  <w:r>
                    <w:rPr>
                      <w:rFonts w:hint="default" w:ascii="Times New Roman" w:hAnsi="Times New Roman" w:eastAsia="宋体"/>
                      <w:color w:val="auto"/>
                      <w:szCs w:val="21"/>
                    </w:rPr>
                    <w:t>不在国家级和省级水产种质资源保护区的岸线和河段范围内，不在国家湿地公园的岸线和河段范围内</w:t>
                  </w:r>
                  <w:r>
                    <w:rPr>
                      <w:rFonts w:ascii="Times New Roman" w:hAnsi="Times New Roman" w:eastAsia="宋体"/>
                      <w:color w:val="auto"/>
                      <w:szCs w:val="21"/>
                    </w:rPr>
                    <w:t>。</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5</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78" w:type="pct"/>
                  <w:tcBorders>
                    <w:tl2br w:val="nil"/>
                    <w:tr2bl w:val="nil"/>
                  </w:tcBorders>
                  <w:vAlign w:val="center"/>
                </w:tcPr>
                <w:p>
                  <w:pPr>
                    <w:pStyle w:val="29"/>
                    <w:widowControl/>
                    <w:autoSpaceDE w:val="0"/>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，不在《长江岸线保护和开发利用总体规划》划定的岸线保护区和岸线保留区内，不在《全国重要江河湖泊水功能区划》划定的河段保护区、保留区内。</w:t>
                  </w:r>
                </w:p>
                <w:p>
                  <w:pPr>
                    <w:autoSpaceDE w:val="0"/>
                    <w:adjustRightInd w:val="0"/>
                    <w:snapToGrid w:val="0"/>
                    <w:jc w:val="center"/>
                    <w:rPr>
                      <w:rFonts w:ascii="Times New Roman" w:hAnsi="Times New Roman" w:eastAsia="宋体"/>
                      <w:color w:val="auto"/>
                      <w:spacing w:val="4"/>
                      <w:szCs w:val="21"/>
                    </w:rPr>
                  </w:pP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6</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禁止未经许可在长江干支流及湖泊新设、改设或扩大排污。</w:t>
                  </w:r>
                </w:p>
              </w:tc>
              <w:tc>
                <w:tcPr>
                  <w:tcW w:w="1778"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不涉及</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7</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w:t>
                  </w:r>
                  <w:r>
                    <w:rPr>
                      <w:rFonts w:hint="default" w:ascii="Times New Roman" w:hAnsi="Times New Roman" w:eastAsia="宋体" w:cs="Times New Roman"/>
                      <w:color w:val="000000"/>
                      <w:sz w:val="21"/>
                      <w:szCs w:val="21"/>
                      <w:highlight w:val="none"/>
                      <w:lang w:eastAsia="zh-CN"/>
                    </w:rPr>
                    <w:t>长江干流、长江口、</w:t>
                  </w:r>
                  <w:r>
                    <w:rPr>
                      <w:rFonts w:hint="default" w:ascii="Times New Roman" w:hAnsi="Times New Roman" w:eastAsia="宋体" w:cs="Times New Roman"/>
                      <w:color w:val="000000"/>
                      <w:sz w:val="21"/>
                      <w:szCs w:val="21"/>
                      <w:highlight w:val="none"/>
                      <w:lang w:val="en-US" w:eastAsia="zh-CN"/>
                    </w:rPr>
                    <w:t>34个列入《率先全面禁捕的长江流域水生生物保护区名录》</w:t>
                  </w:r>
                  <w:r>
                    <w:rPr>
                      <w:rFonts w:hint="default" w:ascii="Times New Roman" w:hAnsi="Times New Roman" w:eastAsia="宋体" w:cs="Times New Roman"/>
                      <w:color w:val="000000"/>
                      <w:sz w:val="21"/>
                      <w:szCs w:val="21"/>
                      <w:highlight w:val="none"/>
                      <w:lang w:eastAsia="zh-CN"/>
                    </w:rPr>
                    <w:t>的</w:t>
                  </w:r>
                  <w:r>
                    <w:rPr>
                      <w:rFonts w:hint="default" w:ascii="Times New Roman" w:hAnsi="Times New Roman" w:eastAsia="宋体" w:cs="Times New Roman"/>
                      <w:color w:val="000000"/>
                      <w:sz w:val="21"/>
                      <w:szCs w:val="21"/>
                      <w:highlight w:val="none"/>
                    </w:rPr>
                    <w:t>水生生物保护区</w:t>
                  </w:r>
                  <w:r>
                    <w:rPr>
                      <w:rFonts w:hint="default" w:ascii="Times New Roman" w:hAnsi="Times New Roman" w:eastAsia="宋体" w:cs="Times New Roman"/>
                      <w:color w:val="000000"/>
                      <w:sz w:val="21"/>
                      <w:szCs w:val="21"/>
                      <w:highlight w:val="none"/>
                      <w:lang w:eastAsia="zh-CN"/>
                    </w:rPr>
                    <w:t>以及省规定的其他禁渔水域</w:t>
                  </w:r>
                  <w:r>
                    <w:rPr>
                      <w:rFonts w:hint="default" w:ascii="Times New Roman" w:hAnsi="Times New Roman" w:eastAsia="宋体" w:cs="Times New Roman"/>
                      <w:color w:val="000000"/>
                      <w:sz w:val="21"/>
                      <w:szCs w:val="21"/>
                      <w:highlight w:val="none"/>
                    </w:rPr>
                    <w:t>开展生产性捕捞。</w:t>
                  </w:r>
                </w:p>
              </w:tc>
              <w:tc>
                <w:tcPr>
                  <w:tcW w:w="1778"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不涉及</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8</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w:t>
                  </w:r>
                  <w:r>
                    <w:rPr>
                      <w:rFonts w:hint="default" w:ascii="Times New Roman" w:hAnsi="Times New Roman" w:eastAsia="宋体" w:cs="Times New Roman"/>
                      <w:color w:val="000000"/>
                      <w:sz w:val="21"/>
                      <w:szCs w:val="21"/>
                      <w:highlight w:val="none"/>
                      <w:lang w:eastAsia="zh-CN"/>
                    </w:rPr>
                    <w:t>距离</w:t>
                  </w:r>
                  <w:r>
                    <w:rPr>
                      <w:rFonts w:hint="default" w:ascii="Times New Roman" w:hAnsi="Times New Roman" w:eastAsia="宋体" w:cs="Times New Roman"/>
                      <w:color w:val="000000"/>
                      <w:sz w:val="21"/>
                      <w:szCs w:val="21"/>
                      <w:highlight w:val="none"/>
                    </w:rPr>
                    <w:t>长江干支流岸线一公里范围内新建、扩建化工园区和化工项目。长江干</w:t>
                  </w:r>
                  <w:r>
                    <w:rPr>
                      <w:rFonts w:hint="default" w:ascii="Times New Roman" w:hAnsi="Times New Roman" w:eastAsia="宋体" w:cs="Times New Roman"/>
                      <w:color w:val="000000"/>
                      <w:sz w:val="21"/>
                      <w:szCs w:val="21"/>
                      <w:highlight w:val="none"/>
                      <w:lang w:eastAsia="zh-CN"/>
                    </w:rPr>
                    <w:t>支</w:t>
                  </w:r>
                  <w:r>
                    <w:rPr>
                      <w:rFonts w:hint="default" w:ascii="Times New Roman" w:hAnsi="Times New Roman" w:eastAsia="宋体" w:cs="Times New Roman"/>
                      <w:color w:val="000000"/>
                      <w:sz w:val="21"/>
                      <w:szCs w:val="21"/>
                      <w:highlight w:val="none"/>
                    </w:rPr>
                    <w:t>流一公里</w:t>
                  </w:r>
                  <w:r>
                    <w:rPr>
                      <w:rFonts w:hint="default" w:ascii="Times New Roman" w:hAnsi="Times New Roman" w:eastAsia="宋体" w:cs="Times New Roman"/>
                      <w:color w:val="000000"/>
                      <w:sz w:val="21"/>
                      <w:szCs w:val="21"/>
                      <w:highlight w:val="none"/>
                      <w:lang w:eastAsia="zh-CN"/>
                    </w:rPr>
                    <w:t>按照长江干支流岸线边界（即水利部门河道管理范围边界）向陆域纵深一公里执行。</w:t>
                  </w:r>
                </w:p>
              </w:tc>
              <w:tc>
                <w:tcPr>
                  <w:tcW w:w="1778" w:type="pct"/>
                  <w:tcBorders>
                    <w:tl2br w:val="nil"/>
                    <w:tr2bl w:val="nil"/>
                  </w:tcBorders>
                  <w:vAlign w:val="center"/>
                </w:tcPr>
                <w:p>
                  <w:pPr>
                    <w:pStyle w:val="29"/>
                    <w:autoSpaceDE w:val="0"/>
                    <w:adjustRightInd w:val="0"/>
                    <w:snapToGrid w:val="0"/>
                    <w:jc w:val="center"/>
                    <w:rPr>
                      <w:rFonts w:ascii="Times New Roman" w:hAnsi="Times New Roman" w:eastAsia="宋体"/>
                      <w:color w:val="auto"/>
                      <w:spacing w:val="4"/>
                      <w:kern w:val="0"/>
                      <w:szCs w:val="21"/>
                    </w:rPr>
                  </w:pPr>
                  <w:r>
                    <w:rPr>
                      <w:rFonts w:ascii="Times New Roman" w:hAnsi="Times New Roman" w:eastAsia="宋体"/>
                      <w:color w:val="auto"/>
                      <w:szCs w:val="21"/>
                    </w:rPr>
                    <w:t>本项目</w:t>
                  </w:r>
                  <w:r>
                    <w:rPr>
                      <w:rFonts w:hint="default" w:ascii="Times New Roman" w:hAnsi="Times New Roman" w:eastAsia="宋体"/>
                      <w:color w:val="auto"/>
                      <w:szCs w:val="21"/>
                      <w:lang w:eastAsia="zh-CN"/>
                    </w:rPr>
                    <w:t>不在</w:t>
                  </w:r>
                  <w:r>
                    <w:rPr>
                      <w:rFonts w:hint="default" w:ascii="Times New Roman" w:hAnsi="Times New Roman" w:eastAsia="宋体"/>
                      <w:color w:val="auto"/>
                      <w:szCs w:val="21"/>
                    </w:rPr>
                    <w:t>长江干支流岸线一公里范围内</w:t>
                  </w:r>
                  <w:r>
                    <w:rPr>
                      <w:rFonts w:hint="default" w:ascii="Times New Roman" w:hAnsi="Times New Roman" w:eastAsia="宋体"/>
                      <w:color w:val="auto"/>
                      <w:szCs w:val="21"/>
                      <w:lang w:eastAsia="zh-CN"/>
                    </w:rPr>
                    <w:t>，不属于</w:t>
                  </w:r>
                  <w:r>
                    <w:rPr>
                      <w:rFonts w:hint="default" w:ascii="Times New Roman" w:hAnsi="Times New Roman" w:eastAsia="宋体"/>
                      <w:color w:val="auto"/>
                      <w:szCs w:val="21"/>
                    </w:rPr>
                    <w:t>化工项目</w:t>
                  </w:r>
                  <w:r>
                    <w:rPr>
                      <w:rFonts w:ascii="Times New Roman" w:hAnsi="Times New Roman" w:eastAsia="宋体"/>
                      <w:color w:val="auto"/>
                      <w:szCs w:val="21"/>
                    </w:rPr>
                    <w:t>。</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9</w:t>
                  </w:r>
                </w:p>
              </w:tc>
              <w:tc>
                <w:tcPr>
                  <w:tcW w:w="2426" w:type="pct"/>
                  <w:tcBorders>
                    <w:tl2br w:val="nil"/>
                    <w:tr2bl w:val="nil"/>
                  </w:tcBorders>
                  <w:vAlign w:val="center"/>
                </w:tcPr>
                <w:p>
                  <w:pPr>
                    <w:pStyle w:val="29"/>
                    <w:keepNext w:val="0"/>
                    <w:keepLines w:val="0"/>
                    <w:widowControl/>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禁止在长江干流岸线三公里范围内新建、改建、扩建尾矿库、</w:t>
                  </w:r>
                  <w:r>
                    <w:rPr>
                      <w:rFonts w:hint="default" w:ascii="Times New Roman" w:hAnsi="Times New Roman" w:eastAsia="宋体" w:cs="Times New Roman"/>
                      <w:color w:val="000000"/>
                      <w:sz w:val="21"/>
                      <w:szCs w:val="21"/>
                      <w:highlight w:val="none"/>
                      <w:lang w:eastAsia="zh-CN"/>
                    </w:rPr>
                    <w:t>冶炼</w:t>
                  </w:r>
                  <w:r>
                    <w:rPr>
                      <w:rFonts w:hint="default" w:ascii="Times New Roman" w:hAnsi="Times New Roman" w:eastAsia="宋体" w:cs="Times New Roman"/>
                      <w:color w:val="000000"/>
                      <w:sz w:val="21"/>
                      <w:szCs w:val="21"/>
                      <w:highlight w:val="none"/>
                    </w:rPr>
                    <w:t>渣库和磷石膏库，以提升安全、生态环境保护水平为目的的改建除外。</w:t>
                  </w:r>
                </w:p>
              </w:tc>
              <w:tc>
                <w:tcPr>
                  <w:tcW w:w="1778" w:type="pct"/>
                  <w:tcBorders>
                    <w:tl2br w:val="nil"/>
                    <w:tr2bl w:val="nil"/>
                  </w:tcBorders>
                  <w:vAlign w:val="center"/>
                </w:tcPr>
                <w:p>
                  <w:pPr>
                    <w:pStyle w:val="29"/>
                    <w:autoSpaceDE w:val="0"/>
                    <w:adjustRightInd w:val="0"/>
                    <w:snapToGrid w:val="0"/>
                    <w:jc w:val="center"/>
                    <w:rPr>
                      <w:rFonts w:ascii="Times New Roman" w:hAnsi="Times New Roman" w:eastAsia="宋体"/>
                      <w:color w:val="auto"/>
                      <w:spacing w:val="4"/>
                      <w:kern w:val="0"/>
                      <w:szCs w:val="21"/>
                    </w:rPr>
                  </w:pPr>
                  <w:r>
                    <w:rPr>
                      <w:rFonts w:hint="default" w:ascii="Times New Roman" w:hAnsi="Times New Roman" w:eastAsia="宋体"/>
                      <w:color w:val="auto"/>
                      <w:szCs w:val="21"/>
                    </w:rPr>
                    <w:t>本项目不属于尾矿库</w:t>
                  </w:r>
                  <w:r>
                    <w:rPr>
                      <w:rFonts w:hint="default" w:ascii="Times New Roman" w:hAnsi="Times New Roman" w:eastAsia="宋体"/>
                      <w:color w:val="auto"/>
                      <w:szCs w:val="21"/>
                      <w:lang w:eastAsia="zh-CN"/>
                    </w:rPr>
                    <w:t>、冶炼</w:t>
                  </w:r>
                  <w:r>
                    <w:rPr>
                      <w:rFonts w:hint="default" w:ascii="Times New Roman" w:hAnsi="Times New Roman" w:eastAsia="宋体"/>
                      <w:color w:val="auto"/>
                      <w:szCs w:val="21"/>
                    </w:rPr>
                    <w:t>渣库和磷石膏库项目</w:t>
                  </w:r>
                  <w:r>
                    <w:rPr>
                      <w:rFonts w:ascii="Times New Roman" w:hAnsi="Times New Roman" w:eastAsia="宋体"/>
                      <w:color w:val="auto"/>
                      <w:szCs w:val="21"/>
                    </w:rPr>
                    <w:t>。</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10</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禁止在太湖流域一、二、三级保护区内开展《江苏省太湖水污染防治条例》禁止的投资建设活动。</w:t>
                  </w:r>
                </w:p>
              </w:tc>
              <w:tc>
                <w:tcPr>
                  <w:tcW w:w="1778" w:type="pct"/>
                  <w:tcBorders>
                    <w:tl2br w:val="nil"/>
                    <w:tr2bl w:val="nil"/>
                  </w:tcBorders>
                  <w:vAlign w:val="center"/>
                </w:tcPr>
                <w:p>
                  <w:pPr>
                    <w:pStyle w:val="29"/>
                    <w:autoSpaceDE w:val="0"/>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本项目位于</w:t>
                  </w:r>
                  <w:r>
                    <w:rPr>
                      <w:rFonts w:hint="eastAsia" w:ascii="Times New Roman" w:hAnsi="Times New Roman" w:eastAsia="宋体"/>
                      <w:color w:val="auto"/>
                      <w:szCs w:val="21"/>
                      <w:lang w:eastAsia="zh-CN"/>
                    </w:rPr>
                    <w:t>如皋市下原镇兴原路58-7号</w:t>
                  </w:r>
                  <w:r>
                    <w:rPr>
                      <w:rFonts w:ascii="Times New Roman" w:hAnsi="Times New Roman" w:eastAsia="宋体"/>
                      <w:color w:val="auto"/>
                      <w:szCs w:val="21"/>
                    </w:rPr>
                    <w:t>，不属于太湖流域。</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11</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禁止在沿江地区新建、扩建未纳入国家和省布局规划的燃煤发电项目。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spacing w:val="4"/>
                      <w:kern w:val="0"/>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本项目不属于燃煤发电项目。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bidi="en-US"/>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12</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禁止在合规园区外新建、扩建钢铁、石化、化工、焦化、建材、有色</w:t>
                  </w:r>
                  <w:r>
                    <w:rPr>
                      <w:rFonts w:hint="default" w:ascii="Times New Roman" w:hAnsi="Times New Roman" w:eastAsia="宋体" w:cs="Times New Roman"/>
                      <w:color w:val="000000"/>
                      <w:sz w:val="21"/>
                      <w:szCs w:val="21"/>
                      <w:highlight w:val="none"/>
                      <w:lang w:eastAsia="zh-CN"/>
                    </w:rPr>
                    <w:t>、制浆造纸</w:t>
                  </w:r>
                  <w:r>
                    <w:rPr>
                      <w:rFonts w:hint="default" w:ascii="Times New Roman" w:hAnsi="Times New Roman" w:eastAsia="宋体" w:cs="Times New Roman"/>
                      <w:color w:val="000000"/>
                      <w:sz w:val="21"/>
                      <w:szCs w:val="21"/>
                      <w:highlight w:val="none"/>
                    </w:rPr>
                    <w:t>等高污染项目。合规园区名录按照《</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长江经济带发展负面清单</w:t>
                  </w:r>
                  <w:r>
                    <w:rPr>
                      <w:rFonts w:hint="default" w:ascii="Times New Roman" w:hAnsi="Times New Roman" w:eastAsia="宋体" w:cs="Times New Roman"/>
                      <w:color w:val="000000"/>
                      <w:sz w:val="21"/>
                      <w:szCs w:val="21"/>
                      <w:highlight w:val="none"/>
                      <w:lang w:eastAsia="zh-CN"/>
                    </w:rPr>
                    <w:t>指南（试行，</w:t>
                  </w:r>
                  <w:r>
                    <w:rPr>
                      <w:rFonts w:hint="default" w:ascii="Times New Roman" w:hAnsi="Times New Roman" w:eastAsia="宋体" w:cs="Times New Roman"/>
                      <w:color w:val="000000"/>
                      <w:sz w:val="21"/>
                      <w:szCs w:val="21"/>
                      <w:highlight w:val="none"/>
                      <w:lang w:val="en-US" w:eastAsia="zh-CN"/>
                    </w:rPr>
                    <w:t>2022年版</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江苏省</w:t>
                  </w:r>
                  <w:r>
                    <w:rPr>
                      <w:rFonts w:hint="default" w:ascii="Times New Roman" w:hAnsi="Times New Roman" w:eastAsia="宋体" w:cs="Times New Roman"/>
                      <w:color w:val="000000"/>
                      <w:sz w:val="21"/>
                      <w:szCs w:val="21"/>
                      <w:highlight w:val="none"/>
                    </w:rPr>
                    <w:t>实施细则合规园区名录》执行。</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本项目不属于高污染项目。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13</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禁止在取消化工定位的园区（集中区）内新建化工项目。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本项目不属于化工项目。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14</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禁止在化工企业周边建设不符合安全距离规定的劳动密集型的非化工项目和其他人员密集的公共设施项目。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本项目周边无化工企业。</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15</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禁止新建、扩建</w:t>
                  </w:r>
                  <w:r>
                    <w:rPr>
                      <w:rFonts w:hint="default" w:ascii="Times New Roman" w:hAnsi="Times New Roman" w:eastAsia="宋体" w:cs="Times New Roman"/>
                      <w:color w:val="000000"/>
                      <w:sz w:val="21"/>
                      <w:szCs w:val="21"/>
                      <w:highlight w:val="none"/>
                      <w:lang w:eastAsia="zh-CN"/>
                    </w:rPr>
                    <w:t>不符合国家和省产业政策的</w:t>
                  </w:r>
                  <w:r>
                    <w:rPr>
                      <w:rFonts w:hint="default" w:ascii="Times New Roman" w:hAnsi="Times New Roman" w:eastAsia="宋体" w:cs="Times New Roman"/>
                      <w:color w:val="000000"/>
                      <w:sz w:val="21"/>
                      <w:szCs w:val="21"/>
                      <w:highlight w:val="none"/>
                    </w:rPr>
                    <w:t>尿素、磷铵、电石、烧碱、聚氯乙烯、纯碱</w:t>
                  </w:r>
                  <w:r>
                    <w:rPr>
                      <w:rFonts w:hint="default" w:ascii="Times New Roman" w:hAnsi="Times New Roman" w:eastAsia="宋体" w:cs="Times New Roman"/>
                      <w:color w:val="000000"/>
                      <w:sz w:val="21"/>
                      <w:szCs w:val="21"/>
                      <w:highlight w:val="none"/>
                      <w:lang w:eastAsia="zh-CN"/>
                    </w:rPr>
                    <w:t>等行业</w:t>
                  </w:r>
                  <w:r>
                    <w:rPr>
                      <w:rFonts w:hint="default" w:ascii="Times New Roman" w:hAnsi="Times New Roman" w:eastAsia="宋体" w:cs="Times New Roman"/>
                      <w:color w:val="000000"/>
                      <w:sz w:val="21"/>
                      <w:szCs w:val="21"/>
                      <w:highlight w:val="none"/>
                    </w:rPr>
                    <w:t>新增产能项目。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本项目不属于尿素、磷铵、电石、烧碱、聚氯乙烯、纯碱项目。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16</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禁止新建、改建、扩建高毒、高残留以及对环境影响大的农药原药</w:t>
                  </w:r>
                  <w:r>
                    <w:rPr>
                      <w:rFonts w:hint="default" w:ascii="Times New Roman" w:hAnsi="Times New Roman" w:eastAsia="宋体" w:cs="Times New Roman"/>
                      <w:color w:val="000000"/>
                      <w:sz w:val="21"/>
                      <w:szCs w:val="21"/>
                      <w:highlight w:val="none"/>
                      <w:lang w:eastAsia="zh-CN"/>
                    </w:rPr>
                    <w:t>（化学合成类）</w:t>
                  </w:r>
                  <w:r>
                    <w:rPr>
                      <w:rFonts w:hint="default" w:ascii="Times New Roman" w:hAnsi="Times New Roman" w:eastAsia="宋体" w:cs="Times New Roman"/>
                      <w:color w:val="000000"/>
                      <w:sz w:val="21"/>
                      <w:szCs w:val="21"/>
                      <w:highlight w:val="none"/>
                    </w:rPr>
                    <w:t>项目，禁止新建、扩建</w:t>
                  </w:r>
                  <w:r>
                    <w:rPr>
                      <w:rFonts w:hint="default" w:ascii="Times New Roman" w:hAnsi="Times New Roman" w:eastAsia="宋体" w:cs="Times New Roman"/>
                      <w:color w:val="000000"/>
                      <w:sz w:val="21"/>
                      <w:szCs w:val="21"/>
                      <w:highlight w:val="none"/>
                      <w:lang w:eastAsia="zh-CN"/>
                    </w:rPr>
                    <w:t>不符合国家和省产业政策的</w:t>
                  </w:r>
                  <w:r>
                    <w:rPr>
                      <w:rFonts w:hint="default" w:ascii="Times New Roman" w:hAnsi="Times New Roman" w:eastAsia="宋体" w:cs="Times New Roman"/>
                      <w:color w:val="000000"/>
                      <w:sz w:val="21"/>
                      <w:szCs w:val="21"/>
                      <w:highlight w:val="none"/>
                    </w:rPr>
                    <w:t>农药、医药和染料中间体化工项目。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本项目不属于农药原药项目，不属于农药、医药和染料中间体化工项目。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17</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禁止新建、扩建不符合国家石化、现代煤化工等产业布局规划的项目，禁止新建独立焦化项目。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本项目不属于国家石化、现代煤化工等产业，不属于独立焦化项目。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18</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本项目不属于《产业结构调整指导目录</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江苏省产业结构调整限制、淘汰和禁止目录》及其他相关法律法规中的限制类、淘汰类、禁止类项目。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19</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pacing w:val="-2"/>
                      <w:sz w:val="21"/>
                      <w:szCs w:val="21"/>
                      <w:highlight w:val="none"/>
                    </w:rPr>
                    <w:t>禁止新建、扩建不符合国家产能置换要求</w:t>
                  </w:r>
                  <w:r>
                    <w:rPr>
                      <w:rFonts w:hint="default" w:ascii="Times New Roman" w:hAnsi="Times New Roman" w:eastAsia="宋体" w:cs="Times New Roman"/>
                      <w:color w:val="000000"/>
                      <w:sz w:val="21"/>
                      <w:szCs w:val="21"/>
                      <w:highlight w:val="none"/>
                    </w:rPr>
                    <w:t>的严重过剩产能行业的项目。</w:t>
                  </w:r>
                  <w:r>
                    <w:rPr>
                      <w:rFonts w:hint="default" w:ascii="Times New Roman" w:hAnsi="Times New Roman" w:eastAsia="宋体" w:cs="Times New Roman"/>
                      <w:color w:val="000000"/>
                      <w:sz w:val="21"/>
                      <w:szCs w:val="21"/>
                      <w:highlight w:val="none"/>
                      <w:lang w:eastAsia="zh-CN"/>
                    </w:rPr>
                    <w:t>禁止新建、扩建不符合要求的高耗能高排放项目。</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pacing w:val="-2"/>
                      <w:sz w:val="21"/>
                      <w:szCs w:val="21"/>
                      <w:highlight w:val="none"/>
                    </w:rPr>
                    <w:t>本项目不属于国家产能置换要求的严重过剩产能行业的项目。</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rPr>
                  </w:pPr>
                  <w:r>
                    <w:rPr>
                      <w:rFonts w:ascii="Times New Roman" w:hAnsi="Times New Roman" w:eastAsia="宋体"/>
                      <w:color w:val="auto"/>
                      <w:szCs w:val="21"/>
                      <w:lang w:bidi="en-US"/>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20</w:t>
                  </w:r>
                </w:p>
              </w:tc>
              <w:tc>
                <w:tcPr>
                  <w:tcW w:w="2426"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法律法规及相关政策文件有更加严格规定的从其规定。</w:t>
                  </w:r>
                </w:p>
              </w:tc>
              <w:tc>
                <w:tcPr>
                  <w:tcW w:w="1778" w:type="pct"/>
                  <w:tcBorders>
                    <w:tl2br w:val="nil"/>
                    <w:tr2bl w:val="nil"/>
                  </w:tcBorders>
                  <w:vAlign w:val="center"/>
                </w:tcPr>
                <w:p>
                  <w:pPr>
                    <w:pStyle w:val="29"/>
                    <w:keepNext w:val="0"/>
                    <w:keepLines w:val="0"/>
                    <w:suppressLineNumbers w:val="0"/>
                    <w:autoSpaceDE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eastAsia="zh-CN"/>
                    </w:rPr>
                    <w:t>不涉及</w:t>
                  </w:r>
                </w:p>
              </w:tc>
              <w:tc>
                <w:tcPr>
                  <w:tcW w:w="477" w:type="pct"/>
                  <w:tcBorders>
                    <w:tl2br w:val="nil"/>
                    <w:tr2bl w:val="nil"/>
                  </w:tcBorders>
                  <w:vAlign w:val="center"/>
                </w:tcPr>
                <w:p>
                  <w:pPr>
                    <w:pStyle w:val="27"/>
                    <w:autoSpaceDE w:val="0"/>
                    <w:spacing w:beforeLines="0" w:afterLines="0" w:line="240" w:lineRule="auto"/>
                    <w:jc w:val="center"/>
                    <w:rPr>
                      <w:rFonts w:ascii="Times New Roman" w:hAnsi="Times New Roman" w:eastAsia="宋体"/>
                      <w:color w:val="auto"/>
                      <w:szCs w:val="21"/>
                      <w:lang w:eastAsia="zh-CN" w:bidi="en-US"/>
                    </w:rPr>
                  </w:pPr>
                  <w:r>
                    <w:rPr>
                      <w:rFonts w:ascii="Times New Roman" w:hAnsi="Times New Roman" w:eastAsia="宋体"/>
                      <w:color w:val="auto"/>
                      <w:szCs w:val="21"/>
                      <w:lang w:eastAsia="zh-CN" w:bidi="en-US"/>
                    </w:rPr>
                    <w:t>相符</w:t>
                  </w:r>
                </w:p>
              </w:tc>
            </w:tr>
          </w:tbl>
          <w:p>
            <w:pPr>
              <w:adjustRightInd w:val="0"/>
              <w:snapToGrid w:val="0"/>
              <w:spacing w:line="360" w:lineRule="auto"/>
              <w:ind w:firstLine="480" w:firstLineChars="200"/>
              <w:rPr>
                <w:rFonts w:ascii="Times New Roman" w:hAnsi="Times New Roman" w:eastAsia="宋体"/>
                <w:color w:val="auto"/>
                <w:szCs w:val="21"/>
              </w:rPr>
            </w:pPr>
            <w:r>
              <w:rPr>
                <w:rFonts w:ascii="Times New Roman" w:hAnsi="Times New Roman" w:eastAsia="宋体"/>
                <w:color w:val="auto"/>
                <w:sz w:val="24"/>
              </w:rPr>
              <w:t>③对照《市场准入负面清单（202</w:t>
            </w:r>
            <w:r>
              <w:rPr>
                <w:rFonts w:hint="eastAsia" w:ascii="Times New Roman" w:hAnsi="Times New Roman"/>
                <w:color w:val="auto"/>
                <w:sz w:val="24"/>
                <w:lang w:val="en-US" w:eastAsia="zh-CN"/>
              </w:rPr>
              <w:t>5</w:t>
            </w:r>
            <w:r>
              <w:rPr>
                <w:rFonts w:ascii="Times New Roman" w:hAnsi="Times New Roman" w:eastAsia="宋体"/>
                <w:color w:val="auto"/>
                <w:sz w:val="24"/>
              </w:rPr>
              <w:t xml:space="preserve"> 年版）》（发改体改规〔202</w:t>
            </w:r>
            <w:r>
              <w:rPr>
                <w:rFonts w:hint="eastAsia" w:ascii="Times New Roman" w:hAnsi="Times New Roman"/>
                <w:color w:val="auto"/>
                <w:sz w:val="24"/>
                <w:lang w:val="en-US" w:eastAsia="zh-CN"/>
              </w:rPr>
              <w:t>5</w:t>
            </w:r>
            <w:r>
              <w:rPr>
                <w:rFonts w:ascii="Times New Roman" w:hAnsi="Times New Roman" w:eastAsia="宋体"/>
                <w:color w:val="auto"/>
                <w:sz w:val="24"/>
              </w:rPr>
              <w:t>〕</w:t>
            </w:r>
            <w:r>
              <w:rPr>
                <w:rFonts w:hint="eastAsia" w:ascii="Times New Roman" w:hAnsi="Times New Roman"/>
                <w:color w:val="auto"/>
                <w:sz w:val="24"/>
                <w:lang w:val="en-US" w:eastAsia="zh-CN"/>
              </w:rPr>
              <w:t>466</w:t>
            </w:r>
            <w:r>
              <w:rPr>
                <w:rFonts w:ascii="Times New Roman" w:hAnsi="Times New Roman" w:eastAsia="宋体"/>
                <w:color w:val="auto"/>
                <w:sz w:val="24"/>
              </w:rPr>
              <w:t>号），本项目不属于其中的禁止准入类或许可准入类。具体参照情况见表 1-</w:t>
            </w:r>
            <w:r>
              <w:rPr>
                <w:rFonts w:hint="eastAsia"/>
                <w:color w:val="auto"/>
                <w:sz w:val="24"/>
                <w:lang w:val="en-US" w:eastAsia="zh-CN"/>
              </w:rPr>
              <w:t>4</w:t>
            </w:r>
            <w:r>
              <w:rPr>
                <w:rFonts w:ascii="Times New Roman" w:hAnsi="Times New Roman" w:eastAsia="宋体"/>
                <w:color w:val="auto"/>
                <w:sz w:val="24"/>
              </w:rPr>
              <w:t>。</w:t>
            </w:r>
          </w:p>
          <w:p>
            <w:pPr>
              <w:jc w:val="center"/>
              <w:rPr>
                <w:rFonts w:ascii="Times New Roman" w:hAnsi="Times New Roman" w:eastAsia="宋体"/>
                <w:b/>
                <w:bCs/>
                <w:color w:val="auto"/>
                <w:kern w:val="0"/>
                <w:szCs w:val="21"/>
              </w:rPr>
            </w:pPr>
            <w:r>
              <w:rPr>
                <w:rFonts w:ascii="Times New Roman" w:hAnsi="Times New Roman" w:eastAsia="宋体"/>
                <w:b/>
                <w:bCs/>
                <w:color w:val="auto"/>
                <w:kern w:val="0"/>
                <w:szCs w:val="21"/>
              </w:rPr>
              <w:t>表1-</w:t>
            </w:r>
            <w:r>
              <w:rPr>
                <w:rFonts w:hint="eastAsia"/>
                <w:b/>
                <w:bCs/>
                <w:color w:val="auto"/>
                <w:kern w:val="0"/>
                <w:szCs w:val="21"/>
                <w:lang w:val="en-US" w:eastAsia="zh-CN"/>
              </w:rPr>
              <w:t>4</w:t>
            </w:r>
            <w:r>
              <w:rPr>
                <w:rFonts w:ascii="Times New Roman" w:hAnsi="Times New Roman" w:eastAsia="宋体"/>
                <w:b/>
                <w:bCs/>
                <w:color w:val="auto"/>
                <w:kern w:val="0"/>
                <w:szCs w:val="21"/>
              </w:rPr>
              <w:t xml:space="preserve"> 《市场准入负面清单（202</w:t>
            </w:r>
            <w:r>
              <w:rPr>
                <w:rFonts w:hint="eastAsia" w:ascii="Times New Roman" w:hAnsi="Times New Roman"/>
                <w:b/>
                <w:bCs/>
                <w:color w:val="auto"/>
                <w:kern w:val="0"/>
                <w:szCs w:val="21"/>
                <w:lang w:val="en-US" w:eastAsia="zh-CN"/>
              </w:rPr>
              <w:t>5</w:t>
            </w:r>
            <w:r>
              <w:rPr>
                <w:rFonts w:ascii="Times New Roman" w:hAnsi="Times New Roman" w:eastAsia="宋体"/>
                <w:b/>
                <w:bCs/>
                <w:color w:val="auto"/>
                <w:kern w:val="0"/>
                <w:szCs w:val="21"/>
              </w:rPr>
              <w:t>年版）》对照分析</w:t>
            </w:r>
          </w:p>
          <w:tbl>
            <w:tblPr>
              <w:tblStyle w:val="21"/>
              <w:tblW w:w="691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0"/>
              <w:gridCol w:w="4882"/>
              <w:gridCol w:w="726"/>
              <w:gridCol w:w="9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b/>
                      <w:bCs/>
                      <w:color w:val="auto"/>
                      <w:szCs w:val="21"/>
                    </w:rPr>
                  </w:pPr>
                  <w:r>
                    <w:rPr>
                      <w:rFonts w:ascii="Times New Roman" w:hAnsi="Times New Roman" w:eastAsia="宋体"/>
                      <w:b/>
                      <w:bCs/>
                      <w:color w:val="auto"/>
                      <w:szCs w:val="21"/>
                    </w:rPr>
                    <w:t>序号</w:t>
                  </w:r>
                </w:p>
              </w:tc>
              <w:tc>
                <w:tcPr>
                  <w:tcW w:w="4882" w:type="dxa"/>
                  <w:tcBorders>
                    <w:tl2br w:val="nil"/>
                    <w:tr2bl w:val="nil"/>
                  </w:tcBorders>
                  <w:noWrap/>
                  <w:tcMar>
                    <w:top w:w="15" w:type="dxa"/>
                    <w:left w:w="0" w:type="dxa"/>
                    <w:right w:w="0" w:type="dxa"/>
                  </w:tcMar>
                  <w:vAlign w:val="center"/>
                </w:tcPr>
                <w:p>
                  <w:pPr>
                    <w:pStyle w:val="30"/>
                    <w:rPr>
                      <w:rFonts w:ascii="Times New Roman" w:hAnsi="Times New Roman" w:eastAsia="宋体"/>
                      <w:b/>
                      <w:bCs/>
                      <w:color w:val="auto"/>
                      <w:szCs w:val="21"/>
                    </w:rPr>
                  </w:pPr>
                  <w:r>
                    <w:rPr>
                      <w:rFonts w:ascii="Times New Roman" w:hAnsi="Times New Roman" w:eastAsia="宋体"/>
                      <w:b/>
                      <w:bCs/>
                      <w:color w:val="auto"/>
                      <w:szCs w:val="21"/>
                    </w:rPr>
                    <w:t>管控条款</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b/>
                      <w:bCs/>
                      <w:color w:val="auto"/>
                      <w:szCs w:val="21"/>
                    </w:rPr>
                  </w:pPr>
                  <w:r>
                    <w:rPr>
                      <w:rFonts w:ascii="Times New Roman" w:hAnsi="Times New Roman" w:eastAsia="宋体"/>
                      <w:b/>
                      <w:bCs/>
                      <w:color w:val="auto"/>
                      <w:szCs w:val="21"/>
                    </w:rPr>
                    <w:t>本项目情况</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b/>
                      <w:bCs/>
                      <w:color w:val="auto"/>
                      <w:szCs w:val="21"/>
                    </w:rPr>
                  </w:pPr>
                  <w:r>
                    <w:rPr>
                      <w:rFonts w:ascii="Times New Roman" w:hAnsi="Times New Roman" w:eastAsia="宋体"/>
                      <w:b/>
                      <w:bCs/>
                      <w:color w:val="auto"/>
                      <w:szCs w:val="21"/>
                    </w:rPr>
                    <w:t>是否属于禁止范畴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一</w:t>
                  </w:r>
                </w:p>
              </w:tc>
              <w:tc>
                <w:tcPr>
                  <w:tcW w:w="4882"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禁止准入类</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1</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hint="eastAsia" w:ascii="Times New Roman" w:hAnsi="Times New Roman" w:eastAsia="宋体"/>
                      <w:color w:val="auto"/>
                      <w:szCs w:val="21"/>
                    </w:rPr>
                    <w:t>法律</w:t>
                  </w:r>
                  <w:r>
                    <w:rPr>
                      <w:rFonts w:hint="eastAsia" w:ascii="Times New Roman" w:hAnsi="Times New Roman"/>
                      <w:color w:val="auto"/>
                      <w:szCs w:val="21"/>
                      <w:lang w:eastAsia="zh-CN"/>
                    </w:rPr>
                    <w:t>、</w:t>
                  </w:r>
                  <w:r>
                    <w:rPr>
                      <w:rFonts w:hint="eastAsia" w:ascii="Times New Roman" w:hAnsi="Times New Roman" w:eastAsia="宋体"/>
                      <w:color w:val="auto"/>
                      <w:szCs w:val="21"/>
                    </w:rPr>
                    <w:t>法规</w:t>
                  </w:r>
                  <w:r>
                    <w:rPr>
                      <w:rFonts w:ascii="Times New Roman" w:hAnsi="Times New Roman" w:eastAsia="宋体"/>
                      <w:color w:val="auto"/>
                      <w:szCs w:val="21"/>
                    </w:rPr>
                    <w:t>、国务院决定等明确设立且与市场准入相关的禁止性规定</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2</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国家产业政策明令淘汰和限制的产品、技术、工艺、设备及行为</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3</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不符合主体功能区建设要求的各类开发活动</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4</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禁止违规开展金融相关经营活动</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5</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禁止违规开展互联网相关经营活动</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6</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禁止违规开展新闻传媒相关业务</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二</w:t>
                  </w:r>
                </w:p>
              </w:tc>
              <w:tc>
                <w:tcPr>
                  <w:tcW w:w="4882"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许可准入类（制造业）</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1</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未获得许可，不得从事特定食品生产经营和进出口</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2</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未获得许可或履行规定程序，不得从事烟草专卖品生产</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3</w:t>
                  </w:r>
                </w:p>
              </w:tc>
              <w:tc>
                <w:tcPr>
                  <w:tcW w:w="4882" w:type="dxa"/>
                  <w:tcBorders>
                    <w:tl2br w:val="nil"/>
                    <w:tr2bl w:val="nil"/>
                  </w:tcBorders>
                  <w:noWrap/>
                  <w:tcMar>
                    <w:top w:w="15" w:type="dxa"/>
                    <w:left w:w="0" w:type="dxa"/>
                    <w:right w:w="0" w:type="dxa"/>
                  </w:tcMar>
                  <w:vAlign w:val="center"/>
                </w:tcPr>
                <w:p>
                  <w:pPr>
                    <w:spacing w:beforeLines="0" w:afterLines="0"/>
                    <w:jc w:val="left"/>
                    <w:rPr>
                      <w:rFonts w:ascii="Times New Roman" w:hAnsi="Times New Roman" w:eastAsia="宋体"/>
                      <w:color w:val="auto"/>
                      <w:szCs w:val="21"/>
                    </w:rPr>
                  </w:pPr>
                  <w:r>
                    <w:rPr>
                      <w:rFonts w:hint="eastAsia" w:ascii="FZFSK--GBK1-0" w:hAnsi="FZFSK--GBK1-0" w:eastAsia="FZFSK--GBK1-0"/>
                      <w:sz w:val="22"/>
                      <w:szCs w:val="24"/>
                    </w:rPr>
                    <w:t>未获得许可，不得从事特定印刷复制业务</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4</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未获得许可，不得从事涉核、放射性物品生产、运输和经营</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5</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未获得许可，不得从事特定化学品的生产经营及项目建设，不得从事金属冶炼项目建设</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6</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未获得许可，不得从事民用爆炸物品、烟花爆竹的生产经营及爆破作业</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7</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未获得许可，不得从事医疗器械或化妆品的生产与进口</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8</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未获得许可，不得从事药品的生产、销售或进出口</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9</w:t>
                  </w:r>
                </w:p>
              </w:tc>
              <w:tc>
                <w:tcPr>
                  <w:tcW w:w="4882" w:type="dxa"/>
                  <w:tcBorders>
                    <w:tl2br w:val="nil"/>
                    <w:tr2bl w:val="nil"/>
                  </w:tcBorders>
                  <w:noWrap/>
                  <w:tcMar>
                    <w:top w:w="15" w:type="dxa"/>
                    <w:left w:w="0" w:type="dxa"/>
                    <w:right w:w="0" w:type="dxa"/>
                  </w:tcMar>
                  <w:vAlign w:val="center"/>
                </w:tcPr>
                <w:p>
                  <w:pPr>
                    <w:spacing w:beforeLines="0" w:afterLines="0"/>
                    <w:jc w:val="left"/>
                    <w:rPr>
                      <w:rFonts w:ascii="Times New Roman" w:hAnsi="Times New Roman" w:eastAsia="宋体"/>
                      <w:color w:val="auto"/>
                      <w:szCs w:val="21"/>
                    </w:rPr>
                  </w:pPr>
                  <w:r>
                    <w:rPr>
                      <w:rFonts w:hint="eastAsia" w:ascii="FZFSK--GBK1-0" w:hAnsi="FZFSK--GBK1-0" w:eastAsia="FZFSK--GBK1-0"/>
                      <w:sz w:val="22"/>
                      <w:szCs w:val="24"/>
                    </w:rPr>
                    <w:t>未经许可或指定，不得从事兽药及兽用生物制品的临床试验、生产、经营和进出口</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10</w:t>
                  </w:r>
                </w:p>
              </w:tc>
              <w:tc>
                <w:tcPr>
                  <w:tcW w:w="4882" w:type="dxa"/>
                  <w:tcBorders>
                    <w:tl2br w:val="nil"/>
                    <w:tr2bl w:val="nil"/>
                  </w:tcBorders>
                  <w:noWrap/>
                  <w:tcMar>
                    <w:top w:w="15" w:type="dxa"/>
                    <w:left w:w="0" w:type="dxa"/>
                    <w:right w:w="0" w:type="dxa"/>
                  </w:tcMar>
                  <w:vAlign w:val="center"/>
                </w:tcPr>
                <w:p>
                  <w:pPr>
                    <w:spacing w:beforeLines="0" w:afterLines="0"/>
                    <w:jc w:val="left"/>
                    <w:rPr>
                      <w:rFonts w:hint="eastAsia" w:ascii="FZFSK--GBK1-0" w:hAnsi="FZFSK--GBK1-0" w:eastAsia="FZFSK--GBK1-0"/>
                      <w:sz w:val="22"/>
                      <w:szCs w:val="24"/>
                    </w:rPr>
                  </w:pPr>
                  <w:r>
                    <w:rPr>
                      <w:rFonts w:hint="eastAsia" w:ascii="FZFSK--GBK1-0" w:hAnsi="FZFSK--GBK1-0" w:eastAsia="FZFSK--GBK1-0"/>
                      <w:sz w:val="22"/>
                      <w:szCs w:val="24"/>
                    </w:rPr>
                    <w:t>未获得许可，不得从事农药、肥料的生产、经营、进口</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11</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未获得许可或相关资格，不得从事武器装备、枪支及其他公共安全相关产品的研发、生产、销售、购买和运输及特定国防科技工业领域项目的投资建设</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12</w:t>
                  </w:r>
                </w:p>
              </w:tc>
              <w:tc>
                <w:tcPr>
                  <w:tcW w:w="4882" w:type="dxa"/>
                  <w:tcBorders>
                    <w:tl2br w:val="nil"/>
                    <w:tr2bl w:val="nil"/>
                  </w:tcBorders>
                  <w:noWrap/>
                  <w:tcMar>
                    <w:top w:w="15" w:type="dxa"/>
                    <w:left w:w="0" w:type="dxa"/>
                    <w:right w:w="0" w:type="dxa"/>
                  </w:tcMar>
                  <w:vAlign w:val="center"/>
                </w:tcPr>
                <w:p>
                  <w:pPr>
                    <w:spacing w:beforeLines="0" w:afterLines="0"/>
                    <w:jc w:val="left"/>
                    <w:rPr>
                      <w:rFonts w:ascii="Times New Roman" w:hAnsi="Times New Roman" w:eastAsia="宋体"/>
                      <w:color w:val="auto"/>
                      <w:szCs w:val="21"/>
                    </w:rPr>
                  </w:pPr>
                  <w:r>
                    <w:rPr>
                      <w:rFonts w:hint="eastAsia" w:ascii="FZFSK--GBK1-0" w:hAnsi="FZFSK--GBK1-0" w:eastAsia="FZFSK--GBK1-0"/>
                      <w:sz w:val="22"/>
                      <w:szCs w:val="24"/>
                    </w:rPr>
                    <w:t>未获得许可，不得从事民用航空产品和零部件设计、制造和使用相关业务以及民用航天发射相关业务</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13</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olor w:val="auto"/>
                      <w:szCs w:val="21"/>
                    </w:rPr>
                  </w:pPr>
                  <w:r>
                    <w:rPr>
                      <w:rFonts w:ascii="Times New Roman" w:hAnsi="Times New Roman" w:eastAsia="宋体"/>
                      <w:color w:val="auto"/>
                      <w:szCs w:val="21"/>
                    </w:rPr>
                    <w:t>未获得许可，不得从事特定铁路运输设备生产、维修、进口业务</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14</w:t>
                  </w:r>
                </w:p>
              </w:tc>
              <w:tc>
                <w:tcPr>
                  <w:tcW w:w="4882" w:type="dxa"/>
                  <w:tcBorders>
                    <w:tl2br w:val="nil"/>
                    <w:tr2bl w:val="nil"/>
                  </w:tcBorders>
                  <w:noWrap/>
                  <w:tcMar>
                    <w:top w:w="15" w:type="dxa"/>
                    <w:left w:w="0" w:type="dxa"/>
                    <w:right w:w="0" w:type="dxa"/>
                  </w:tcMar>
                  <w:vAlign w:val="center"/>
                </w:tcPr>
                <w:p>
                  <w:pPr>
                    <w:spacing w:beforeLines="0" w:afterLines="0"/>
                    <w:jc w:val="left"/>
                    <w:rPr>
                      <w:rFonts w:ascii="Times New Roman" w:hAnsi="Times New Roman" w:eastAsia="宋体"/>
                      <w:color w:val="auto"/>
                      <w:szCs w:val="21"/>
                    </w:rPr>
                  </w:pPr>
                  <w:r>
                    <w:rPr>
                      <w:rFonts w:hint="eastAsia" w:ascii="FZFSK--GBK1-0" w:hAnsi="FZFSK--GBK1-0" w:eastAsia="FZFSK--GBK1-0"/>
                      <w:sz w:val="22"/>
                      <w:szCs w:val="24"/>
                    </w:rPr>
                    <w:t>未获得许可，不得从事道路机动车辆生产</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15</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未获得许可或强制性认证，不得从事特种设备、重要工业产品等特定产品的生产经营</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16</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未获得许可，不得从事电信、无线电发射设备的生产、进口和经营</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17</w:t>
                  </w:r>
                </w:p>
              </w:tc>
              <w:tc>
                <w:tcPr>
                  <w:tcW w:w="4882" w:type="dxa"/>
                  <w:tcBorders>
                    <w:tl2br w:val="nil"/>
                    <w:tr2bl w:val="nil"/>
                  </w:tcBorders>
                  <w:noWrap/>
                  <w:tcMar>
                    <w:top w:w="15" w:type="dxa"/>
                    <w:left w:w="0" w:type="dxa"/>
                    <w:right w:w="0" w:type="dxa"/>
                  </w:tcMar>
                  <w:vAlign w:val="center"/>
                </w:tcPr>
                <w:p>
                  <w:pPr>
                    <w:spacing w:beforeLines="0" w:afterLines="0"/>
                    <w:jc w:val="left"/>
                    <w:rPr>
                      <w:rFonts w:ascii="Times New Roman" w:hAnsi="Times New Roman" w:eastAsia="宋体" w:cs="Times New Roman"/>
                      <w:color w:val="auto"/>
                      <w:spacing w:val="4"/>
                      <w:kern w:val="18"/>
                      <w:sz w:val="21"/>
                      <w:szCs w:val="21"/>
                      <w:lang w:val="en-US" w:eastAsia="zh-CN" w:bidi="ar-SA"/>
                    </w:rPr>
                  </w:pPr>
                  <w:r>
                    <w:rPr>
                      <w:rFonts w:hint="eastAsia" w:ascii="FZFSK--GBK1-0" w:hAnsi="FZFSK--GBK1-0" w:eastAsia="FZFSK--GBK1-0"/>
                      <w:sz w:val="22"/>
                      <w:szCs w:val="24"/>
                    </w:rPr>
                    <w:t>未获得许可，不得从事商用密码的检测评估和进出口</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18</w:t>
                  </w:r>
                </w:p>
              </w:tc>
              <w:tc>
                <w:tcPr>
                  <w:tcW w:w="4882" w:type="dxa"/>
                  <w:tcBorders>
                    <w:tl2br w:val="nil"/>
                    <w:tr2bl w:val="nil"/>
                  </w:tcBorders>
                  <w:noWrap/>
                  <w:tcMar>
                    <w:top w:w="15" w:type="dxa"/>
                    <w:left w:w="0" w:type="dxa"/>
                    <w:right w:w="0" w:type="dxa"/>
                  </w:tcMar>
                  <w:vAlign w:val="center"/>
                </w:tcPr>
                <w:p>
                  <w:pPr>
                    <w:pStyle w:val="30"/>
                    <w:jc w:val="left"/>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未获得许可，不得制造计量器具或从事相关量值传递和技术业务工作</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30"/>
                    <w:rPr>
                      <w:rFonts w:ascii="Times New Roman" w:hAnsi="Times New Roman" w:eastAsia="宋体" w:cs="Times New Roman"/>
                      <w:color w:val="auto"/>
                      <w:spacing w:val="4"/>
                      <w:kern w:val="18"/>
                      <w:sz w:val="21"/>
                      <w:szCs w:val="21"/>
                      <w:lang w:val="en-US" w:eastAsia="zh-CN" w:bidi="ar-SA"/>
                    </w:rPr>
                  </w:pPr>
                  <w:r>
                    <w:rPr>
                      <w:rFonts w:ascii="Times New Roman" w:hAnsi="Times New Roman" w:eastAsia="宋体"/>
                      <w:color w:val="auto"/>
                      <w:szCs w:val="21"/>
                    </w:rPr>
                    <w:t>19</w:t>
                  </w:r>
                </w:p>
              </w:tc>
              <w:tc>
                <w:tcPr>
                  <w:tcW w:w="4882" w:type="dxa"/>
                  <w:tcBorders>
                    <w:tl2br w:val="nil"/>
                    <w:tr2bl w:val="nil"/>
                  </w:tcBorders>
                  <w:noWrap/>
                  <w:tcMar>
                    <w:top w:w="15" w:type="dxa"/>
                    <w:left w:w="0" w:type="dxa"/>
                    <w:right w:w="0" w:type="dxa"/>
                  </w:tcMar>
                  <w:vAlign w:val="center"/>
                </w:tcPr>
                <w:p>
                  <w:pPr>
                    <w:spacing w:beforeLines="0" w:afterLines="0"/>
                    <w:jc w:val="left"/>
                    <w:rPr>
                      <w:rFonts w:ascii="Times New Roman" w:hAnsi="Times New Roman" w:eastAsia="宋体" w:cs="Times New Roman"/>
                      <w:color w:val="auto"/>
                      <w:spacing w:val="4"/>
                      <w:kern w:val="18"/>
                      <w:sz w:val="21"/>
                      <w:szCs w:val="21"/>
                      <w:lang w:val="en-US" w:eastAsia="zh-CN" w:bidi="ar-SA"/>
                    </w:rPr>
                  </w:pPr>
                  <w:r>
                    <w:rPr>
                      <w:rFonts w:hint="eastAsia" w:ascii="FZFSK--GBK1-0" w:hAnsi="FZFSK--GBK1-0" w:eastAsia="FZFSK--GBK1-0"/>
                      <w:sz w:val="22"/>
                      <w:szCs w:val="24"/>
                    </w:rPr>
                    <w:t>未获得许可，不得从事报废机动车回收拆解业务</w:t>
                  </w:r>
                </w:p>
              </w:tc>
              <w:tc>
                <w:tcPr>
                  <w:tcW w:w="726"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不涉及</w:t>
                  </w:r>
                </w:p>
              </w:tc>
              <w:tc>
                <w:tcPr>
                  <w:tcW w:w="917" w:type="dxa"/>
                  <w:tcBorders>
                    <w:tl2br w:val="nil"/>
                    <w:tr2bl w:val="nil"/>
                  </w:tcBorders>
                  <w:noWrap/>
                  <w:tcMar>
                    <w:top w:w="15" w:type="dxa"/>
                    <w:left w:w="0" w:type="dxa"/>
                    <w:right w:w="0" w:type="dxa"/>
                  </w:tcMar>
                  <w:vAlign w:val="center"/>
                </w:tcPr>
                <w:p>
                  <w:pPr>
                    <w:pStyle w:val="30"/>
                    <w:rPr>
                      <w:rFonts w:ascii="Times New Roman" w:hAnsi="Times New Roman" w:eastAsia="宋体"/>
                      <w:color w:val="auto"/>
                      <w:szCs w:val="21"/>
                    </w:rPr>
                  </w:pPr>
                  <w:r>
                    <w:rPr>
                      <w:rFonts w:ascii="Times New Roman" w:hAnsi="Times New Roman" w:eastAsia="宋体"/>
                      <w:color w:val="auto"/>
                      <w:szCs w:val="21"/>
                    </w:rPr>
                    <w:t>否</w:t>
                  </w:r>
                </w:p>
              </w:tc>
            </w:tr>
          </w:tbl>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综上所述，本项目与“三线一单”要求相符合。</w:t>
            </w:r>
          </w:p>
          <w:p>
            <w:pPr>
              <w:numPr>
                <w:ilvl w:val="0"/>
                <w:numId w:val="3"/>
              </w:numPr>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与《省政府关于印发江苏省“三线一单”生态环境分区管控方案的通知》（苏政发</w:t>
            </w:r>
            <w:r>
              <w:rPr>
                <w:rFonts w:hint="eastAsia"/>
                <w:b/>
                <w:bCs/>
                <w:color w:val="auto"/>
                <w:sz w:val="24"/>
                <w:lang w:eastAsia="zh-CN"/>
              </w:rPr>
              <w:t>〔2020〕49号</w:t>
            </w:r>
            <w:r>
              <w:rPr>
                <w:rFonts w:ascii="Times New Roman" w:hAnsi="Times New Roman" w:eastAsia="宋体"/>
                <w:b/>
                <w:bCs/>
                <w:color w:val="auto"/>
                <w:sz w:val="24"/>
              </w:rPr>
              <w:t>）相符性分析</w:t>
            </w:r>
          </w:p>
          <w:p>
            <w:pPr>
              <w:adjustRightInd w:val="0"/>
              <w:snapToGrid w:val="0"/>
              <w:spacing w:line="360" w:lineRule="auto"/>
              <w:ind w:firstLine="480" w:firstLineChars="200"/>
              <w:rPr>
                <w:rFonts w:ascii="Times New Roman" w:hAnsi="Times New Roman"/>
                <w:color w:val="auto"/>
                <w:kern w:val="0"/>
                <w:sz w:val="24"/>
                <w:lang w:bidi="ar"/>
              </w:rPr>
            </w:pPr>
            <w:r>
              <w:rPr>
                <w:rFonts w:ascii="Times New Roman" w:hAnsi="Times New Roman"/>
                <w:color w:val="auto"/>
                <w:kern w:val="0"/>
                <w:sz w:val="24"/>
                <w:lang w:bidi="ar"/>
              </w:rPr>
              <w:t>对照江苏省“三线一单”生态环境分区管控方案，本项目位于</w:t>
            </w:r>
            <w:r>
              <w:rPr>
                <w:rFonts w:hint="eastAsia" w:ascii="Times New Roman" w:hAnsi="Times New Roman" w:eastAsia="宋体"/>
                <w:color w:val="auto"/>
                <w:kern w:val="0"/>
                <w:sz w:val="24"/>
                <w:lang w:eastAsia="zh-CN" w:bidi="ar"/>
              </w:rPr>
              <w:t>如皋市下原镇兴原路58-7号</w:t>
            </w:r>
            <w:r>
              <w:rPr>
                <w:rFonts w:ascii="Times New Roman" w:hAnsi="Times New Roman"/>
                <w:color w:val="auto"/>
                <w:kern w:val="0"/>
                <w:sz w:val="24"/>
                <w:lang w:bidi="ar"/>
              </w:rPr>
              <w:t>，</w:t>
            </w:r>
            <w:r>
              <w:rPr>
                <w:rFonts w:ascii="Times New Roman" w:hAnsi="Times New Roman"/>
                <w:color w:val="auto"/>
                <w:sz w:val="24"/>
              </w:rPr>
              <w:t>本项目距离</w:t>
            </w:r>
            <w:r>
              <w:rPr>
                <w:rFonts w:hint="eastAsia" w:ascii="Times New Roman" w:hAnsi="Times New Roman" w:eastAsia="宋体"/>
                <w:color w:val="auto"/>
                <w:sz w:val="24"/>
                <w:lang w:val="en-US" w:eastAsia="zh-CN"/>
              </w:rPr>
              <w:t>如海运河</w:t>
            </w:r>
            <w:r>
              <w:rPr>
                <w:rFonts w:hint="eastAsia" w:ascii="Times New Roman" w:hAnsi="Times New Roman" w:eastAsia="宋体"/>
                <w:color w:val="auto"/>
                <w:sz w:val="24"/>
              </w:rPr>
              <w:t>（如皋市）</w:t>
            </w:r>
            <w:r>
              <w:rPr>
                <w:rFonts w:ascii="Times New Roman" w:hAnsi="Times New Roman" w:eastAsia="宋体"/>
                <w:color w:val="auto"/>
                <w:sz w:val="24"/>
              </w:rPr>
              <w:t>清水通道维护区</w:t>
            </w:r>
            <w:r>
              <w:rPr>
                <w:rFonts w:hint="eastAsia" w:ascii="Times New Roman" w:hAnsi="Times New Roman" w:eastAsia="宋体"/>
                <w:color w:val="auto"/>
                <w:sz w:val="24"/>
                <w:lang w:val="en-US" w:eastAsia="zh-CN"/>
              </w:rPr>
              <w:t>2.7</w:t>
            </w:r>
            <w:r>
              <w:rPr>
                <w:rFonts w:hint="eastAsia" w:ascii="Times New Roman" w:hAnsi="Times New Roman" w:eastAsia="宋体"/>
                <w:color w:val="auto"/>
                <w:sz w:val="24"/>
              </w:rPr>
              <w:t>k</w:t>
            </w:r>
            <w:r>
              <w:rPr>
                <w:rFonts w:ascii="Times New Roman" w:hAnsi="Times New Roman" w:eastAsia="宋体"/>
                <w:color w:val="auto"/>
                <w:sz w:val="24"/>
              </w:rPr>
              <w:t>m</w:t>
            </w:r>
            <w:r>
              <w:rPr>
                <w:rFonts w:ascii="Times New Roman" w:hAnsi="Times New Roman"/>
                <w:color w:val="auto"/>
                <w:kern w:val="0"/>
                <w:sz w:val="24"/>
                <w:lang w:bidi="ar"/>
              </w:rPr>
              <w:t>，本项目位于下原工业集中区，在生态管控空间区域重点管控单元管控范围内</w:t>
            </w:r>
            <w:r>
              <w:rPr>
                <w:rFonts w:hint="eastAsia" w:ascii="Times New Roman" w:hAnsi="Times New Roman"/>
                <w:color w:val="auto"/>
                <w:kern w:val="0"/>
                <w:sz w:val="24"/>
                <w:lang w:eastAsia="zh-CN" w:bidi="ar"/>
              </w:rPr>
              <w:t>，</w:t>
            </w:r>
            <w:r>
              <w:rPr>
                <w:rFonts w:ascii="Times New Roman" w:hAnsi="Times New Roman" w:eastAsia="宋体" w:cs="Times New Roman"/>
                <w:bCs/>
                <w:color w:val="auto"/>
                <w:sz w:val="24"/>
              </w:rPr>
              <w:t>具体情况见表</w:t>
            </w:r>
            <w:r>
              <w:rPr>
                <w:rFonts w:hint="eastAsia" w:ascii="Times New Roman" w:hAnsi="Times New Roman" w:eastAsia="宋体" w:cs="Times New Roman"/>
                <w:bCs/>
                <w:color w:val="auto"/>
                <w:sz w:val="24"/>
                <w:lang w:val="en-US" w:eastAsia="zh-CN"/>
              </w:rPr>
              <w:t>1-</w:t>
            </w: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w:t>
            </w:r>
            <w:r>
              <w:rPr>
                <w:rFonts w:hint="eastAsia" w:ascii="Times New Roman" w:hAnsi="Times New Roman"/>
                <w:color w:val="auto"/>
                <w:kern w:val="0"/>
                <w:sz w:val="24"/>
                <w:lang w:bidi="ar"/>
              </w:rPr>
              <w:t>本项目与江苏省生态环境管控单元位置关系图见附图</w:t>
            </w:r>
            <w:r>
              <w:rPr>
                <w:rFonts w:hint="eastAsia" w:ascii="Times New Roman" w:hAnsi="Times New Roman"/>
                <w:color w:val="auto"/>
                <w:kern w:val="0"/>
                <w:sz w:val="24"/>
                <w:lang w:val="en-US" w:eastAsia="zh-CN" w:bidi="ar"/>
              </w:rPr>
              <w:t>8</w:t>
            </w:r>
            <w:r>
              <w:rPr>
                <w:rFonts w:ascii="Times New Roman" w:hAnsi="Times New Roman"/>
                <w:color w:val="auto"/>
                <w:kern w:val="0"/>
                <w:sz w:val="24"/>
                <w:lang w:bidi="ar"/>
              </w:rPr>
              <w:t>。</w:t>
            </w:r>
          </w:p>
          <w:p>
            <w:pPr>
              <w:spacing w:line="240" w:lineRule="auto"/>
              <w:jc w:val="center"/>
              <w:rPr>
                <w:rFonts w:ascii="Times New Roman" w:hAnsi="Times New Roman" w:eastAsiaTheme="minorEastAsia"/>
                <w:b/>
                <w:bCs/>
                <w:color w:val="auto"/>
                <w:sz w:val="24"/>
              </w:rPr>
            </w:pPr>
            <w:r>
              <w:rPr>
                <w:rFonts w:ascii="Times New Roman" w:hAnsi="Times New Roman" w:eastAsiaTheme="minorEastAsia"/>
                <w:b/>
                <w:bCs/>
                <w:color w:val="auto"/>
                <w:sz w:val="24"/>
              </w:rPr>
              <w:t>表</w:t>
            </w:r>
            <w:r>
              <w:rPr>
                <w:rFonts w:hint="eastAsia" w:ascii="Times New Roman" w:hAnsi="Times New Roman" w:eastAsiaTheme="minorEastAsia"/>
                <w:b/>
                <w:bCs/>
                <w:color w:val="auto"/>
                <w:sz w:val="24"/>
                <w:lang w:val="en-US" w:eastAsia="zh-CN"/>
              </w:rPr>
              <w:t>1-</w:t>
            </w:r>
            <w:r>
              <w:rPr>
                <w:rFonts w:hint="eastAsia" w:eastAsiaTheme="minorEastAsia"/>
                <w:b/>
                <w:bCs/>
                <w:color w:val="auto"/>
                <w:sz w:val="24"/>
                <w:lang w:val="en-US" w:eastAsia="zh-CN"/>
              </w:rPr>
              <w:t>5</w:t>
            </w:r>
            <w:r>
              <w:rPr>
                <w:rFonts w:ascii="Times New Roman" w:hAnsi="Times New Roman" w:eastAsiaTheme="minorEastAsia"/>
                <w:b/>
                <w:bCs/>
                <w:color w:val="auto"/>
                <w:sz w:val="24"/>
              </w:rPr>
              <w:t xml:space="preserve">  本项目与苏政发</w:t>
            </w:r>
            <w:r>
              <w:rPr>
                <w:rFonts w:hint="eastAsia" w:eastAsiaTheme="minorEastAsia"/>
                <w:b/>
                <w:bCs/>
                <w:color w:val="auto"/>
                <w:sz w:val="24"/>
                <w:lang w:eastAsia="zh-CN"/>
              </w:rPr>
              <w:t>〔2020〕49号</w:t>
            </w:r>
            <w:r>
              <w:rPr>
                <w:rFonts w:ascii="Times New Roman" w:hAnsi="Times New Roman" w:eastAsiaTheme="minorEastAsia"/>
                <w:b/>
                <w:bCs/>
                <w:color w:val="auto"/>
                <w:sz w:val="24"/>
              </w:rPr>
              <w:t>文相符性分析</w:t>
            </w:r>
          </w:p>
          <w:tbl>
            <w:tblPr>
              <w:tblStyle w:val="21"/>
              <w:tblW w:w="805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514"/>
              <w:gridCol w:w="1857"/>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管控类别</w:t>
                  </w:r>
                </w:p>
              </w:tc>
              <w:tc>
                <w:tcPr>
                  <w:tcW w:w="1561" w:type="pct"/>
                  <w:tcBorders>
                    <w:tl2br w:val="nil"/>
                    <w:tr2bl w:val="nil"/>
                  </w:tcBorders>
                  <w:shd w:val="clear" w:color="auto" w:fill="auto"/>
                  <w:vAlign w:val="center"/>
                </w:tcPr>
                <w:p>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重点管控要求</w:t>
                  </w:r>
                </w:p>
              </w:tc>
              <w:tc>
                <w:tcPr>
                  <w:tcW w:w="1153" w:type="pct"/>
                  <w:tcBorders>
                    <w:tl2br w:val="nil"/>
                    <w:tr2bl w:val="nil"/>
                  </w:tcBorders>
                  <w:shd w:val="clear" w:color="auto" w:fill="auto"/>
                  <w:vAlign w:val="center"/>
                </w:tcPr>
                <w:p>
                  <w:pPr>
                    <w:spacing w:line="240" w:lineRule="auto"/>
                    <w:jc w:val="center"/>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本项目建设情况</w:t>
                  </w:r>
                </w:p>
              </w:tc>
              <w:tc>
                <w:tcPr>
                  <w:tcW w:w="1155" w:type="pct"/>
                  <w:tcBorders>
                    <w:tl2br w:val="nil"/>
                    <w:tr2bl w:val="nil"/>
                  </w:tcBorders>
                  <w:shd w:val="clear" w:color="auto" w:fill="auto"/>
                  <w:vAlign w:val="center"/>
                </w:tcPr>
                <w:p>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7" w:type="pct"/>
                  <w:gridSpan w:val="4"/>
                  <w:tcBorders>
                    <w:tl2br w:val="nil"/>
                    <w:tr2bl w:val="nil"/>
                  </w:tcBorders>
                  <w:shd w:val="clear" w:color="auto" w:fill="auto"/>
                  <w:vAlign w:val="center"/>
                </w:tcPr>
                <w:p>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江苏省省域生态环境管控要求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空间布局约束</w:t>
                  </w:r>
                </w:p>
              </w:tc>
              <w:tc>
                <w:tcPr>
                  <w:tcW w:w="1561" w:type="pct"/>
                  <w:tcBorders>
                    <w:tl2br w:val="nil"/>
                    <w:tr2bl w:val="nil"/>
                  </w:tcBorders>
                  <w:shd w:val="clear" w:color="auto" w:fill="auto"/>
                  <w:vAlign w:val="center"/>
                </w:tcPr>
                <w:p>
                  <w:pPr>
                    <w:spacing w:line="240" w:lineRule="auto"/>
                    <w:rPr>
                      <w:rFonts w:hint="default" w:ascii="Times New Roman" w:hAnsi="Times New Roman" w:eastAsia="宋体"/>
                      <w:color w:val="auto"/>
                      <w:sz w:val="21"/>
                      <w:szCs w:val="21"/>
                    </w:rPr>
                  </w:pPr>
                  <w:r>
                    <w:rPr>
                      <w:rFonts w:hint="default" w:ascii="Times New Roman" w:hAnsi="Times New Roman" w:eastAsia="宋体"/>
                      <w:color w:val="auto"/>
                      <w:sz w:val="21"/>
                      <w:szCs w:val="21"/>
                    </w:rPr>
                    <w:t>①按照《省政府关于印发江苏省生态空间管控区域规划的通知》（苏政发〔2020〕1号）、《省政府关于印发江苏省国家级生态保护红线规划的通知》（苏政发</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2018</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74号），坚持节约优先、保护优先、自然恢复为主的方针，以</w:t>
                  </w:r>
                  <w:r>
                    <w:rPr>
                      <w:rFonts w:hint="eastAsia" w:ascii="Times New Roman" w:hAnsi="Times New Roman" w:eastAsia="宋体"/>
                      <w:color w:val="auto"/>
                      <w:sz w:val="21"/>
                      <w:szCs w:val="21"/>
                      <w:lang w:val="en-US" w:eastAsia="zh-CN"/>
                    </w:rPr>
                    <w:t>改善</w:t>
                  </w:r>
                  <w:r>
                    <w:rPr>
                      <w:rFonts w:hint="default" w:ascii="Times New Roman" w:hAnsi="Times New Roman" w:eastAsia="宋体"/>
                      <w:color w:val="auto"/>
                      <w:sz w:val="21"/>
                      <w:szCs w:val="21"/>
                    </w:rPr>
                    <w:t>生态环境质量为核心，以保障和维护生态功能为主线，统筹山水林田湖草一体化保护和修复，严守生态保护红线</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实行最严格的生态空间管控制度，确保全省生态功能不降低、面积不减少、性质不改变，切实维护生态安全。</w:t>
                  </w:r>
                </w:p>
                <w:p>
                  <w:pPr>
                    <w:spacing w:line="240" w:lineRule="auto"/>
                    <w:rPr>
                      <w:rFonts w:hint="default" w:ascii="Times New Roman" w:hAnsi="Times New Roman" w:eastAsia="宋体"/>
                      <w:color w:val="auto"/>
                      <w:sz w:val="21"/>
                      <w:szCs w:val="21"/>
                    </w:rPr>
                  </w:pPr>
                  <w:r>
                    <w:rPr>
                      <w:rFonts w:hint="default" w:ascii="Times New Roman" w:hAnsi="Times New Roman" w:eastAsia="宋体"/>
                      <w:color w:val="auto"/>
                      <w:sz w:val="21"/>
                      <w:szCs w:val="21"/>
                    </w:rPr>
                    <w:t>②牢牢把握推动长江经济带发展</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共抓大保护</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不搞大开发</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战略导向。对省域范围内需要重点保护的岸线、河段和区域实行严格空间布局管控，管控好排放量大、耗能高、产能过剩的产业，推动长江经济带高质量发展。</w:t>
                  </w:r>
                </w:p>
                <w:p>
                  <w:pPr>
                    <w:spacing w:line="240" w:lineRule="auto"/>
                    <w:rPr>
                      <w:rFonts w:hint="default" w:ascii="Times New Roman" w:hAnsi="Times New Roman" w:eastAsia="宋体"/>
                      <w:color w:val="auto"/>
                      <w:sz w:val="21"/>
                      <w:szCs w:val="21"/>
                    </w:rPr>
                  </w:pPr>
                  <w:r>
                    <w:rPr>
                      <w:rFonts w:hint="default" w:ascii="Times New Roman" w:hAnsi="Times New Roman" w:eastAsia="宋体"/>
                      <w:color w:val="auto"/>
                      <w:sz w:val="21"/>
                      <w:szCs w:val="21"/>
                    </w:rPr>
                    <w:t>③大幅压减沿长江干支流两侧1公里范围内、环境敏感区域、城镇人口密集区、化工园区外和规模以下化工生产企业，着力破解</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重化围江</w:t>
                  </w:r>
                  <w:r>
                    <w:rPr>
                      <w:rFonts w:hint="eastAsia" w:ascii="Times New Roman" w:hAnsi="Times New Roman" w:eastAsia="宋体"/>
                      <w:color w:val="auto"/>
                      <w:sz w:val="21"/>
                      <w:szCs w:val="21"/>
                      <w:lang w:eastAsia="zh-CN"/>
                    </w:rPr>
                    <w:t>”</w:t>
                  </w:r>
                  <w:r>
                    <w:rPr>
                      <w:rFonts w:hint="default" w:ascii="Times New Roman" w:hAnsi="Times New Roman" w:eastAsia="宋体"/>
                      <w:color w:val="auto"/>
                      <w:sz w:val="21"/>
                      <w:szCs w:val="21"/>
                    </w:rPr>
                    <w:t>突出问题，高起点同步推进沿江地区战略性转型和沿海地区战略性布局。</w:t>
                  </w:r>
                </w:p>
                <w:p>
                  <w:pPr>
                    <w:spacing w:line="240" w:lineRule="auto"/>
                    <w:rPr>
                      <w:rFonts w:hint="default" w:ascii="Times New Roman" w:hAnsi="Times New Roman" w:eastAsia="宋体"/>
                      <w:color w:val="auto"/>
                      <w:sz w:val="21"/>
                      <w:szCs w:val="21"/>
                    </w:rPr>
                  </w:pPr>
                  <w:r>
                    <w:rPr>
                      <w:rFonts w:hint="default" w:ascii="Times New Roman" w:hAnsi="Times New Roman" w:eastAsia="宋体"/>
                      <w:color w:val="auto"/>
                      <w:sz w:val="21"/>
                      <w:szCs w:val="21"/>
                    </w:rPr>
                    <w:t>④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pPr>
                    <w:spacing w:line="240" w:lineRule="auto"/>
                    <w:rPr>
                      <w:rFonts w:ascii="Times New Roman" w:hAnsi="Times New Roman" w:eastAsia="宋体"/>
                      <w:color w:val="auto"/>
                      <w:sz w:val="21"/>
                      <w:szCs w:val="21"/>
                    </w:rPr>
                  </w:pPr>
                  <w:r>
                    <w:rPr>
                      <w:rFonts w:hint="default" w:ascii="Times New Roman" w:hAnsi="Times New Roman" w:eastAsia="宋体"/>
                      <w:color w:val="auto"/>
                      <w:sz w:val="21"/>
                      <w:szCs w:val="21"/>
                    </w:rPr>
                    <w:t>⑤对列入国家和省规划，涉及生态保护红线和相关法定保护区的重大民生项目、重大基础设施项目（交通基础设施项目等），应优先空间布局（选线）、主动避让；确实无法避让的，应采取无害化方式（如无害化穿、跨越方式等），依法依规履行行政审批手续，强化减缓生态环境影响和生态补偿影响。</w:t>
                  </w:r>
                </w:p>
              </w:tc>
              <w:tc>
                <w:tcPr>
                  <w:tcW w:w="1153"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olor w:val="auto"/>
                      <w:sz w:val="21"/>
                      <w:szCs w:val="21"/>
                    </w:rPr>
                    <w:t>本</w:t>
                  </w:r>
                  <w:r>
                    <w:rPr>
                      <w:rFonts w:ascii="Times New Roman" w:hAnsi="Times New Roman" w:eastAsia="宋体"/>
                      <w:color w:val="auto"/>
                      <w:sz w:val="21"/>
                      <w:szCs w:val="21"/>
                    </w:rPr>
                    <w:t>项目属于重点管控单元，不占用生态管控空间区域及国家级生态保护红线，符合空间布局约束方面的要求；对照《关于发布长江经济带发展负面清单指南（试行）的通知》，项目不属于负面清单里的十类禁止项目。</w:t>
                  </w:r>
                </w:p>
              </w:tc>
              <w:tc>
                <w:tcPr>
                  <w:tcW w:w="1155" w:type="pct"/>
                  <w:tcBorders>
                    <w:tl2br w:val="nil"/>
                    <w:tr2bl w:val="nil"/>
                  </w:tcBorders>
                  <w:shd w:val="clear" w:color="auto" w:fill="auto"/>
                  <w:vAlign w:val="center"/>
                </w:tcPr>
                <w:p>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污染物排放管控</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1.坚持生态环境质量只能更好、不能变坏，实施污染物总量控制，以环境容量定产业、定项目、定规模，确保开发建设行为不突破生态环境承载力。</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2.2020年主要污染物排放总量要求：全省二氧化硫、氮氧化物、挥发性有机物、化学需氧量、氨氮、总氮、总磷排放总量分别为66.8万吨、85.4万吨、149.6万吨、91.2万吨、11.9万吨、29.2万吨、2.7万吨。</w:t>
                  </w:r>
                </w:p>
              </w:tc>
              <w:tc>
                <w:tcPr>
                  <w:tcW w:w="1153"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本项目为登记管理，</w:t>
                  </w:r>
                  <w:r>
                    <w:rPr>
                      <w:rFonts w:hint="eastAsia"/>
                      <w:color w:val="auto"/>
                      <w:sz w:val="21"/>
                      <w:szCs w:val="21"/>
                      <w:lang w:val="en-US" w:eastAsia="zh-CN"/>
                    </w:rPr>
                    <w:t>无需</w:t>
                  </w:r>
                  <w:r>
                    <w:rPr>
                      <w:rFonts w:hint="eastAsia" w:ascii="Times New Roman" w:hAnsi="Times New Roman" w:eastAsia="宋体"/>
                      <w:color w:val="auto"/>
                      <w:sz w:val="21"/>
                      <w:szCs w:val="21"/>
                      <w:lang w:val="en-US" w:eastAsia="zh-CN"/>
                    </w:rPr>
                    <w:t>实施总量平衡</w:t>
                  </w:r>
                  <w:r>
                    <w:rPr>
                      <w:rFonts w:hint="eastAsia" w:ascii="Times New Roman" w:hAnsi="Times New Roman" w:eastAsia="宋体"/>
                      <w:color w:val="auto"/>
                      <w:sz w:val="21"/>
                      <w:szCs w:val="21"/>
                    </w:rPr>
                    <w:t>。</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环境风险防控</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color w:val="auto"/>
                      <w:sz w:val="21"/>
                      <w:szCs w:val="21"/>
                      <w:lang w:val="en-US" w:eastAsia="zh-CN"/>
                    </w:rPr>
                    <w:t>1</w:t>
                  </w:r>
                  <w:r>
                    <w:rPr>
                      <w:rFonts w:ascii="Times New Roman" w:hAnsi="Times New Roman" w:eastAsia="宋体"/>
                      <w:color w:val="auto"/>
                      <w:sz w:val="21"/>
                      <w:szCs w:val="21"/>
                    </w:rPr>
                    <w:t>.强化环境事故应急管理，深化跨部门、跨区域环境应急协调联动，分区域建立环境应急物资储备库。各级工业园区（集聚区）和企业的环境应急装备和储备物资应纳入储备体系。</w:t>
                  </w:r>
                </w:p>
                <w:p>
                  <w:pPr>
                    <w:spacing w:line="240" w:lineRule="auto"/>
                    <w:rPr>
                      <w:rFonts w:ascii="Times New Roman" w:hAnsi="Times New Roman" w:eastAsia="宋体"/>
                      <w:color w:val="auto"/>
                      <w:sz w:val="21"/>
                      <w:szCs w:val="21"/>
                    </w:rPr>
                  </w:pPr>
                  <w:r>
                    <w:rPr>
                      <w:rFonts w:hint="eastAsia"/>
                      <w:color w:val="auto"/>
                      <w:sz w:val="21"/>
                      <w:szCs w:val="21"/>
                      <w:lang w:val="en-US" w:eastAsia="zh-CN"/>
                    </w:rPr>
                    <w:t>2</w:t>
                  </w:r>
                  <w:r>
                    <w:rPr>
                      <w:rFonts w:ascii="Times New Roman" w:hAnsi="Times New Roman" w:eastAsia="宋体"/>
                      <w:color w:val="auto"/>
                      <w:sz w:val="21"/>
                      <w:szCs w:val="21"/>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153" w:type="pct"/>
                  <w:tcBorders>
                    <w:tl2br w:val="nil"/>
                    <w:tr2bl w:val="nil"/>
                  </w:tcBorders>
                  <w:shd w:val="clear" w:color="auto" w:fill="auto"/>
                  <w:vAlign w:val="center"/>
                </w:tcPr>
                <w:p>
                  <w:pPr>
                    <w:rPr>
                      <w:rFonts w:ascii="Times New Roman" w:hAnsi="Times New Roman" w:eastAsia="宋体"/>
                      <w:color w:val="auto"/>
                      <w:sz w:val="21"/>
                      <w:szCs w:val="21"/>
                    </w:rPr>
                  </w:pPr>
                  <w:r>
                    <w:t>项目厂区</w:t>
                  </w:r>
                  <w:r>
                    <w:rPr>
                      <w:rFonts w:hint="eastAsia"/>
                      <w:lang w:val="en-US" w:eastAsia="zh-CN"/>
                    </w:rPr>
                    <w:t>内</w:t>
                  </w:r>
                  <w:r>
                    <w:t>配备了必要的应急物资，暂未编制应急预案。建设单位拟在本项目建成后及时编制突发环境事件应急预案，完善相应的风险防范措施，应急池有效容积不小于</w:t>
                  </w:r>
                  <w:r>
                    <w:rPr>
                      <w:rFonts w:hint="eastAsia"/>
                      <w:lang w:val="en-US" w:eastAsia="zh-CN"/>
                    </w:rPr>
                    <w:t>180</w:t>
                  </w:r>
                  <w:r>
                    <w:t>m</w:t>
                  </w:r>
                  <w:r>
                    <w:rPr>
                      <w:rFonts w:hint="default" w:asciiTheme="minorAscii" w:hAnsiTheme="minorAscii" w:eastAsiaTheme="minorEastAsia"/>
                      <w:sz w:val="21"/>
                      <w:vertAlign w:val="superscript"/>
                    </w:rPr>
                    <w:t>3</w:t>
                  </w:r>
                  <w:r>
                    <w:t>，补充完善应急物资，雨水总排口安装截止阀，按要求配备必</w:t>
                  </w:r>
                  <w:r>
                    <w:rPr>
                      <w:rFonts w:hint="eastAsia"/>
                      <w:lang w:val="en-US" w:eastAsia="zh-CN"/>
                    </w:rPr>
                    <w:t>需</w:t>
                  </w:r>
                  <w:r>
                    <w:t>的设备</w:t>
                  </w:r>
                  <w:r>
                    <w:rPr>
                      <w:rFonts w:hint="eastAsia"/>
                      <w:lang w:eastAsia="zh-CN"/>
                    </w:rPr>
                    <w:t>、</w:t>
                  </w:r>
                  <w:r>
                    <w:t>物资</w:t>
                  </w:r>
                  <w:r>
                    <w:rPr>
                      <w:rFonts w:hint="eastAsia"/>
                      <w:lang w:eastAsia="zh-CN"/>
                    </w:rPr>
                    <w:t>、</w:t>
                  </w:r>
                  <w:r>
                    <w:t>人员</w:t>
                  </w:r>
                  <w:r>
                    <w:rPr>
                      <w:rFonts w:hint="eastAsia"/>
                      <w:lang w:eastAsia="zh-CN"/>
                    </w:rPr>
                    <w:t>，</w:t>
                  </w:r>
                  <w:r>
                    <w:t>并定期演练</w:t>
                  </w:r>
                  <w:r>
                    <w:rPr>
                      <w:rFonts w:hint="eastAsia"/>
                      <w:lang w:eastAsia="zh-CN"/>
                    </w:rPr>
                    <w:t>。</w:t>
                  </w:r>
                </w:p>
              </w:tc>
              <w:tc>
                <w:tcPr>
                  <w:tcW w:w="1155" w:type="pct"/>
                  <w:tcBorders>
                    <w:tl2br w:val="nil"/>
                    <w:tr2bl w:val="nil"/>
                  </w:tcBorders>
                  <w:shd w:val="clear" w:color="auto" w:fill="auto"/>
                  <w:vAlign w:val="center"/>
                </w:tcPr>
                <w:p>
                  <w:pPr>
                    <w:spacing w:line="240" w:lineRule="auto"/>
                    <w:jc w:val="cente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资源利用效率要求</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1.水资源利用总量及效率要求：到2020年，全省用水总量不得超过524.15亿立方米。全省万元地区生产总值用水量、万元工业增加值用水量达到国家最严格水资源管理考核要求。到2020年，全省矿井水、洗煤废水70%以上综合利用，高耗水行业达到先进定额标准，工业水循环利用率达到90%。</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2.土地资源总量要求：到2020年，全省耕地保有量不低于456.87万公顷，永久基本农田保护面积不低于390.67万公顷。</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3.禁燃区要求：在禁燃区内，禁止销售、燃用高污染燃料；禁止新建、扩建燃用高污染燃料的设施，已建成的，应当在城市人民</w:t>
                  </w:r>
                  <w:r>
                    <w:rPr>
                      <w:rFonts w:hint="eastAsia"/>
                      <w:color w:val="auto"/>
                      <w:sz w:val="21"/>
                      <w:szCs w:val="21"/>
                      <w:lang w:val="en-US" w:eastAsia="zh-CN"/>
                    </w:rPr>
                    <w:t>政</w:t>
                  </w:r>
                  <w:r>
                    <w:rPr>
                      <w:rFonts w:ascii="Times New Roman" w:hAnsi="Times New Roman" w:eastAsia="宋体"/>
                      <w:color w:val="auto"/>
                      <w:sz w:val="21"/>
                      <w:szCs w:val="21"/>
                    </w:rPr>
                    <w:t>府规定的期限内改用天然气、页岩气、液化石油气、电或者其他清洁能源。</w:t>
                  </w:r>
                </w:p>
              </w:tc>
              <w:tc>
                <w:tcPr>
                  <w:tcW w:w="1153"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olor w:val="auto"/>
                      <w:sz w:val="21"/>
                      <w:szCs w:val="21"/>
                    </w:rPr>
                    <w:t>本</w:t>
                  </w:r>
                  <w:r>
                    <w:rPr>
                      <w:rFonts w:ascii="Times New Roman" w:hAnsi="Times New Roman" w:eastAsia="宋体"/>
                      <w:color w:val="auto"/>
                      <w:sz w:val="21"/>
                      <w:szCs w:val="21"/>
                    </w:rPr>
                    <w:t>项目</w:t>
                  </w:r>
                  <w:r>
                    <w:rPr>
                      <w:rFonts w:hint="eastAsia"/>
                      <w:color w:val="auto"/>
                      <w:sz w:val="21"/>
                      <w:szCs w:val="21"/>
                      <w:lang w:val="en-US" w:eastAsia="zh-CN"/>
                    </w:rPr>
                    <w:t>全厂</w:t>
                  </w:r>
                  <w:r>
                    <w:rPr>
                      <w:rFonts w:ascii="Times New Roman" w:hAnsi="Times New Roman" w:eastAsia="宋体"/>
                      <w:color w:val="auto"/>
                      <w:sz w:val="21"/>
                      <w:szCs w:val="21"/>
                    </w:rPr>
                    <w:t>用水量为</w:t>
                  </w:r>
                  <w:r>
                    <w:rPr>
                      <w:rFonts w:hint="eastAsia" w:ascii="Times New Roman" w:hAnsi="Times New Roman" w:eastAsia="宋体"/>
                      <w:color w:val="auto"/>
                      <w:sz w:val="21"/>
                      <w:szCs w:val="21"/>
                      <w:lang w:val="en-US" w:eastAsia="zh-CN"/>
                    </w:rPr>
                    <w:t>96</w:t>
                  </w:r>
                  <w:r>
                    <w:rPr>
                      <w:rFonts w:hint="eastAsia"/>
                      <w:color w:val="auto"/>
                      <w:sz w:val="21"/>
                      <w:szCs w:val="21"/>
                      <w:lang w:val="en-US" w:eastAsia="zh-CN"/>
                    </w:rPr>
                    <w:t>7.5</w:t>
                  </w:r>
                  <w:r>
                    <w:rPr>
                      <w:rFonts w:ascii="Times New Roman" w:hAnsi="Times New Roman" w:eastAsia="宋体"/>
                      <w:color w:val="auto"/>
                      <w:sz w:val="21"/>
                      <w:szCs w:val="21"/>
                      <w:highlight w:val="none"/>
                    </w:rPr>
                    <w:t>t/a，</w:t>
                  </w:r>
                  <w:r>
                    <w:rPr>
                      <w:rFonts w:ascii="Times New Roman" w:hAnsi="Times New Roman" w:eastAsia="宋体"/>
                      <w:color w:val="auto"/>
                      <w:sz w:val="21"/>
                      <w:szCs w:val="21"/>
                    </w:rPr>
                    <w:t>项目用地非基本农田；</w:t>
                  </w:r>
                  <w:r>
                    <w:rPr>
                      <w:rFonts w:ascii="Times New Roman" w:hAnsi="Times New Roman" w:eastAsia="宋体"/>
                      <w:color w:val="auto"/>
                      <w:spacing w:val="-4"/>
                      <w:sz w:val="21"/>
                      <w:szCs w:val="21"/>
                    </w:rPr>
                    <w:t>项目</w:t>
                  </w:r>
                  <w:r>
                    <w:rPr>
                      <w:rFonts w:ascii="Times New Roman" w:hAnsi="Times New Roman" w:eastAsia="宋体"/>
                      <w:color w:val="auto"/>
                      <w:sz w:val="21"/>
                      <w:szCs w:val="21"/>
                    </w:rPr>
                    <w:t>生产过程中使用电能，未使用高污染燃料，故符合禁燃区的相关要求。</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7" w:type="pct"/>
                  <w:gridSpan w:val="4"/>
                  <w:tcBorders>
                    <w:tl2br w:val="nil"/>
                    <w:tr2bl w:val="nil"/>
                  </w:tcBorders>
                  <w:shd w:val="clear" w:color="auto" w:fill="auto"/>
                  <w:vAlign w:val="center"/>
                </w:tcPr>
                <w:p>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江苏省重点区域（流域）生态环境分区管控要求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7" w:type="pct"/>
                  <w:gridSpan w:val="4"/>
                  <w:tcBorders>
                    <w:tl2br w:val="nil"/>
                    <w:tr2bl w:val="nil"/>
                  </w:tcBorders>
                  <w:shd w:val="clear" w:color="auto" w:fill="auto"/>
                  <w:vAlign w:val="center"/>
                </w:tcPr>
                <w:p>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一、长江流域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空间布局约束</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1.始终把长江生态修复放在首位，坚持共抓大保护、不搞大开发，引导长江流域产业转型升级和布局优化调整，实现科学发展、有序发展、高质量发展。</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3.禁止在沿江地区新建或扩建化学工业园区，禁止新建或扩建以大宗进口油气资源为原料的石油加工、石油化工、基础有机无机化工、煤化工项目；禁止在长江</w:t>
                  </w:r>
                  <w:r>
                    <w:rPr>
                      <w:rFonts w:hint="eastAsia"/>
                      <w:color w:val="auto"/>
                      <w:sz w:val="21"/>
                      <w:szCs w:val="21"/>
                      <w:lang w:val="en-US" w:eastAsia="zh-CN"/>
                    </w:rPr>
                    <w:t>干</w:t>
                  </w:r>
                  <w:r>
                    <w:rPr>
                      <w:rFonts w:ascii="Times New Roman" w:hAnsi="Times New Roman" w:eastAsia="宋体"/>
                      <w:color w:val="auto"/>
                      <w:sz w:val="21"/>
                      <w:szCs w:val="21"/>
                    </w:rPr>
                    <w:t>流和主要支流岸线1公里范围内新建危化品码头。</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4.强化港口布局优化，禁止建设不符合国家港口布局规划和《江苏省沿江沿海港口布局规划（2015-2030年</w:t>
                  </w:r>
                  <w:r>
                    <w:rPr>
                      <w:rFonts w:hint="eastAsia"/>
                      <w:color w:val="auto"/>
                      <w:sz w:val="21"/>
                      <w:szCs w:val="21"/>
                      <w:lang w:eastAsia="zh-CN"/>
                    </w:rPr>
                    <w:t>）</w:t>
                  </w:r>
                  <w:r>
                    <w:rPr>
                      <w:rFonts w:ascii="Times New Roman" w:hAnsi="Times New Roman" w:eastAsia="宋体"/>
                      <w:color w:val="auto"/>
                      <w:sz w:val="21"/>
                      <w:szCs w:val="21"/>
                    </w:rPr>
                    <w:t>》《江苏省内河港口布局规划（2017-2035年</w:t>
                  </w:r>
                  <w:r>
                    <w:rPr>
                      <w:rFonts w:hint="eastAsia"/>
                      <w:color w:val="auto"/>
                      <w:sz w:val="21"/>
                      <w:szCs w:val="21"/>
                      <w:lang w:eastAsia="zh-CN"/>
                    </w:rPr>
                    <w:t>）</w:t>
                  </w:r>
                  <w:r>
                    <w:rPr>
                      <w:rFonts w:ascii="Times New Roman" w:hAnsi="Times New Roman" w:eastAsia="宋体"/>
                      <w:color w:val="auto"/>
                      <w:sz w:val="21"/>
                      <w:szCs w:val="21"/>
                    </w:rPr>
                    <w:t>》的码头项目，禁止建设未纳入《长江干线过江通道布局规划》的过江干线通道项目。</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5．禁止新建独立焦化项目。</w:t>
                  </w:r>
                </w:p>
              </w:tc>
              <w:tc>
                <w:tcPr>
                  <w:tcW w:w="1153"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olor w:val="auto"/>
                      <w:sz w:val="21"/>
                      <w:szCs w:val="21"/>
                    </w:rPr>
                    <w:t>本</w:t>
                  </w:r>
                  <w:r>
                    <w:rPr>
                      <w:rFonts w:ascii="Times New Roman" w:hAnsi="Times New Roman" w:eastAsia="宋体"/>
                      <w:color w:val="auto"/>
                      <w:sz w:val="21"/>
                      <w:szCs w:val="21"/>
                    </w:rPr>
                    <w:t>项目位于</w:t>
                  </w:r>
                  <w:r>
                    <w:rPr>
                      <w:rFonts w:hint="eastAsia"/>
                      <w:color w:val="auto"/>
                      <w:sz w:val="21"/>
                      <w:szCs w:val="21"/>
                      <w:lang w:val="en-US" w:eastAsia="zh-CN"/>
                    </w:rPr>
                    <w:t>如皋市下原镇兴原路58-7号</w:t>
                  </w:r>
                  <w:r>
                    <w:rPr>
                      <w:rFonts w:ascii="Times New Roman" w:hAnsi="Times New Roman" w:eastAsia="宋体"/>
                      <w:color w:val="auto"/>
                      <w:sz w:val="21"/>
                      <w:szCs w:val="21"/>
                    </w:rPr>
                    <w:t>，不属于石油加工、石油化工、基础有机无机化工、煤化工、焦化项目，不属于新建危化品码头项目，亦不涉及生态保护红线及永久基本农田，项目不涉及港口、码头、过江干线通道。</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污染物排放管控</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1.根据《江苏省长江水污染防治条例》实施污染物总量控制制度。</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2.全面加强和规范长江入河排污口管理，有效管控入河污染物排放，形成权责清晰、监控到位、管理规范的长江入河排污口监管体系，加快改善长江水环境质量。</w:t>
                  </w:r>
                </w:p>
              </w:tc>
              <w:tc>
                <w:tcPr>
                  <w:tcW w:w="1153"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员工生活污水经化粪池处理后接管至</w:t>
                  </w:r>
                  <w:r>
                    <w:rPr>
                      <w:rFonts w:hint="eastAsia" w:cs="Times New Roman"/>
                      <w:color w:val="auto"/>
                      <w:kern w:val="2"/>
                      <w:sz w:val="21"/>
                      <w:szCs w:val="21"/>
                      <w:lang w:eastAsia="zh-CN"/>
                    </w:rPr>
                    <w:t>如皋市下原镇污水处理厂</w:t>
                  </w:r>
                  <w:r>
                    <w:rPr>
                      <w:rFonts w:hint="default" w:ascii="Times New Roman" w:hAnsi="Times New Roman" w:eastAsia="宋体" w:cs="Times New Roman"/>
                      <w:color w:val="auto"/>
                      <w:sz w:val="21"/>
                      <w:szCs w:val="21"/>
                    </w:rPr>
                    <w:t>，尾水排入</w:t>
                  </w:r>
                  <w:r>
                    <w:rPr>
                      <w:rFonts w:hint="eastAsia" w:cs="Times New Roman"/>
                      <w:color w:val="auto"/>
                      <w:sz w:val="21"/>
                      <w:szCs w:val="21"/>
                      <w:lang w:val="en-US" w:eastAsia="zh-CN"/>
                    </w:rPr>
                    <w:t>大寨河</w:t>
                  </w:r>
                  <w:r>
                    <w:rPr>
                      <w:rFonts w:hint="eastAsia" w:ascii="Times New Roman" w:hAnsi="Times New Roman" w:eastAsia="宋体"/>
                      <w:color w:val="auto"/>
                      <w:sz w:val="21"/>
                      <w:szCs w:val="21"/>
                    </w:rPr>
                    <w:t>。</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环境风险防控</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1.防范沿江环境风险。深化沿江石化、化工、医药、纺织、印染、化纤、危化品和石油类仓储、涉重金属和危险废物处置等重点企业环境风险防控。</w:t>
                  </w:r>
                </w:p>
                <w:p>
                  <w:pPr>
                    <w:spacing w:line="240" w:lineRule="auto"/>
                    <w:rPr>
                      <w:rFonts w:ascii="Times New Roman" w:hAnsi="Times New Roman" w:eastAsia="宋体"/>
                      <w:color w:val="auto"/>
                      <w:sz w:val="21"/>
                      <w:szCs w:val="21"/>
                    </w:rPr>
                  </w:pPr>
                  <w:r>
                    <w:rPr>
                      <w:rFonts w:ascii="Times New Roman" w:hAnsi="Times New Roman" w:eastAsia="宋体"/>
                      <w:color w:val="auto"/>
                      <w:sz w:val="21"/>
                      <w:szCs w:val="21"/>
                    </w:rPr>
                    <w:t>2．加强饮用水水源保护。优化水源保护区划定，推动饮用水水源地规范化建设。</w:t>
                  </w:r>
                </w:p>
              </w:tc>
              <w:tc>
                <w:tcPr>
                  <w:tcW w:w="1153"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olor w:val="auto"/>
                      <w:sz w:val="21"/>
                      <w:szCs w:val="21"/>
                    </w:rPr>
                    <w:t>本</w:t>
                  </w:r>
                  <w:r>
                    <w:rPr>
                      <w:rFonts w:ascii="Times New Roman" w:hAnsi="Times New Roman" w:eastAsia="宋体"/>
                      <w:color w:val="auto"/>
                      <w:sz w:val="21"/>
                      <w:szCs w:val="21"/>
                    </w:rPr>
                    <w:t>项目建成后将编制相关环境风险应急预案，同时储备足够的环境应急物资，并纳入园区应急体系，实现环境风险联防联控，以满足环境风险防控的相关要求。</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spacing w:line="240" w:lineRule="auto"/>
                    <w:jc w:val="center"/>
                    <w:rPr>
                      <w:rFonts w:ascii="Times New Roman" w:hAnsi="Times New Roman" w:eastAsia="宋体"/>
                      <w:color w:val="auto"/>
                      <w:sz w:val="21"/>
                      <w:szCs w:val="21"/>
                    </w:rPr>
                  </w:pPr>
                  <w:r>
                    <w:rPr>
                      <w:rFonts w:hint="eastAsia" w:ascii="Times New Roman" w:hAnsi="Times New Roman" w:eastAsia="宋体" w:cs="Times New Roman"/>
                      <w:color w:val="000000"/>
                      <w:kern w:val="0"/>
                      <w:sz w:val="21"/>
                      <w:szCs w:val="21"/>
                      <w:lang w:val="en-US" w:eastAsia="zh-CN" w:bidi="ar"/>
                    </w:rPr>
                    <w:t>资源利用效率要求</w:t>
                  </w:r>
                </w:p>
              </w:tc>
              <w:tc>
                <w:tcPr>
                  <w:tcW w:w="1561" w:type="pct"/>
                  <w:tcBorders>
                    <w:tl2br w:val="nil"/>
                    <w:tr2bl w:val="nil"/>
                  </w:tcBorders>
                  <w:shd w:val="clear" w:color="auto" w:fill="auto"/>
                  <w:vAlign w:val="center"/>
                </w:tcPr>
                <w:p>
                  <w:pPr>
                    <w:spacing w:line="240" w:lineRule="auto"/>
                    <w:rPr>
                      <w:rFonts w:ascii="Times New Roman" w:hAnsi="Times New Roman" w:eastAsia="宋体"/>
                      <w:color w:val="auto"/>
                      <w:sz w:val="21"/>
                      <w:szCs w:val="21"/>
                    </w:rPr>
                  </w:pPr>
                  <w:r>
                    <w:rPr>
                      <w:rFonts w:hint="eastAsia" w:ascii="Times New Roman" w:hAnsi="Times New Roman" w:eastAsia="宋体"/>
                      <w:color w:val="auto"/>
                      <w:sz w:val="21"/>
                      <w:szCs w:val="21"/>
                    </w:rPr>
                    <w:t>到2020年长江干支流自然岸线保有率达到国家要求。</w:t>
                  </w:r>
                </w:p>
              </w:tc>
              <w:tc>
                <w:tcPr>
                  <w:tcW w:w="1153" w:type="pct"/>
                  <w:tcBorders>
                    <w:tl2br w:val="nil"/>
                    <w:tr2bl w:val="nil"/>
                  </w:tcBorders>
                  <w:shd w:val="clear" w:color="auto" w:fill="auto"/>
                  <w:vAlign w:val="center"/>
                </w:tcPr>
                <w:p>
                  <w:pPr>
                    <w:spacing w:line="240" w:lineRule="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本项目不新增岸线要求，满足资源利用效率要求。</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7" w:type="pct"/>
                  <w:gridSpan w:val="4"/>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b/>
                      <w:bCs/>
                      <w:color w:val="auto"/>
                      <w:sz w:val="21"/>
                      <w:szCs w:val="21"/>
                      <w:lang w:val="en-US" w:eastAsia="zh-CN"/>
                    </w:rPr>
                    <w:t>二、淮河流域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空间</w:t>
                  </w:r>
                  <w:r>
                    <w:rPr>
                      <w:rFonts w:hint="eastAsia" w:cs="Times New Roman"/>
                      <w:color w:val="000000"/>
                      <w:kern w:val="0"/>
                      <w:sz w:val="21"/>
                      <w:szCs w:val="21"/>
                      <w:lang w:val="en-US" w:eastAsia="zh-CN" w:bidi="ar"/>
                    </w:rPr>
                    <w:t>布局约束</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1．禁止在淮河流域新建化学制浆造纸企业，禁止在淮河流域新建制革、化工、印染、电镀、酿造等污染严重的小型企业。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3．在通榆河一级保护区，禁止新建、扩建直接或者间接向水体排放污染物的项目，禁止建设工业固体废物集中贮存、利用、处置设施或者场所以及城市生活垃圾填埋场，禁止新建规模化畜禽养殖场。</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本项目</w:t>
                  </w:r>
                  <w:r>
                    <w:rPr>
                      <w:rFonts w:hint="eastAsia" w:ascii="Times New Roman" w:hAnsi="Times New Roman" w:eastAsia="宋体" w:cs="Times New Roman"/>
                      <w:color w:val="000000"/>
                      <w:kern w:val="0"/>
                      <w:sz w:val="21"/>
                      <w:szCs w:val="21"/>
                      <w:lang w:val="en-US" w:eastAsia="zh-CN" w:bidi="ar"/>
                    </w:rPr>
                    <w:t>属于C3484 机械零部件加工</w:t>
                  </w:r>
                  <w:r>
                    <w:rPr>
                      <w:rFonts w:hint="default" w:ascii="Times New Roman" w:hAnsi="Times New Roman" w:eastAsia="宋体" w:cs="Times New Roman"/>
                      <w:color w:val="000000"/>
                      <w:kern w:val="0"/>
                      <w:sz w:val="21"/>
                      <w:szCs w:val="21"/>
                      <w:lang w:val="en-US" w:eastAsia="zh-CN" w:bidi="ar"/>
                    </w:rPr>
                    <w:t>，不属于上述禁止建设类项目类别</w:t>
                  </w:r>
                  <w:r>
                    <w:rPr>
                      <w:rFonts w:hint="eastAsia" w:ascii="Times New Roman" w:hAnsi="Times New Roman" w:eastAsia="宋体" w:cs="Times New Roman"/>
                      <w:color w:val="000000"/>
                      <w:kern w:val="0"/>
                      <w:sz w:val="21"/>
                      <w:szCs w:val="21"/>
                      <w:lang w:val="en-US" w:eastAsia="zh-CN" w:bidi="ar"/>
                    </w:rPr>
                    <w:t>；本项目不在</w:t>
                  </w:r>
                  <w:r>
                    <w:rPr>
                      <w:rFonts w:hint="default" w:ascii="Times New Roman" w:hAnsi="Times New Roman" w:eastAsia="宋体" w:cs="Times New Roman"/>
                      <w:color w:val="000000"/>
                      <w:kern w:val="0"/>
                      <w:sz w:val="21"/>
                      <w:szCs w:val="21"/>
                      <w:lang w:val="en-US" w:eastAsia="zh-CN" w:bidi="ar"/>
                    </w:rPr>
                    <w:t>《江苏省通榆河水污染防治条例》一级保护区、二级保护区</w:t>
                  </w:r>
                  <w:r>
                    <w:rPr>
                      <w:rFonts w:hint="eastAsia" w:ascii="Times New Roman" w:hAnsi="Times New Roman" w:eastAsia="宋体" w:cs="Times New Roman"/>
                      <w:color w:val="000000"/>
                      <w:kern w:val="0"/>
                      <w:sz w:val="21"/>
                      <w:szCs w:val="21"/>
                      <w:lang w:val="en-US" w:eastAsia="zh-CN" w:bidi="ar"/>
                    </w:rPr>
                    <w:t>内</w:t>
                  </w:r>
                  <w:r>
                    <w:rPr>
                      <w:rFonts w:hint="default" w:ascii="Times New Roman" w:hAnsi="Times New Roman" w:eastAsia="宋体" w:cs="Times New Roman"/>
                      <w:color w:val="000000"/>
                      <w:kern w:val="0"/>
                      <w:sz w:val="21"/>
                      <w:szCs w:val="21"/>
                      <w:lang w:val="en-US" w:eastAsia="zh-CN" w:bidi="ar"/>
                    </w:rPr>
                    <w:t>。</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污染物排放管控</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按照《淮河流域水污染防治暂行条例》实施排污总量控制制度。</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kern w:val="0"/>
                      <w:lang w:bidi="ar"/>
                    </w:rPr>
                    <w:t>本项目为排污登记管理单位，无需申请总量</w:t>
                  </w:r>
                  <w:r>
                    <w:rPr>
                      <w:rFonts w:hint="eastAsia"/>
                      <w:color w:val="000000"/>
                      <w:kern w:val="0"/>
                      <w:lang w:eastAsia="zh-CN" w:bidi="ar"/>
                    </w:rPr>
                    <w:t>。</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环境风险防控</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禁止运输剧毒化学品以及国家规定禁止通过内河运输的其他危险化学品的船舶进入通榆河及主要供水河道。</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本项目不涉及剧毒化学品。</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资源利用效率要求</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限制缺水地区发展耗水型产业，调整缺水地区的产业结构，严格控制高耗水、高耗能和重污染的建设项目。</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本项目不属于高耗水、高耗能和重污染项目。</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7" w:type="pct"/>
                  <w:gridSpan w:val="4"/>
                  <w:tcBorders>
                    <w:tl2br w:val="nil"/>
                    <w:tr2bl w:val="nil"/>
                  </w:tcBorders>
                  <w:shd w:val="clear" w:color="auto" w:fill="auto"/>
                  <w:vAlign w:val="center"/>
                </w:tcPr>
                <w:p>
                  <w:pPr>
                    <w:spacing w:line="240" w:lineRule="auto"/>
                    <w:jc w:val="center"/>
                    <w:rPr>
                      <w:rFonts w:hint="eastAsia" w:ascii="Times New Roman" w:hAnsi="Times New Roman" w:eastAsia="宋体"/>
                      <w:color w:val="auto"/>
                      <w:sz w:val="21"/>
                      <w:szCs w:val="21"/>
                    </w:rPr>
                  </w:pPr>
                  <w:r>
                    <w:rPr>
                      <w:rFonts w:hint="eastAsia"/>
                      <w:b/>
                      <w:bCs/>
                      <w:color w:val="auto"/>
                      <w:sz w:val="21"/>
                      <w:szCs w:val="21"/>
                      <w:lang w:val="en-US" w:eastAsia="zh-CN"/>
                    </w:rPr>
                    <w:t>三、沿海地区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空间</w:t>
                  </w:r>
                  <w:r>
                    <w:rPr>
                      <w:rFonts w:hint="eastAsia" w:cs="Times New Roman"/>
                      <w:color w:val="000000"/>
                      <w:kern w:val="0"/>
                      <w:sz w:val="21"/>
                      <w:szCs w:val="21"/>
                      <w:lang w:val="en-US" w:eastAsia="zh-CN" w:bidi="ar"/>
                    </w:rPr>
                    <w:t>布局约束</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禁止在沿海陆域内新建不具备有效治理措施的化学制浆造纸、化工、印染、制革、电镀、酿造、炼油、岸边冲滩拆船以及其他严重污染海洋环境的工业生产项目。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沿海地区严格控制新建医药、农药和染料中间体项目。</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本项目</w:t>
                  </w:r>
                  <w:r>
                    <w:rPr>
                      <w:rFonts w:hint="eastAsia" w:ascii="Times New Roman" w:hAnsi="Times New Roman" w:eastAsia="宋体" w:cs="Times New Roman"/>
                      <w:color w:val="000000"/>
                      <w:kern w:val="0"/>
                      <w:sz w:val="21"/>
                      <w:szCs w:val="21"/>
                      <w:lang w:val="en-US" w:eastAsia="zh-CN" w:bidi="ar"/>
                    </w:rPr>
                    <w:t>属于C3484 机械零部件加工</w:t>
                  </w:r>
                  <w:r>
                    <w:rPr>
                      <w:rFonts w:hint="default" w:ascii="Times New Roman" w:hAnsi="Times New Roman" w:eastAsia="宋体" w:cs="Times New Roman"/>
                      <w:color w:val="000000"/>
                      <w:kern w:val="0"/>
                      <w:sz w:val="21"/>
                      <w:szCs w:val="21"/>
                      <w:lang w:val="en-US" w:eastAsia="zh-CN" w:bidi="ar"/>
                    </w:rPr>
                    <w:t>，不属于上述禁止建设类项目类别</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污染物排放管控</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按照《江苏省海洋环境保护条例》实施重点海域排污总量控制制度。</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kern w:val="0"/>
                      <w:lang w:bidi="ar"/>
                    </w:rPr>
                    <w:t>本项目为排污登记管理单位，无需申请总量</w:t>
                  </w:r>
                  <w:r>
                    <w:rPr>
                      <w:rFonts w:hint="eastAsia"/>
                      <w:color w:val="000000"/>
                      <w:kern w:val="0"/>
                      <w:lang w:eastAsia="zh-CN" w:bidi="ar"/>
                    </w:rPr>
                    <w:t>。</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环境风险防控</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禁止向海洋倾倒汞及汞化合物、强放射性物质等国家规定的一类废弃物。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加强对赤潮、浒苔绿潮、溢油、危险化学品泄漏及海洋核辐射等海上突发性海洋灾害事故的应急监视，防治突发性海洋环境灾害。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沿海地区应加强危险货物运输风险、船舶污染事故风险应急管控。</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本项目不在海岸线，无海运运输。</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资源利用效率要求</w:t>
                  </w:r>
                </w:p>
              </w:tc>
              <w:tc>
                <w:tcPr>
                  <w:tcW w:w="15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至</w:t>
                  </w:r>
                  <w:r>
                    <w:rPr>
                      <w:rFonts w:hint="default" w:ascii="Times New Roman" w:hAnsi="Times New Roman" w:eastAsia="宋体" w:cs="Times New Roman"/>
                      <w:color w:val="000000"/>
                      <w:kern w:val="0"/>
                      <w:sz w:val="21"/>
                      <w:szCs w:val="21"/>
                      <w:lang w:val="en-US" w:eastAsia="zh-CN" w:bidi="ar"/>
                    </w:rPr>
                    <w:t>2025</w:t>
                  </w:r>
                  <w:r>
                    <w:rPr>
                      <w:rFonts w:hint="eastAsia" w:ascii="宋体" w:hAnsi="宋体" w:eastAsia="宋体" w:cs="宋体"/>
                      <w:color w:val="000000"/>
                      <w:kern w:val="0"/>
                      <w:sz w:val="21"/>
                      <w:szCs w:val="21"/>
                      <w:lang w:val="en-US" w:eastAsia="zh-CN" w:bidi="ar"/>
                    </w:rPr>
                    <w:t>年，大陆自然岸线保有率不低于</w:t>
                  </w:r>
                  <w:r>
                    <w:rPr>
                      <w:rFonts w:hint="default" w:ascii="Times New Roman" w:hAnsi="Times New Roman" w:eastAsia="宋体" w:cs="Times New Roman"/>
                      <w:color w:val="000000"/>
                      <w:kern w:val="0"/>
                      <w:sz w:val="21"/>
                      <w:szCs w:val="21"/>
                      <w:lang w:val="en-US" w:eastAsia="zh-CN" w:bidi="ar"/>
                    </w:rPr>
                    <w:t>36.1%</w:t>
                  </w:r>
                  <w:r>
                    <w:rPr>
                      <w:rFonts w:hint="eastAsia" w:ascii="宋体" w:hAnsi="宋体" w:eastAsia="宋体" w:cs="宋体"/>
                      <w:color w:val="000000"/>
                      <w:kern w:val="0"/>
                      <w:sz w:val="21"/>
                      <w:szCs w:val="21"/>
                      <w:lang w:val="en-US" w:eastAsia="zh-CN" w:bidi="ar"/>
                    </w:rPr>
                    <w:t>。</w:t>
                  </w:r>
                </w:p>
              </w:tc>
              <w:tc>
                <w:tcPr>
                  <w:tcW w:w="11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本项目不在海岸线上</w:t>
                  </w:r>
                </w:p>
              </w:tc>
              <w:tc>
                <w:tcPr>
                  <w:tcW w:w="1155"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bl>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综上所述，本项目的建设符合《省政府关于印发江苏省“三线一单”生态环境分区管控方案的通知》（苏政发</w:t>
            </w:r>
            <w:r>
              <w:rPr>
                <w:rFonts w:hint="eastAsia"/>
                <w:color w:val="auto"/>
                <w:sz w:val="24"/>
                <w:lang w:eastAsia="zh-CN"/>
              </w:rPr>
              <w:t>〔2020〕49号</w:t>
            </w:r>
            <w:r>
              <w:rPr>
                <w:rFonts w:ascii="Times New Roman" w:hAnsi="Times New Roman" w:eastAsia="宋体"/>
                <w:color w:val="auto"/>
                <w:sz w:val="24"/>
              </w:rPr>
              <w:t>）的相关要求。</w:t>
            </w:r>
          </w:p>
          <w:p>
            <w:pPr>
              <w:spacing w:line="360" w:lineRule="auto"/>
              <w:ind w:firstLine="463" w:firstLineChars="192"/>
              <w:rPr>
                <w:rFonts w:ascii="Times New Roman" w:hAnsi="Times New Roman" w:eastAsia="宋体"/>
                <w:color w:val="auto"/>
                <w:sz w:val="24"/>
              </w:rPr>
            </w:pPr>
            <w:r>
              <w:rPr>
                <w:rFonts w:ascii="Times New Roman" w:hAnsi="Times New Roman" w:eastAsia="宋体"/>
                <w:b/>
                <w:bCs/>
                <w:color w:val="auto"/>
                <w:sz w:val="24"/>
              </w:rPr>
              <w:t>（6）与《市政府办公室关于印发南通市“三线一单”生态环境分区管控实施方案的通知》（通证办规</w:t>
            </w:r>
            <w:r>
              <w:rPr>
                <w:rFonts w:hint="eastAsia"/>
                <w:b/>
                <w:bCs/>
                <w:color w:val="auto"/>
                <w:sz w:val="24"/>
                <w:lang w:eastAsia="zh-CN"/>
              </w:rPr>
              <w:t>〔2021〕4号</w:t>
            </w:r>
            <w:r>
              <w:rPr>
                <w:rFonts w:ascii="Times New Roman" w:hAnsi="Times New Roman" w:eastAsia="宋体"/>
                <w:b/>
                <w:bCs/>
                <w:color w:val="auto"/>
                <w:sz w:val="24"/>
              </w:rPr>
              <w:t>）相符性分析</w:t>
            </w:r>
          </w:p>
          <w:p>
            <w:pPr>
              <w:spacing w:line="360" w:lineRule="auto"/>
              <w:ind w:firstLine="480" w:firstLineChars="200"/>
              <w:rPr>
                <w:rFonts w:ascii="Times New Roman" w:hAnsi="Times New Roman" w:eastAsia="宋体"/>
                <w:color w:val="auto"/>
                <w:kern w:val="0"/>
                <w:sz w:val="24"/>
                <w:lang w:bidi="ar"/>
              </w:rPr>
            </w:pPr>
            <w:r>
              <w:rPr>
                <w:rFonts w:ascii="Times New Roman" w:hAnsi="Times New Roman" w:eastAsia="宋体"/>
                <w:color w:val="auto"/>
                <w:kern w:val="0"/>
                <w:sz w:val="24"/>
                <w:lang w:bidi="ar"/>
              </w:rPr>
              <w:t>对照文件附件3中南通市生态环境总体准入管控要求中的空间约束、污染物排放管控、环境风险防控、资源利用效率要求，本项目不属于禁止、淘汰类项目。项目所在地不在生态空间管控范围内；各污染物经处理后达标排放，</w:t>
            </w:r>
            <w:r>
              <w:rPr>
                <w:rFonts w:hint="eastAsia" w:ascii="Times New Roman" w:hAnsi="Times New Roman" w:eastAsia="宋体"/>
                <w:color w:val="auto"/>
                <w:kern w:val="0"/>
                <w:sz w:val="24"/>
                <w:lang w:bidi="ar"/>
              </w:rPr>
              <w:t>本项目为排污登记管理单位，无需申请总量，不会突破生态环境承载力</w:t>
            </w:r>
            <w:r>
              <w:rPr>
                <w:rFonts w:ascii="Times New Roman" w:hAnsi="Times New Roman" w:eastAsia="宋体"/>
                <w:color w:val="auto"/>
                <w:kern w:val="0"/>
                <w:sz w:val="24"/>
                <w:lang w:bidi="ar"/>
              </w:rPr>
              <w:t>。企业加强风险管控。综上所述，本项目符合市政府办公室关于印发南通市“三线一单”生态环境分区管控实施方案的通知（通政办规〔2021〕4号）相关要求。</w:t>
            </w:r>
          </w:p>
          <w:p>
            <w:pPr>
              <w:spacing w:line="360" w:lineRule="auto"/>
              <w:ind w:firstLine="482" w:firstLineChars="200"/>
              <w:rPr>
                <w:rFonts w:ascii="Times New Roman" w:hAnsi="Times New Roman" w:eastAsia="宋体"/>
                <w:b/>
                <w:bCs/>
                <w:color w:val="auto"/>
                <w:kern w:val="0"/>
                <w:sz w:val="24"/>
                <w:lang w:bidi="ar"/>
              </w:rPr>
            </w:pPr>
            <w:r>
              <w:rPr>
                <w:rFonts w:ascii="Times New Roman" w:hAnsi="Times New Roman" w:eastAsia="宋体"/>
                <w:b/>
                <w:bCs/>
                <w:color w:val="auto"/>
                <w:kern w:val="0"/>
                <w:sz w:val="24"/>
                <w:lang w:bidi="ar"/>
              </w:rPr>
              <w:t>（7）与《市政府办公室关于印发如皋市“三线一单”生态环境分区管控实施方案的通知》（皋政办发〔2021〕166 号）相符性分析</w:t>
            </w:r>
          </w:p>
          <w:p>
            <w:pPr>
              <w:spacing w:line="360" w:lineRule="auto"/>
              <w:ind w:firstLine="480" w:firstLineChars="200"/>
              <w:rPr>
                <w:rFonts w:hint="default"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对照如皋市“三线一单”环境管控单元图，本项目位于如皋市下原镇兴原路58-7号，属于下原镇工业集中区，是其中的重点管控单元，</w:t>
            </w:r>
            <w:r>
              <w:rPr>
                <w:rFonts w:hint="default" w:ascii="Times New Roman" w:hAnsi="Times New Roman" w:eastAsia="宋体" w:cs="Times New Roman"/>
                <w:color w:val="auto"/>
                <w:kern w:val="0"/>
                <w:sz w:val="24"/>
                <w:lang w:val="en-US" w:eastAsia="zh-CN" w:bidi="ar"/>
              </w:rPr>
              <w:t>具体分析如下表1-</w:t>
            </w:r>
            <w:r>
              <w:rPr>
                <w:rFonts w:hint="eastAsia" w:cs="Times New Roman"/>
                <w:color w:val="auto"/>
                <w:kern w:val="0"/>
                <w:sz w:val="24"/>
                <w:lang w:val="en-US" w:eastAsia="zh-CN" w:bidi="ar"/>
              </w:rPr>
              <w:t>6</w:t>
            </w:r>
            <w:r>
              <w:rPr>
                <w:rFonts w:hint="default" w:ascii="Times New Roman" w:hAnsi="Times New Roman" w:eastAsia="宋体" w:cs="Times New Roman"/>
                <w:color w:val="auto"/>
                <w:kern w:val="0"/>
                <w:sz w:val="24"/>
                <w:lang w:val="en-US" w:eastAsia="zh-CN" w:bidi="ar"/>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表1-</w:t>
            </w:r>
            <w:r>
              <w:rPr>
                <w:rFonts w:hint="eastAsia" w:cs="Times New Roman"/>
                <w:b/>
                <w:bCs w:val="0"/>
                <w:color w:val="auto"/>
                <w:sz w:val="21"/>
                <w:szCs w:val="21"/>
                <w:lang w:val="en-US" w:eastAsia="zh-CN"/>
              </w:rPr>
              <w:t>6</w:t>
            </w:r>
            <w:r>
              <w:rPr>
                <w:rFonts w:hint="default" w:ascii="Times New Roman" w:hAnsi="Times New Roman" w:cs="Times New Roman"/>
                <w:b/>
                <w:bCs w:val="0"/>
                <w:color w:val="auto"/>
                <w:sz w:val="21"/>
                <w:szCs w:val="21"/>
              </w:rPr>
              <w:t xml:space="preserve">  与</w:t>
            </w:r>
            <w:r>
              <w:rPr>
                <w:rFonts w:hint="default" w:ascii="Times New Roman" w:hAnsi="Times New Roman" w:cs="Times New Roman"/>
                <w:b/>
                <w:bCs w:val="0"/>
                <w:color w:val="auto"/>
                <w:sz w:val="21"/>
                <w:szCs w:val="21"/>
                <w:lang w:eastAsia="zh-CN"/>
              </w:rPr>
              <w:t>如皋</w:t>
            </w:r>
            <w:r>
              <w:rPr>
                <w:rFonts w:hint="default" w:ascii="Times New Roman" w:hAnsi="Times New Roman" w:cs="Times New Roman"/>
                <w:b/>
                <w:bCs w:val="0"/>
                <w:color w:val="auto"/>
                <w:sz w:val="21"/>
                <w:szCs w:val="21"/>
              </w:rPr>
              <w:t>市域生态环境总体准入管控要求相符性</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3345"/>
              <w:gridCol w:w="2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firstLine="0" w:firstLineChars="0"/>
                    <w:jc w:val="center"/>
                    <w:textAlignment w:val="auto"/>
                    <w:rPr>
                      <w:b/>
                      <w:bCs w:val="0"/>
                      <w:color w:val="auto"/>
                      <w:sz w:val="21"/>
                      <w:szCs w:val="21"/>
                    </w:rPr>
                  </w:pPr>
                  <w:r>
                    <w:rPr>
                      <w:b/>
                      <w:bCs w:val="0"/>
                      <w:color w:val="auto"/>
                      <w:kern w:val="0"/>
                      <w:sz w:val="21"/>
                      <w:szCs w:val="21"/>
                    </w:rPr>
                    <w:t>环境管控单元名称</w:t>
                  </w:r>
                </w:p>
              </w:tc>
              <w:tc>
                <w:tcPr>
                  <w:tcW w:w="395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b/>
                      <w:bCs w:val="0"/>
                      <w:color w:val="auto"/>
                      <w:kern w:val="0"/>
                      <w:sz w:val="21"/>
                      <w:szCs w:val="21"/>
                    </w:rPr>
                  </w:pPr>
                  <w:r>
                    <w:rPr>
                      <w:rFonts w:hint="eastAsia" w:ascii="Times New Roman" w:hAnsi="Times New Roman" w:eastAsia="宋体" w:cs="Times New Roman"/>
                      <w:b/>
                      <w:bCs w:val="0"/>
                      <w:color w:val="auto"/>
                      <w:kern w:val="0"/>
                      <w:sz w:val="21"/>
                      <w:szCs w:val="21"/>
                      <w:lang w:val="en-US" w:eastAsia="zh-CN"/>
                    </w:rPr>
                    <w:t>下原镇工业集中区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firstLine="0" w:firstLineChars="0"/>
                    <w:jc w:val="center"/>
                    <w:textAlignment w:val="auto"/>
                    <w:rPr>
                      <w:b/>
                      <w:bCs w:val="0"/>
                      <w:color w:val="auto"/>
                      <w:sz w:val="21"/>
                      <w:szCs w:val="21"/>
                    </w:rPr>
                  </w:pPr>
                  <w:r>
                    <w:rPr>
                      <w:b/>
                      <w:bCs w:val="0"/>
                      <w:color w:val="auto"/>
                      <w:kern w:val="0"/>
                      <w:sz w:val="21"/>
                      <w:szCs w:val="21"/>
                    </w:rPr>
                    <w:t>管控单元类别</w:t>
                  </w:r>
                </w:p>
              </w:tc>
              <w:tc>
                <w:tcPr>
                  <w:tcW w:w="24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Times New Roman" w:hAnsi="Times New Roman" w:eastAsia="宋体" w:cs="Times New Roman"/>
                      <w:b/>
                      <w:bCs w:val="0"/>
                      <w:color w:val="auto"/>
                      <w:kern w:val="0"/>
                      <w:sz w:val="21"/>
                      <w:szCs w:val="21"/>
                    </w:rPr>
                  </w:pPr>
                  <w:r>
                    <w:rPr>
                      <w:rFonts w:ascii="Times New Roman" w:hAnsi="Times New Roman" w:eastAsia="宋体" w:cs="Times New Roman"/>
                      <w:b/>
                      <w:bCs w:val="0"/>
                      <w:color w:val="auto"/>
                      <w:kern w:val="0"/>
                      <w:sz w:val="21"/>
                      <w:szCs w:val="21"/>
                      <w:lang w:val="en-US" w:eastAsia="zh-CN"/>
                    </w:rPr>
                    <w:t>重点管控单元</w:t>
                  </w:r>
                </w:p>
              </w:tc>
              <w:tc>
                <w:tcPr>
                  <w:tcW w:w="153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Times New Roman" w:hAnsi="Times New Roman" w:eastAsia="宋体" w:cs="Times New Roman"/>
                      <w:b/>
                      <w:bCs w:val="0"/>
                      <w:color w:val="auto"/>
                      <w:kern w:val="0"/>
                      <w:sz w:val="21"/>
                      <w:szCs w:val="21"/>
                    </w:rPr>
                  </w:pPr>
                  <w:r>
                    <w:rPr>
                      <w:rFonts w:ascii="Times New Roman" w:hAnsi="Times New Roman" w:eastAsia="宋体" w:cs="Times New Roman"/>
                      <w:b/>
                      <w:bCs w:val="0"/>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空间布局约束</w:t>
                  </w:r>
                </w:p>
              </w:tc>
              <w:tc>
                <w:tcPr>
                  <w:tcW w:w="352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1.重点发展医疗器械（大健康产业）、新能源汽车及配件、高端装备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新材料</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 xml:space="preserve"> 等产业。</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eastAsia="zh-CN"/>
                    </w:rPr>
                    <w:t>2.按照《产业结构调整指导目录》和《江苏省产业结构目录》的要求，禁止引入高能耗、不符合产业政策、重污染的项目</w:t>
                  </w:r>
                  <w:r>
                    <w:rPr>
                      <w:rFonts w:hint="default" w:ascii="Times New Roman" w:hAnsi="Times New Roman" w:eastAsia="宋体" w:cs="Times New Roman"/>
                      <w:sz w:val="21"/>
                      <w:szCs w:val="21"/>
                      <w:lang w:val="en-US" w:eastAsia="zh-CN"/>
                    </w:rPr>
                    <w:t>。</w:t>
                  </w:r>
                </w:p>
              </w:tc>
              <w:tc>
                <w:tcPr>
                  <w:tcW w:w="1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olor w:val="auto"/>
                      <w:sz w:val="21"/>
                      <w:szCs w:val="21"/>
                    </w:rPr>
                    <w:t>本项</w:t>
                  </w:r>
                  <w:r>
                    <w:rPr>
                      <w:rFonts w:hint="eastAsia" w:ascii="Times New Roman" w:hAnsi="Times New Roman" w:eastAsia="宋体" w:cs="Times New Roman"/>
                      <w:color w:val="auto"/>
                      <w:sz w:val="21"/>
                      <w:szCs w:val="21"/>
                    </w:rPr>
                    <w:t>目</w:t>
                  </w:r>
                  <w:r>
                    <w:rPr>
                      <w:rFonts w:hint="default" w:ascii="Times New Roman" w:hAnsi="Times New Roman" w:eastAsia="宋体" w:cs="Times New Roman"/>
                      <w:color w:val="auto"/>
                      <w:sz w:val="21"/>
                      <w:szCs w:val="21"/>
                      <w:lang w:val="en-US" w:eastAsia="zh-CN"/>
                    </w:rPr>
                    <w:t>属于C3484 机械零部件加工</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符合</w:t>
                  </w:r>
                  <w:r>
                    <w:rPr>
                      <w:rFonts w:hint="eastAsia" w:ascii="Times New Roman" w:hAnsi="Times New Roman" w:eastAsia="宋体" w:cs="Times New Roman"/>
                      <w:color w:val="auto"/>
                      <w:sz w:val="21"/>
                      <w:szCs w:val="21"/>
                    </w:rPr>
                    <w:t>《产业结构调整指导目录》和《江苏省产业结构目录》的要求</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污染物排放管控</w:t>
                  </w:r>
                </w:p>
              </w:tc>
              <w:tc>
                <w:tcPr>
                  <w:tcW w:w="352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eastAsia="zh-CN"/>
                    </w:rPr>
                    <w:t>实行污染物排放总量控制，污染物总量指标应满足区域内总量控制及污染物削减计划要求。</w:t>
                  </w:r>
                </w:p>
              </w:tc>
              <w:tc>
                <w:tcPr>
                  <w:tcW w:w="1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rPr>
                    <w:t>实行污染物排放总量控制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sz w:val="21"/>
                      <w:szCs w:val="21"/>
                      <w:lang w:eastAsia="zh-CN"/>
                    </w:rPr>
                    <w:t>污染物总量指标满足区域内总量控制及污染物削减计划要求</w:t>
                  </w:r>
                  <w:r>
                    <w:rPr>
                      <w:rFonts w:hint="eastAsia"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环境风险防控</w:t>
                  </w:r>
                </w:p>
              </w:tc>
              <w:tc>
                <w:tcPr>
                  <w:tcW w:w="352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eastAsia="zh-CN"/>
                    </w:rPr>
                    <w:t>建立健全区域风险防范体系和生态安全保障系统，园区和企业按要求制定并落实突发环境事件应急预案。</w:t>
                  </w:r>
                </w:p>
              </w:tc>
              <w:tc>
                <w:tcPr>
                  <w:tcW w:w="1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本项目建成后将健全区域风险防范体系和生态安全保障系统，</w:t>
                  </w:r>
                  <w:r>
                    <w:rPr>
                      <w:rFonts w:hint="eastAsia" w:ascii="Times New Roman" w:hAnsi="Times New Roman" w:eastAsia="宋体" w:cs="Times New Roman"/>
                      <w:color w:val="auto"/>
                      <w:sz w:val="21"/>
                      <w:szCs w:val="21"/>
                      <w:lang w:eastAsia="zh-CN"/>
                    </w:rPr>
                    <w:t>修订</w:t>
                  </w:r>
                  <w:r>
                    <w:rPr>
                      <w:rFonts w:hint="eastAsia" w:ascii="Times New Roman" w:hAnsi="Times New Roman" w:eastAsia="宋体" w:cs="Times New Roman"/>
                      <w:color w:val="auto"/>
                      <w:sz w:val="21"/>
                      <w:szCs w:val="21"/>
                    </w:rPr>
                    <w:t>并落实突发环境事件应急预案。</w:t>
                  </w:r>
                  <w:r>
                    <w:rPr>
                      <w:rFonts w:hint="default" w:ascii="Times New Roman" w:hAnsi="Times New Roman" w:eastAsia="宋体" w:cs="Times New Roman"/>
                      <w:color w:val="auto"/>
                      <w:sz w:val="21"/>
                      <w:szCs w:val="21"/>
                    </w:rPr>
                    <w:t>同时企业储备足够的环境应急物资，实现环境风险联防联控，故能满足环境风险防控的相关要求</w:t>
                  </w:r>
                  <w:r>
                    <w:rPr>
                      <w:rFonts w:hint="eastAsia"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资源开发效率要求</w:t>
                  </w:r>
                </w:p>
              </w:tc>
              <w:tc>
                <w:tcPr>
                  <w:tcW w:w="352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入区企业按照《涂装行业清洁生产评价指标体系》、《机械制造清洁生产评价指标体系（试行）》等清洁生产标准中资源和能源消耗指标来进行控制，单位产品能耗、物耗、污染物排放和资源利用率均需达到同行业国际先进水平。</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eastAsia="zh-CN"/>
                    </w:rPr>
                    <w:t>2.严格执行《关于划定高污染燃料禁燃区的通知》（皋政发〔2013〕162号）的相关要求，落实相应的禁燃区管控要求。禁止销售使用燃料为“Ⅱ类”（较严），具体包括：除单台出力大于等于20蒸吨/小时锅炉以外燃用的煤炭及其制品；石油焦、油页岩、原油、重油、渣油、煤焦油。</w:t>
                  </w:r>
                </w:p>
              </w:tc>
              <w:tc>
                <w:tcPr>
                  <w:tcW w:w="1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1.</w:t>
                  </w:r>
                  <w:r>
                    <w:rPr>
                      <w:rFonts w:hint="eastAsia"/>
                    </w:rPr>
                    <w:t>本项目单位面积VOCs产生量61.7g/m</w:t>
                  </w:r>
                  <w:r>
                    <w:rPr>
                      <w:rFonts w:hint="eastAsia"/>
                      <w:vertAlign w:val="superscript"/>
                    </w:rPr>
                    <w:t>2</w:t>
                  </w:r>
                  <w:r>
                    <w:rPr>
                      <w:rFonts w:hint="eastAsia"/>
                    </w:rPr>
                    <w:t>＜150g/m</w:t>
                  </w:r>
                  <w:r>
                    <w:rPr>
                      <w:rFonts w:hint="eastAsia"/>
                      <w:vertAlign w:val="superscript"/>
                    </w:rPr>
                    <w:t>2</w:t>
                  </w:r>
                  <w:r>
                    <w:rPr>
                      <w:rFonts w:hint="eastAsia"/>
                    </w:rPr>
                    <w:t>，单位涂装面积VOCs排放量5.86g/m</w:t>
                  </w:r>
                  <w:r>
                    <w:rPr>
                      <w:rFonts w:hint="eastAsia"/>
                      <w:vertAlign w:val="superscript"/>
                    </w:rPr>
                    <w:t>2</w:t>
                  </w:r>
                  <w:r>
                    <w:rPr>
                      <w:rFonts w:hint="eastAsia"/>
                    </w:rPr>
                    <w:t>≤60g/m</w:t>
                  </w:r>
                  <w:r>
                    <w:rPr>
                      <w:rFonts w:hint="eastAsia"/>
                      <w:vertAlign w:val="superscript"/>
                    </w:rPr>
                    <w:t>2</w:t>
                  </w:r>
                  <w:r>
                    <w:rPr>
                      <w:rFonts w:hint="eastAsia"/>
                    </w:rPr>
                    <w:t>，单位面积综合能耗0.0018kgce/m</w:t>
                  </w:r>
                  <w:r>
                    <w:rPr>
                      <w:rFonts w:hint="eastAsia"/>
                      <w:vertAlign w:val="superscript"/>
                    </w:rPr>
                    <w:t>2</w:t>
                  </w:r>
                  <w:r>
                    <w:rPr>
                      <w:rFonts w:hint="eastAsia"/>
                    </w:rPr>
                    <w:t>，单位重量综合能耗0.00003kgce/kg</w:t>
                  </w:r>
                  <w:r>
                    <w:rPr>
                      <w:rFonts w:hint="eastAsia"/>
                      <w:lang w:eastAsia="zh-CN"/>
                    </w:rPr>
                    <w:t>，</w:t>
                  </w:r>
                  <w:r>
                    <w:rPr>
                      <w:rFonts w:hint="eastAsia" w:ascii="Times New Roman" w:hAnsi="Times New Roman" w:eastAsia="宋体" w:cs="Times New Roman"/>
                      <w:color w:val="auto"/>
                      <w:sz w:val="21"/>
                      <w:szCs w:val="21"/>
                    </w:rPr>
                    <w:t>本项目单位产品能耗、物耗、污染物排放和资源利用率均达到同行业国际先进水平。</w:t>
                  </w:r>
                  <w:r>
                    <w:rPr>
                      <w:rFonts w:hint="eastAsia" w:cs="Times New Roman"/>
                      <w:color w:val="auto"/>
                      <w:sz w:val="21"/>
                      <w:szCs w:val="21"/>
                      <w:lang w:val="en-US" w:eastAsia="zh-CN"/>
                    </w:rPr>
                    <w:t>具体分析见表1-9。</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r>
                    <w:rPr>
                      <w:rFonts w:hint="default" w:ascii="Times New Roman" w:hAnsi="Times New Roman" w:cs="Times New Roman"/>
                      <w:color w:val="auto"/>
                      <w:sz w:val="21"/>
                      <w:szCs w:val="21"/>
                      <w:vertAlign w:val="baseline"/>
                      <w:lang w:eastAsia="zh-CN"/>
                    </w:rPr>
                    <w:t>本项目</w:t>
                  </w:r>
                  <w:r>
                    <w:rPr>
                      <w:rFonts w:hint="eastAsia" w:ascii="Times New Roman" w:hAnsi="Times New Roman" w:cs="Times New Roman"/>
                      <w:color w:val="auto"/>
                      <w:sz w:val="21"/>
                      <w:szCs w:val="21"/>
                      <w:vertAlign w:val="baseline"/>
                      <w:lang w:eastAsia="zh-CN"/>
                    </w:rPr>
                    <w:t>使用清洁能源天然气，不属于高污染燃料</w:t>
                  </w:r>
                  <w:r>
                    <w:rPr>
                      <w:rFonts w:hint="eastAsia" w:ascii="Times New Roman" w:hAnsi="Times New Roman" w:eastAsia="宋体" w:cs="Times New Roman"/>
                      <w:color w:val="auto"/>
                      <w:sz w:val="21"/>
                      <w:szCs w:val="21"/>
                    </w:rPr>
                    <w:t>，故符合禁燃区的相关要求。</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4"/>
                <w:lang w:val="en-US" w:eastAsia="zh-CN" w:bidi="ar"/>
              </w:rPr>
              <w:t>综上所述，本项目</w:t>
            </w:r>
            <w:r>
              <w:rPr>
                <w:rFonts w:hint="eastAsia" w:ascii="Times New Roman" w:hAnsi="Times New Roman" w:eastAsia="宋体" w:cs="Times New Roman"/>
                <w:color w:val="auto"/>
                <w:kern w:val="0"/>
                <w:sz w:val="24"/>
                <w:lang w:val="en-US" w:eastAsia="zh-CN" w:bidi="ar"/>
              </w:rPr>
              <w:t>符合</w:t>
            </w:r>
            <w:r>
              <w:rPr>
                <w:rFonts w:hint="default" w:ascii="Times New Roman" w:hAnsi="Times New Roman" w:eastAsia="宋体" w:cs="Times New Roman"/>
                <w:color w:val="auto"/>
                <w:kern w:val="0"/>
                <w:sz w:val="24"/>
                <w:lang w:val="en-US" w:eastAsia="zh-CN" w:bidi="ar"/>
              </w:rPr>
              <w:t>《市政府办公室关于印发如皋市“三线一单”生态环境分区管控实施方案的通知》（皋政办发〔2021〕166号）</w:t>
            </w:r>
            <w:r>
              <w:rPr>
                <w:rFonts w:hint="eastAsia" w:ascii="Times New Roman" w:hAnsi="Times New Roman" w:eastAsia="宋体" w:cs="Times New Roman"/>
                <w:color w:val="auto"/>
                <w:kern w:val="0"/>
                <w:sz w:val="24"/>
                <w:lang w:val="en-US" w:eastAsia="zh-CN" w:bidi="ar"/>
              </w:rPr>
              <w:t>相关要求</w:t>
            </w:r>
            <w:r>
              <w:rPr>
                <w:rFonts w:hint="default" w:ascii="Times New Roman" w:hAnsi="Times New Roman" w:eastAsia="宋体" w:cs="Times New Roman"/>
                <w:color w:val="auto"/>
                <w:kern w:val="0"/>
                <w:sz w:val="24"/>
                <w:lang w:val="en-US" w:eastAsia="zh-CN" w:bidi="ar"/>
              </w:rPr>
              <w:t>。</w:t>
            </w:r>
          </w:p>
          <w:p>
            <w:pPr>
              <w:spacing w:line="360" w:lineRule="auto"/>
              <w:ind w:firstLine="482" w:firstLineChars="200"/>
              <w:rPr>
                <w:rFonts w:ascii="Times New Roman" w:hAnsi="Times New Roman" w:eastAsia="宋体"/>
                <w:b/>
                <w:bCs/>
                <w:color w:val="auto"/>
                <w:kern w:val="0"/>
                <w:sz w:val="24"/>
                <w:lang w:bidi="ar"/>
              </w:rPr>
            </w:pPr>
            <w:r>
              <w:rPr>
                <w:rFonts w:hint="eastAsia" w:ascii="Times New Roman" w:hAnsi="Times New Roman" w:eastAsia="宋体"/>
                <w:b/>
                <w:bCs/>
                <w:color w:val="auto"/>
                <w:kern w:val="0"/>
                <w:sz w:val="24"/>
                <w:lang w:bidi="ar"/>
              </w:rPr>
              <w:t>（8）与《江苏</w:t>
            </w:r>
            <w:r>
              <w:rPr>
                <w:rFonts w:hint="eastAsia"/>
                <w:b/>
                <w:bCs/>
                <w:color w:val="auto"/>
                <w:kern w:val="0"/>
                <w:sz w:val="24"/>
                <w:lang w:val="en-US" w:eastAsia="zh-CN" w:bidi="ar"/>
              </w:rPr>
              <w:t>省</w:t>
            </w:r>
            <w:r>
              <w:rPr>
                <w:rFonts w:hint="eastAsia" w:ascii="Times New Roman" w:hAnsi="Times New Roman" w:eastAsia="宋体"/>
                <w:b/>
                <w:bCs/>
                <w:color w:val="auto"/>
                <w:kern w:val="0"/>
                <w:sz w:val="24"/>
                <w:lang w:bidi="ar"/>
              </w:rPr>
              <w:t>2023 年生态环境分区管控动态更新成果》相符性分析</w:t>
            </w:r>
          </w:p>
          <w:p>
            <w:pPr>
              <w:spacing w:line="360" w:lineRule="auto"/>
              <w:ind w:firstLine="480" w:firstLineChars="200"/>
              <w:rPr>
                <w:rFonts w:ascii="Times New Roman" w:hAnsi="Times New Roman" w:eastAsia="宋体"/>
                <w:color w:val="auto"/>
                <w:kern w:val="0"/>
                <w:sz w:val="24"/>
                <w:lang w:bidi="ar"/>
              </w:rPr>
            </w:pPr>
            <w:r>
              <w:rPr>
                <w:rFonts w:hint="eastAsia" w:ascii="Times New Roman" w:hAnsi="Times New Roman" w:eastAsia="宋体"/>
                <w:color w:val="auto"/>
                <w:kern w:val="0"/>
                <w:sz w:val="24"/>
                <w:lang w:bidi="ar"/>
              </w:rPr>
              <w:t>对照《江苏省2023 年度生态环境分区管控动态更新成果公告》登录公告中江苏省2023 年度生态环境分区管控动态更新成果查询网址，根据辅助分析功能的准入分析结果显示本项目所在地属于生态环境分区管控中的重点管控单元-下原工业集中区。本项目与江苏省生态环境分区管控动态更新成果位置关系见附图</w:t>
            </w:r>
            <w:r>
              <w:rPr>
                <w:rFonts w:hint="eastAsia" w:ascii="Times New Roman" w:hAnsi="Times New Roman" w:eastAsia="宋体"/>
                <w:color w:val="auto"/>
                <w:kern w:val="0"/>
                <w:sz w:val="24"/>
                <w:lang w:val="en-US" w:eastAsia="zh-CN" w:bidi="ar"/>
              </w:rPr>
              <w:t>8</w:t>
            </w:r>
            <w:r>
              <w:rPr>
                <w:rFonts w:hint="eastAsia" w:ascii="Times New Roman" w:hAnsi="Times New Roman" w:eastAsia="宋体"/>
                <w:color w:val="auto"/>
                <w:kern w:val="0"/>
                <w:sz w:val="24"/>
                <w:lang w:bidi="ar"/>
              </w:rPr>
              <w:t>。与</w:t>
            </w:r>
            <w:r>
              <w:rPr>
                <w:rFonts w:hint="eastAsia" w:ascii="Times New Roman" w:hAnsi="Times New Roman" w:eastAsia="宋体"/>
                <w:color w:val="auto"/>
                <w:kern w:val="0"/>
                <w:sz w:val="24"/>
                <w:lang w:val="en-US" w:eastAsia="zh-CN" w:bidi="ar"/>
              </w:rPr>
              <w:t>下原镇重点</w:t>
            </w:r>
            <w:r>
              <w:rPr>
                <w:rFonts w:hint="eastAsia" w:ascii="Times New Roman" w:hAnsi="Times New Roman" w:eastAsia="宋体"/>
                <w:color w:val="auto"/>
                <w:kern w:val="0"/>
                <w:sz w:val="24"/>
                <w:lang w:bidi="ar"/>
              </w:rPr>
              <w:t>管控单元生态环境准入清单相符性分析见下表。</w:t>
            </w:r>
          </w:p>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表1-</w:t>
            </w:r>
            <w:r>
              <w:rPr>
                <w:rFonts w:hint="eastAsia"/>
                <w:b/>
                <w:color w:val="auto"/>
                <w:kern w:val="0"/>
                <w:szCs w:val="21"/>
                <w:lang w:val="en-US" w:eastAsia="zh-CN"/>
              </w:rPr>
              <w:t>7</w:t>
            </w:r>
            <w:r>
              <w:rPr>
                <w:rFonts w:ascii="Times New Roman" w:hAnsi="Times New Roman" w:eastAsia="宋体"/>
                <w:b/>
                <w:color w:val="auto"/>
                <w:kern w:val="0"/>
                <w:szCs w:val="21"/>
              </w:rPr>
              <w:t xml:space="preserve">  </w:t>
            </w:r>
            <w:r>
              <w:rPr>
                <w:rFonts w:hint="eastAsia" w:ascii="Times New Roman" w:hAnsi="Times New Roman" w:eastAsia="宋体"/>
                <w:b/>
                <w:color w:val="auto"/>
                <w:kern w:val="0"/>
                <w:szCs w:val="21"/>
              </w:rPr>
              <w:t>与</w:t>
            </w:r>
            <w:r>
              <w:rPr>
                <w:rFonts w:hint="eastAsia" w:ascii="Times New Roman" w:hAnsi="Times New Roman" w:eastAsia="宋体"/>
                <w:b/>
                <w:color w:val="auto"/>
                <w:kern w:val="0"/>
                <w:szCs w:val="21"/>
                <w:lang w:val="en-US" w:eastAsia="zh-CN"/>
              </w:rPr>
              <w:t>下原镇重点</w:t>
            </w:r>
            <w:r>
              <w:rPr>
                <w:rFonts w:hint="eastAsia" w:ascii="Times New Roman" w:hAnsi="Times New Roman" w:eastAsia="宋体"/>
                <w:b/>
                <w:color w:val="auto"/>
                <w:kern w:val="0"/>
                <w:szCs w:val="21"/>
              </w:rPr>
              <w:t>管控单元生态环境准入清单相符性分析</w:t>
            </w:r>
          </w:p>
          <w:tbl>
            <w:tblPr>
              <w:tblStyle w:val="21"/>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827"/>
              <w:gridCol w:w="1640"/>
              <w:gridCol w:w="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vAlign w:val="center"/>
                </w:tcPr>
                <w:p>
                  <w:pPr>
                    <w:tabs>
                      <w:tab w:val="left" w:pos="1018"/>
                    </w:tabs>
                    <w:jc w:val="center"/>
                    <w:rPr>
                      <w:rFonts w:ascii="Times New Roman" w:hAnsi="Times New Roman" w:eastAsia="宋体"/>
                      <w:b/>
                      <w:color w:val="auto"/>
                      <w:szCs w:val="21"/>
                    </w:rPr>
                  </w:pPr>
                  <w:r>
                    <w:rPr>
                      <w:rFonts w:ascii="Times New Roman" w:hAnsi="Times New Roman" w:eastAsia="宋体"/>
                      <w:b/>
                      <w:color w:val="auto"/>
                      <w:szCs w:val="21"/>
                    </w:rPr>
                    <w:t>管理类别</w:t>
                  </w:r>
                </w:p>
              </w:tc>
              <w:tc>
                <w:tcPr>
                  <w:tcW w:w="2773" w:type="pct"/>
                  <w:tcBorders>
                    <w:tl2br w:val="nil"/>
                    <w:tr2bl w:val="nil"/>
                  </w:tcBorders>
                  <w:vAlign w:val="center"/>
                </w:tcPr>
                <w:p>
                  <w:pPr>
                    <w:tabs>
                      <w:tab w:val="left" w:pos="1018"/>
                    </w:tabs>
                    <w:jc w:val="center"/>
                    <w:rPr>
                      <w:rFonts w:ascii="Times New Roman" w:hAnsi="Times New Roman" w:eastAsia="宋体"/>
                      <w:b/>
                      <w:color w:val="auto"/>
                      <w:szCs w:val="21"/>
                    </w:rPr>
                  </w:pPr>
                  <w:r>
                    <w:rPr>
                      <w:rFonts w:hint="eastAsia" w:ascii="Times New Roman" w:hAnsi="Times New Roman" w:eastAsia="宋体"/>
                      <w:b/>
                      <w:color w:val="auto"/>
                      <w:szCs w:val="21"/>
                    </w:rPr>
                    <w:t>重点管控单元要求</w:t>
                  </w:r>
                </w:p>
              </w:tc>
              <w:tc>
                <w:tcPr>
                  <w:tcW w:w="1189" w:type="pct"/>
                  <w:tcBorders>
                    <w:tl2br w:val="nil"/>
                    <w:tr2bl w:val="nil"/>
                  </w:tcBorders>
                  <w:vAlign w:val="center"/>
                </w:tcPr>
                <w:p>
                  <w:pPr>
                    <w:tabs>
                      <w:tab w:val="left" w:pos="1018"/>
                    </w:tabs>
                    <w:jc w:val="center"/>
                    <w:rPr>
                      <w:rFonts w:ascii="Times New Roman" w:hAnsi="Times New Roman" w:eastAsia="宋体"/>
                      <w:b/>
                      <w:color w:val="auto"/>
                      <w:szCs w:val="21"/>
                    </w:rPr>
                  </w:pPr>
                  <w:r>
                    <w:rPr>
                      <w:rFonts w:ascii="Times New Roman" w:hAnsi="Times New Roman" w:eastAsia="宋体"/>
                      <w:b/>
                      <w:color w:val="auto"/>
                      <w:szCs w:val="21"/>
                    </w:rPr>
                    <w:t>本项目建设情况</w:t>
                  </w:r>
                </w:p>
              </w:tc>
              <w:tc>
                <w:tcPr>
                  <w:tcW w:w="671" w:type="pct"/>
                  <w:tcBorders>
                    <w:tl2br w:val="nil"/>
                    <w:tr2bl w:val="nil"/>
                  </w:tcBorders>
                  <w:vAlign w:val="center"/>
                </w:tcPr>
                <w:p>
                  <w:pPr>
                    <w:tabs>
                      <w:tab w:val="left" w:pos="1018"/>
                    </w:tabs>
                    <w:jc w:val="center"/>
                    <w:rPr>
                      <w:rFonts w:ascii="Times New Roman" w:hAnsi="Times New Roman" w:eastAsia="宋体"/>
                      <w:b/>
                      <w:color w:val="auto"/>
                      <w:szCs w:val="21"/>
                    </w:rPr>
                  </w:pPr>
                  <w:r>
                    <w:rPr>
                      <w:rFonts w:ascii="Times New Roman" w:hAnsi="Times New Roman" w:eastAsia="宋体"/>
                      <w:b/>
                      <w:color w:val="auto"/>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空</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间</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布</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局</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约</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束</w:t>
                  </w:r>
                </w:p>
              </w:tc>
              <w:tc>
                <w:tcPr>
                  <w:tcW w:w="2773" w:type="pct"/>
                  <w:tcBorders>
                    <w:tl2br w:val="nil"/>
                    <w:tr2bl w:val="nil"/>
                  </w:tcBorders>
                  <w:vAlign w:val="center"/>
                </w:tcPr>
                <w:p>
                  <w:pPr>
                    <w:numPr>
                      <w:ilvl w:val="0"/>
                      <w:numId w:val="0"/>
                    </w:numPr>
                    <w:tabs>
                      <w:tab w:val="left" w:pos="1018"/>
                    </w:tabs>
                    <w:jc w:val="left"/>
                    <w:rPr>
                      <w:rFonts w:ascii="Times New Roman" w:hAnsi="Times New Roman" w:eastAsia="宋体"/>
                      <w:color w:val="auto"/>
                      <w:szCs w:val="21"/>
                    </w:rPr>
                  </w:pPr>
                  <w:r>
                    <w:rPr>
                      <w:rFonts w:hint="eastAsia" w:ascii="Times New Roman" w:hAnsi="Times New Roman" w:eastAsia="宋体"/>
                      <w:color w:val="auto"/>
                      <w:szCs w:val="21"/>
                      <w:lang w:val="en-US" w:eastAsia="zh-CN"/>
                    </w:rPr>
                    <w:t>1.</w:t>
                  </w:r>
                  <w:r>
                    <w:rPr>
                      <w:rFonts w:ascii="Times New Roman" w:hAnsi="Times New Roman" w:eastAsia="宋体"/>
                      <w:color w:val="auto"/>
                      <w:szCs w:val="21"/>
                    </w:rPr>
                    <w:t>重点发展医疗器械（大健康产业）、新能源汽车及配件、高端装备（新材料） 等产业。</w:t>
                  </w:r>
                </w:p>
                <w:p>
                  <w:pPr>
                    <w:numPr>
                      <w:ilvl w:val="0"/>
                      <w:numId w:val="0"/>
                    </w:numPr>
                    <w:tabs>
                      <w:tab w:val="left" w:pos="1018"/>
                    </w:tabs>
                    <w:jc w:val="left"/>
                    <w:rPr>
                      <w:rFonts w:ascii="Times New Roman" w:hAnsi="Times New Roman" w:eastAsia="宋体"/>
                      <w:color w:val="auto"/>
                      <w:szCs w:val="21"/>
                    </w:rPr>
                  </w:pPr>
                  <w:r>
                    <w:rPr>
                      <w:rFonts w:ascii="Times New Roman" w:hAnsi="Times New Roman" w:eastAsia="宋体"/>
                      <w:color w:val="auto"/>
                      <w:szCs w:val="21"/>
                    </w:rPr>
                    <w:t>2.按照《产业结构调整指导目录》和《江苏省产业结构目录》的要求，禁止引入高能耗</w:t>
                  </w:r>
                  <w:r>
                    <w:rPr>
                      <w:rFonts w:hint="eastAsia" w:ascii="Times New Roman" w:hAnsi="Times New Roman" w:eastAsia="宋体"/>
                      <w:color w:val="auto"/>
                      <w:szCs w:val="21"/>
                      <w:lang w:eastAsia="zh-CN"/>
                    </w:rPr>
                    <w:t>、</w:t>
                  </w:r>
                  <w:r>
                    <w:rPr>
                      <w:rFonts w:ascii="Times New Roman" w:hAnsi="Times New Roman" w:eastAsia="宋体"/>
                      <w:color w:val="auto"/>
                      <w:szCs w:val="21"/>
                    </w:rPr>
                    <w:t>不符合产业政策、重污染的项目</w:t>
                  </w:r>
                </w:p>
              </w:tc>
              <w:tc>
                <w:tcPr>
                  <w:tcW w:w="1189"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本 项 目 为</w:t>
                  </w:r>
                  <w:r>
                    <w:rPr>
                      <w:rFonts w:hint="eastAsia" w:ascii="Times New Roman" w:hAnsi="Times New Roman" w:eastAsia="宋体"/>
                      <w:color w:val="auto"/>
                      <w:kern w:val="0"/>
                      <w:szCs w:val="21"/>
                      <w:lang w:bidi="ar"/>
                    </w:rPr>
                    <w:t>C</w:t>
                  </w:r>
                  <w:r>
                    <w:rPr>
                      <w:rFonts w:hint="eastAsia" w:ascii="Times New Roman" w:hAnsi="Times New Roman" w:eastAsia="宋体"/>
                      <w:color w:val="auto"/>
                      <w:kern w:val="0"/>
                      <w:szCs w:val="21"/>
                      <w:lang w:eastAsia="zh-CN" w:bidi="ar"/>
                    </w:rPr>
                    <w:t>3484</w:t>
                  </w:r>
                  <w:r>
                    <w:rPr>
                      <w:rFonts w:hint="eastAsia" w:ascii="Times New Roman" w:hAnsi="Times New Roman" w:eastAsia="宋体"/>
                      <w:color w:val="auto"/>
                      <w:kern w:val="0"/>
                      <w:szCs w:val="21"/>
                      <w:lang w:bidi="ar"/>
                    </w:rPr>
                    <w:t xml:space="preserve"> </w:t>
                  </w:r>
                  <w:r>
                    <w:rPr>
                      <w:rFonts w:hint="eastAsia" w:ascii="Times New Roman" w:hAnsi="Times New Roman" w:eastAsia="宋体"/>
                      <w:color w:val="auto"/>
                      <w:kern w:val="0"/>
                      <w:szCs w:val="21"/>
                      <w:lang w:eastAsia="zh-CN" w:bidi="ar"/>
                    </w:rPr>
                    <w:t>机械零部件加工</w:t>
                  </w:r>
                  <w:r>
                    <w:rPr>
                      <w:rFonts w:ascii="Times New Roman" w:hAnsi="Times New Roman" w:eastAsia="宋体"/>
                      <w:color w:val="auto"/>
                      <w:szCs w:val="21"/>
                    </w:rPr>
                    <w:t>，</w:t>
                  </w:r>
                  <w:r>
                    <w:rPr>
                      <w:rFonts w:hint="eastAsia" w:ascii="Times New Roman" w:hAnsi="Times New Roman" w:eastAsia="宋体"/>
                      <w:color w:val="auto"/>
                      <w:szCs w:val="21"/>
                      <w:lang w:val="en-US" w:eastAsia="zh-CN"/>
                    </w:rPr>
                    <w:t>不属于</w:t>
                  </w:r>
                  <w:r>
                    <w:rPr>
                      <w:rFonts w:ascii="Times New Roman" w:hAnsi="Times New Roman" w:eastAsia="宋体"/>
                      <w:color w:val="auto"/>
                      <w:szCs w:val="21"/>
                    </w:rPr>
                    <w:t>高能耗</w:t>
                  </w:r>
                  <w:r>
                    <w:rPr>
                      <w:rFonts w:hint="eastAsia" w:ascii="Times New Roman" w:hAnsi="Times New Roman" w:eastAsia="宋体"/>
                      <w:color w:val="auto"/>
                      <w:szCs w:val="21"/>
                      <w:lang w:eastAsia="zh-CN"/>
                    </w:rPr>
                    <w:t>、</w:t>
                  </w:r>
                  <w:r>
                    <w:rPr>
                      <w:rFonts w:ascii="Times New Roman" w:hAnsi="Times New Roman" w:eastAsia="宋体"/>
                      <w:color w:val="auto"/>
                      <w:szCs w:val="21"/>
                    </w:rPr>
                    <w:t>不符合产业政策、重污染的项目</w:t>
                  </w:r>
                  <w:r>
                    <w:rPr>
                      <w:rFonts w:hint="eastAsia" w:ascii="Times New Roman" w:hAnsi="Times New Roman" w:eastAsia="宋体"/>
                      <w:color w:val="auto"/>
                      <w:szCs w:val="21"/>
                    </w:rPr>
                    <w:t>。</w:t>
                  </w:r>
                </w:p>
              </w:tc>
              <w:tc>
                <w:tcPr>
                  <w:tcW w:w="671"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污</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染</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物</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排</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放管控</w:t>
                  </w:r>
                </w:p>
              </w:tc>
              <w:tc>
                <w:tcPr>
                  <w:tcW w:w="2773" w:type="pct"/>
                  <w:tcBorders>
                    <w:tl2br w:val="nil"/>
                    <w:tr2bl w:val="nil"/>
                  </w:tcBorders>
                  <w:vAlign w:val="center"/>
                </w:tcPr>
                <w:p>
                  <w:pPr>
                    <w:tabs>
                      <w:tab w:val="left" w:pos="1018"/>
                    </w:tabs>
                    <w:jc w:val="left"/>
                    <w:rPr>
                      <w:rFonts w:ascii="Times New Roman" w:hAnsi="Times New Roman" w:eastAsia="宋体"/>
                      <w:color w:val="auto"/>
                      <w:szCs w:val="21"/>
                    </w:rPr>
                  </w:pPr>
                  <w:r>
                    <w:rPr>
                      <w:rFonts w:ascii="Times New Roman" w:hAnsi="Times New Roman" w:eastAsia="宋体"/>
                      <w:color w:val="auto"/>
                      <w:szCs w:val="21"/>
                    </w:rPr>
                    <w:t>实行污染物排放总量控制，污染物总量指标应满足区域内总量控制及污染物削减计划要求</w:t>
                  </w:r>
                </w:p>
              </w:tc>
              <w:tc>
                <w:tcPr>
                  <w:tcW w:w="1189" w:type="pct"/>
                  <w:tcBorders>
                    <w:tl2br w:val="nil"/>
                    <w:tr2bl w:val="nil"/>
                  </w:tcBorders>
                  <w:vAlign w:val="center"/>
                </w:tcPr>
                <w:p>
                  <w:pPr>
                    <w:tabs>
                      <w:tab w:val="left" w:pos="1018"/>
                    </w:tabs>
                    <w:jc w:val="center"/>
                    <w:rPr>
                      <w:rFonts w:ascii="Times New Roman" w:hAnsi="Times New Roman" w:eastAsia="宋体"/>
                      <w:color w:val="auto"/>
                      <w:szCs w:val="21"/>
                    </w:rPr>
                  </w:pPr>
                  <w:r>
                    <w:rPr>
                      <w:rFonts w:hint="eastAsia" w:ascii="Times New Roman" w:hAnsi="Times New Roman" w:eastAsia="宋体"/>
                      <w:color w:val="auto"/>
                      <w:szCs w:val="21"/>
                    </w:rPr>
                    <w:t>本项目排污许可管理类别为登记管理，可不实施总量平衡</w:t>
                  </w:r>
                </w:p>
              </w:tc>
              <w:tc>
                <w:tcPr>
                  <w:tcW w:w="671"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环</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境</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风</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险</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防</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控</w:t>
                  </w:r>
                </w:p>
              </w:tc>
              <w:tc>
                <w:tcPr>
                  <w:tcW w:w="2773" w:type="pct"/>
                  <w:tcBorders>
                    <w:tl2br w:val="nil"/>
                    <w:tr2bl w:val="nil"/>
                  </w:tcBorders>
                  <w:vAlign w:val="center"/>
                </w:tcPr>
                <w:p>
                  <w:pPr>
                    <w:tabs>
                      <w:tab w:val="left" w:pos="1018"/>
                    </w:tabs>
                    <w:jc w:val="left"/>
                    <w:rPr>
                      <w:rFonts w:ascii="Times New Roman" w:hAnsi="Times New Roman" w:eastAsia="宋体"/>
                      <w:color w:val="auto"/>
                      <w:szCs w:val="21"/>
                    </w:rPr>
                  </w:pPr>
                  <w:r>
                    <w:rPr>
                      <w:rFonts w:ascii="Times New Roman" w:hAnsi="Times New Roman" w:eastAsia="宋体"/>
                      <w:color w:val="auto"/>
                      <w:szCs w:val="21"/>
                    </w:rPr>
                    <w:t>建立健全区域风险防范体系和生态安全保障系统，园区和企业按要求制定并落实突发环境事件应急预案</w:t>
                  </w:r>
                </w:p>
              </w:tc>
              <w:tc>
                <w:tcPr>
                  <w:tcW w:w="1189" w:type="pct"/>
                  <w:tcBorders>
                    <w:tl2br w:val="nil"/>
                    <w:tr2bl w:val="nil"/>
                  </w:tcBorders>
                  <w:vAlign w:val="center"/>
                </w:tcPr>
                <w:p>
                  <w:pPr>
                    <w:rPr>
                      <w:rFonts w:hint="eastAsia" w:eastAsia="宋体"/>
                      <w:lang w:eastAsia="zh-CN"/>
                    </w:rPr>
                  </w:pPr>
                  <w:r>
                    <w:t>项目厂区</w:t>
                  </w:r>
                  <w:r>
                    <w:rPr>
                      <w:rFonts w:hint="eastAsia"/>
                      <w:lang w:val="en-US" w:eastAsia="zh-CN"/>
                    </w:rPr>
                    <w:t>内</w:t>
                  </w:r>
                  <w:r>
                    <w:t>配备了必要的应急物资，暂未编制应急预案。建设单位拟在本项目建成后及时编制突发环境事件应急预案，完善相应的风险防范措施，应急池有效容积不小于</w:t>
                  </w:r>
                  <w:r>
                    <w:rPr>
                      <w:rFonts w:hint="eastAsia"/>
                      <w:lang w:val="en-US" w:eastAsia="zh-CN"/>
                    </w:rPr>
                    <w:t>180</w:t>
                  </w:r>
                  <w:r>
                    <w:t>m</w:t>
                  </w:r>
                  <w:r>
                    <w:rPr>
                      <w:rFonts w:hint="default" w:asciiTheme="minorAscii" w:hAnsiTheme="minorAscii" w:eastAsiaTheme="minorEastAsia"/>
                      <w:sz w:val="21"/>
                      <w:vertAlign w:val="superscript"/>
                    </w:rPr>
                    <w:t>3</w:t>
                  </w:r>
                  <w:r>
                    <w:t>，补充完善应急物资，雨水总排口安装截止阀，按要求配备必</w:t>
                  </w:r>
                  <w:r>
                    <w:rPr>
                      <w:rFonts w:hint="eastAsia"/>
                      <w:lang w:val="en-US" w:eastAsia="zh-CN"/>
                    </w:rPr>
                    <w:t>要</w:t>
                  </w:r>
                  <w:r>
                    <w:t>的设备</w:t>
                  </w:r>
                  <w:r>
                    <w:rPr>
                      <w:rFonts w:hint="eastAsia"/>
                      <w:lang w:eastAsia="zh-CN"/>
                    </w:rPr>
                    <w:t>、</w:t>
                  </w:r>
                  <w:r>
                    <w:t>物资</w:t>
                  </w:r>
                  <w:r>
                    <w:rPr>
                      <w:rFonts w:hint="eastAsia"/>
                      <w:lang w:eastAsia="zh-CN"/>
                    </w:rPr>
                    <w:t>、</w:t>
                  </w:r>
                  <w:r>
                    <w:t>人员</w:t>
                  </w:r>
                  <w:r>
                    <w:rPr>
                      <w:rFonts w:hint="eastAsia"/>
                      <w:lang w:eastAsia="zh-CN"/>
                    </w:rPr>
                    <w:t>，</w:t>
                  </w:r>
                  <w:r>
                    <w:t>并定期演练</w:t>
                  </w:r>
                  <w:r>
                    <w:rPr>
                      <w:rFonts w:hint="eastAsia"/>
                      <w:lang w:eastAsia="zh-CN"/>
                    </w:rPr>
                    <w:t>。</w:t>
                  </w:r>
                </w:p>
                <w:p>
                  <w:pPr>
                    <w:tabs>
                      <w:tab w:val="left" w:pos="1018"/>
                    </w:tabs>
                    <w:jc w:val="center"/>
                    <w:rPr>
                      <w:rFonts w:ascii="Times New Roman" w:hAnsi="Times New Roman" w:eastAsia="宋体"/>
                      <w:color w:val="auto"/>
                      <w:szCs w:val="21"/>
                    </w:rPr>
                  </w:pPr>
                </w:p>
              </w:tc>
              <w:tc>
                <w:tcPr>
                  <w:tcW w:w="671"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资</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源</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利</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用</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效</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率</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要</w:t>
                  </w:r>
                </w:p>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求</w:t>
                  </w:r>
                </w:p>
              </w:tc>
              <w:tc>
                <w:tcPr>
                  <w:tcW w:w="2773" w:type="pct"/>
                  <w:tcBorders>
                    <w:tl2br w:val="nil"/>
                    <w:tr2bl w:val="nil"/>
                  </w:tcBorders>
                  <w:vAlign w:val="center"/>
                </w:tcPr>
                <w:p>
                  <w:pPr>
                    <w:tabs>
                      <w:tab w:val="left" w:pos="1018"/>
                    </w:tabs>
                    <w:jc w:val="left"/>
                    <w:rPr>
                      <w:rFonts w:ascii="Times New Roman" w:hAnsi="Times New Roman" w:eastAsia="宋体"/>
                      <w:color w:val="auto"/>
                      <w:szCs w:val="21"/>
                    </w:rPr>
                  </w:pPr>
                  <w:r>
                    <w:rPr>
                      <w:rFonts w:hint="eastAsia" w:ascii="Times New Roman" w:hAnsi="Times New Roman" w:eastAsia="宋体"/>
                      <w:color w:val="auto"/>
                      <w:szCs w:val="21"/>
                      <w:lang w:val="en-US" w:eastAsia="zh-CN"/>
                    </w:rPr>
                    <w:t>1.</w:t>
                  </w:r>
                  <w:r>
                    <w:rPr>
                      <w:rFonts w:hint="eastAsia" w:ascii="Times New Roman" w:hAnsi="Times New Roman" w:eastAsia="宋体"/>
                      <w:color w:val="auto"/>
                      <w:szCs w:val="21"/>
                    </w:rPr>
                    <w:t>入区企业按照《涂装行业清洁生产评价指标体系》、《机械制造清洁生产评价指标体系（试行）》等清洁生产标准中资源和能源消耗指标来进行控制，单位产品能耗、物耗</w:t>
                  </w:r>
                  <w:r>
                    <w:rPr>
                      <w:rFonts w:hint="eastAsia" w:ascii="Times New Roman" w:hAnsi="Times New Roman" w:eastAsia="宋体"/>
                      <w:color w:val="auto"/>
                      <w:szCs w:val="21"/>
                      <w:lang w:eastAsia="zh-CN"/>
                    </w:rPr>
                    <w:t>、</w:t>
                  </w:r>
                  <w:r>
                    <w:rPr>
                      <w:rFonts w:hint="eastAsia" w:ascii="Times New Roman" w:hAnsi="Times New Roman" w:eastAsia="宋体"/>
                      <w:color w:val="auto"/>
                      <w:szCs w:val="21"/>
                    </w:rPr>
                    <w:t>污染物排放和资源利用率均需达到同行业国际先进水平。 2.严格执行《关于划定高污染燃料禁燃区的通知》（皋政发〔2013〕162号）的相关要求 ，落实相应的禁燃区管控要求。禁止销售使 用燃料为“Ⅱ类”（较严），具体包括：除单台出力大于等于20蒸吨/小时锅炉以外燃用的煤炭及其制品；石油焦、油页岩、原油、重油、渣油、煤焦油</w:t>
                  </w:r>
                </w:p>
              </w:tc>
              <w:tc>
                <w:tcPr>
                  <w:tcW w:w="11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1.本项目单位产品能耗、物耗、污染物排放和资源利用率均达到同行业国际先进水平。</w:t>
                  </w:r>
                  <w:r>
                    <w:rPr>
                      <w:rFonts w:hint="eastAsia" w:ascii="Times New Roman" w:hAnsi="Times New Roman" w:eastAsia="宋体" w:cs="Times New Roman"/>
                      <w:color w:val="auto"/>
                      <w:sz w:val="21"/>
                      <w:szCs w:val="21"/>
                      <w:lang w:val="en-US" w:eastAsia="zh-CN"/>
                    </w:rPr>
                    <w:t>具体分析见表1-9。</w:t>
                  </w:r>
                </w:p>
                <w:p>
                  <w:pPr>
                    <w:tabs>
                      <w:tab w:val="left" w:pos="1018"/>
                    </w:tabs>
                    <w:jc w:val="center"/>
                    <w:rPr>
                      <w:rFonts w:ascii="Times New Roman" w:hAnsi="Times New Roman" w:eastAsia="宋体"/>
                      <w:color w:val="auto"/>
                      <w:szCs w:val="21"/>
                    </w:rPr>
                  </w:pPr>
                  <w:r>
                    <w:rPr>
                      <w:rFonts w:hint="eastAsia" w:ascii="Times New Roman" w:hAnsi="Times New Roman" w:eastAsia="宋体" w:cs="Times New Roman"/>
                      <w:color w:val="auto"/>
                      <w:sz w:val="21"/>
                      <w:szCs w:val="21"/>
                    </w:rPr>
                    <w:t>2.</w:t>
                  </w:r>
                  <w:r>
                    <w:rPr>
                      <w:rFonts w:hint="default" w:ascii="Times New Roman" w:hAnsi="Times New Roman" w:cs="Times New Roman"/>
                      <w:color w:val="auto"/>
                      <w:sz w:val="21"/>
                      <w:szCs w:val="21"/>
                      <w:vertAlign w:val="baseline"/>
                      <w:lang w:eastAsia="zh-CN"/>
                    </w:rPr>
                    <w:t>本项目</w:t>
                  </w:r>
                  <w:r>
                    <w:rPr>
                      <w:rFonts w:hint="eastAsia" w:ascii="Times New Roman" w:hAnsi="Times New Roman" w:cs="Times New Roman"/>
                      <w:color w:val="auto"/>
                      <w:sz w:val="21"/>
                      <w:szCs w:val="21"/>
                      <w:vertAlign w:val="baseline"/>
                      <w:lang w:eastAsia="zh-CN"/>
                    </w:rPr>
                    <w:t>使用清洁能源天然气，不属于高污染燃料</w:t>
                  </w:r>
                  <w:r>
                    <w:rPr>
                      <w:rFonts w:hint="eastAsia" w:ascii="Times New Roman" w:hAnsi="Times New Roman" w:eastAsia="宋体" w:cs="Times New Roman"/>
                      <w:color w:val="auto"/>
                      <w:sz w:val="21"/>
                      <w:szCs w:val="21"/>
                    </w:rPr>
                    <w:t>，故符合禁燃区的相关要求。</w:t>
                  </w:r>
                </w:p>
              </w:tc>
              <w:tc>
                <w:tcPr>
                  <w:tcW w:w="671" w:type="pct"/>
                  <w:tcBorders>
                    <w:tl2br w:val="nil"/>
                    <w:tr2bl w:val="nil"/>
                  </w:tcBorders>
                  <w:vAlign w:val="center"/>
                </w:tcPr>
                <w:p>
                  <w:pPr>
                    <w:tabs>
                      <w:tab w:val="left" w:pos="1018"/>
                    </w:tabs>
                    <w:jc w:val="center"/>
                    <w:rPr>
                      <w:rFonts w:ascii="Times New Roman" w:hAnsi="Times New Roman" w:eastAsia="宋体"/>
                      <w:color w:val="auto"/>
                      <w:szCs w:val="21"/>
                    </w:rPr>
                  </w:pPr>
                  <w:r>
                    <w:rPr>
                      <w:rFonts w:ascii="Times New Roman" w:hAnsi="Times New Roman" w:eastAsia="宋体"/>
                      <w:color w:val="auto"/>
                      <w:szCs w:val="21"/>
                    </w:rPr>
                    <w:t>相符</w:t>
                  </w:r>
                </w:p>
              </w:tc>
            </w:tr>
          </w:tbl>
          <w:p>
            <w:pPr>
              <w:spacing w:line="360" w:lineRule="auto"/>
              <w:rPr>
                <w:rFonts w:ascii="Times New Roman" w:hAnsi="Times New Roman" w:eastAsia="宋体"/>
                <w:b/>
                <w:color w:val="auto"/>
                <w:sz w:val="24"/>
              </w:rPr>
            </w:pPr>
            <w:r>
              <w:rPr>
                <w:rFonts w:hint="eastAsia" w:ascii="Times New Roman" w:hAnsi="Times New Roman" w:eastAsia="宋体"/>
                <w:b/>
                <w:color w:val="auto"/>
                <w:sz w:val="24"/>
              </w:rPr>
              <w:t>4</w:t>
            </w:r>
            <w:r>
              <w:rPr>
                <w:rFonts w:ascii="Times New Roman" w:hAnsi="Times New Roman" w:eastAsia="宋体"/>
                <w:b/>
                <w:color w:val="auto"/>
                <w:sz w:val="24"/>
              </w:rPr>
              <w:t>、与《江苏省通榆河水污染防治条例》的相符性分析</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根据《江苏省通榆河水污染防治条例》</w:t>
            </w:r>
            <w:r>
              <w:rPr>
                <w:rFonts w:hint="eastAsia" w:ascii="Times New Roman" w:hAnsi="Times New Roman" w:eastAsia="宋体"/>
                <w:color w:val="auto"/>
                <w:sz w:val="24"/>
                <w:lang w:val="en-US" w:eastAsia="zh-CN"/>
              </w:rPr>
              <w:t>的</w:t>
            </w:r>
            <w:r>
              <w:rPr>
                <w:rFonts w:hint="eastAsia" w:ascii="Times New Roman" w:hAnsi="Times New Roman" w:eastAsia="宋体"/>
                <w:color w:val="auto"/>
                <w:sz w:val="24"/>
              </w:rPr>
              <w:t>规定，通榆河实行分级保护，划分为三级保护区</w:t>
            </w:r>
            <w:r>
              <w:rPr>
                <w:rFonts w:hint="eastAsia" w:ascii="Times New Roman" w:hAnsi="Times New Roman" w:eastAsia="宋体"/>
                <w:color w:val="auto"/>
                <w:sz w:val="24"/>
                <w:lang w:eastAsia="zh-CN"/>
              </w:rPr>
              <w:t>。通榆河，南起南通长江北岸，北至连云港市赣榆县，包括焦港河，以及新沂河南偏泓、盐河、八一河、引水河、沭南航道、沭北航道、蔷薇河、青龙大沟、龙北干渠相关河段；主要供水河道，包括蔷薇河、三阳河、卤汀河、泰东河、新通扬运河、焦港河、引江河、如泰运河、如海运河。通</w:t>
            </w:r>
            <w:r>
              <w:rPr>
                <w:rFonts w:hint="eastAsia" w:ascii="Times New Roman" w:hAnsi="Times New Roman" w:eastAsia="宋体"/>
                <w:color w:val="auto"/>
                <w:sz w:val="24"/>
              </w:rPr>
              <w:t>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val="en-US" w:eastAsia="zh-CN"/>
              </w:rPr>
              <w:t>本项目距离焦港河18.3km，距离如海运河3.7km，距离如泰运河20.6km，项目所在地不在通榆河一级、二级、三级保护区内，因此本项目符合《江苏省通榆河水污染防治条例》。</w:t>
            </w:r>
          </w:p>
          <w:p>
            <w:pPr>
              <w:pStyle w:val="4"/>
              <w:rPr>
                <w:rFonts w:ascii="Times New Roman" w:hAnsi="Times New Roman" w:eastAsia="宋体"/>
                <w:color w:val="auto"/>
              </w:rPr>
            </w:pPr>
            <w:r>
              <w:rPr>
                <w:rFonts w:hint="eastAsia" w:ascii="Times New Roman" w:hAnsi="Times New Roman" w:eastAsia="宋体"/>
                <w:bCs/>
                <w:color w:val="auto"/>
              </w:rPr>
              <w:t>5</w:t>
            </w:r>
            <w:r>
              <w:rPr>
                <w:rFonts w:ascii="Times New Roman" w:hAnsi="Times New Roman" w:eastAsia="宋体"/>
                <w:bCs/>
                <w:color w:val="auto"/>
              </w:rPr>
              <w:t>、</w:t>
            </w:r>
            <w:r>
              <w:rPr>
                <w:rFonts w:ascii="Times New Roman" w:hAnsi="Times New Roman" w:eastAsia="宋体"/>
                <w:color w:val="auto"/>
              </w:rPr>
              <w:t>与江苏省生态环境厅《省生态环境厅关于报送高耗能、高排放项目清单的通知》（苏环便函〔2021〕903号）相符性分析</w:t>
            </w:r>
          </w:p>
          <w:p>
            <w:pPr>
              <w:snapToGrid w:val="0"/>
              <w:spacing w:line="360" w:lineRule="auto"/>
              <w:ind w:firstLine="482"/>
              <w:rPr>
                <w:rFonts w:ascii="Times New Roman" w:hAnsi="Times New Roman" w:eastAsia="宋体"/>
                <w:color w:val="auto"/>
                <w:sz w:val="24"/>
              </w:rPr>
            </w:pPr>
            <w:r>
              <w:rPr>
                <w:rFonts w:ascii="Times New Roman" w:hAnsi="Times New Roman" w:eastAsia="宋体"/>
                <w:color w:val="auto"/>
                <w:sz w:val="24"/>
              </w:rPr>
              <w:t>根据《省生态环境厅关于报送高耗能、高排放项目清单的通知》，为全面落实《关于加强高耗能、高排放建设项目生态环境源头防控的指导意见》，坚决遏制高耗能、高排放（以下简称“两高”）项目盲目发展，根据全省突出生态环境问题整改调度会议精神，本次报送的“两高”项目范围是煤电、石化、化工、钢铁、有色金属冶炼、建材等六个行业。同时，对造纸、纺织印染行业开展摸底排查。后续如国家、省对“两高”范围有明确规定的，从其规定。</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本项目属于</w:t>
            </w:r>
            <w:r>
              <w:rPr>
                <w:rFonts w:hint="eastAsia" w:ascii="Times New Roman" w:hAnsi="Times New Roman" w:eastAsia="宋体"/>
                <w:color w:val="auto"/>
                <w:sz w:val="24"/>
              </w:rPr>
              <w:t>C</w:t>
            </w:r>
            <w:r>
              <w:rPr>
                <w:rFonts w:hint="eastAsia" w:ascii="Times New Roman" w:hAnsi="Times New Roman" w:eastAsia="宋体"/>
                <w:color w:val="auto"/>
                <w:sz w:val="24"/>
                <w:lang w:eastAsia="zh-CN"/>
              </w:rPr>
              <w:t>3484机械零部件加工</w:t>
            </w:r>
            <w:r>
              <w:rPr>
                <w:rFonts w:ascii="Times New Roman" w:hAnsi="Times New Roman" w:eastAsia="宋体"/>
                <w:color w:val="auto"/>
                <w:sz w:val="24"/>
              </w:rPr>
              <w:t>，不属于《省生态环境厅关于报送高耗能、高排放项目清单的通知》（苏环便函〔2021〕903号）中附件1项目报送范围，因此，本项目不在禁止项目报送范围内。</w:t>
            </w:r>
          </w:p>
          <w:p>
            <w:pPr>
              <w:spacing w:line="360" w:lineRule="auto"/>
              <w:rPr>
                <w:rFonts w:ascii="Times New Roman" w:hAnsi="Times New Roman" w:eastAsia="宋体"/>
                <w:b/>
                <w:color w:val="auto"/>
                <w:sz w:val="24"/>
              </w:rPr>
            </w:pPr>
            <w:r>
              <w:rPr>
                <w:rFonts w:hint="eastAsia" w:ascii="Times New Roman" w:hAnsi="Times New Roman" w:eastAsia="宋体"/>
                <w:b/>
                <w:color w:val="auto"/>
                <w:sz w:val="24"/>
              </w:rPr>
              <w:t>6</w:t>
            </w:r>
            <w:r>
              <w:rPr>
                <w:rFonts w:ascii="Times New Roman" w:hAnsi="Times New Roman" w:eastAsia="宋体"/>
                <w:b/>
                <w:color w:val="auto"/>
                <w:sz w:val="24"/>
              </w:rPr>
              <w:t>、与《江苏省大气污染防治条例》相符性分析</w:t>
            </w:r>
          </w:p>
          <w:p>
            <w:pPr>
              <w:widowControl/>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本项目属于</w:t>
            </w:r>
            <w:r>
              <w:rPr>
                <w:rFonts w:hint="eastAsia" w:ascii="Times New Roman" w:hAnsi="Times New Roman" w:eastAsia="宋体"/>
                <w:color w:val="auto"/>
                <w:sz w:val="24"/>
              </w:rPr>
              <w:t>C</w:t>
            </w:r>
            <w:r>
              <w:rPr>
                <w:rFonts w:hint="eastAsia" w:ascii="Times New Roman" w:hAnsi="Times New Roman" w:eastAsia="宋体"/>
                <w:color w:val="auto"/>
                <w:sz w:val="24"/>
                <w:lang w:eastAsia="zh-CN"/>
              </w:rPr>
              <w:t>3484</w:t>
            </w:r>
            <w:r>
              <w:rPr>
                <w:rFonts w:hint="eastAsia" w:ascii="Times New Roman" w:hAnsi="Times New Roman" w:eastAsia="宋体"/>
                <w:color w:val="auto"/>
                <w:sz w:val="24"/>
              </w:rPr>
              <w:t xml:space="preserve"> </w:t>
            </w:r>
            <w:r>
              <w:rPr>
                <w:rFonts w:hint="eastAsia" w:ascii="Times New Roman" w:hAnsi="Times New Roman" w:eastAsia="宋体"/>
                <w:color w:val="auto"/>
                <w:sz w:val="24"/>
                <w:lang w:eastAsia="zh-CN"/>
              </w:rPr>
              <w:t>机械零部件加工</w:t>
            </w:r>
            <w:r>
              <w:rPr>
                <w:rFonts w:ascii="Times New Roman" w:hAnsi="Times New Roman" w:eastAsia="宋体"/>
                <w:color w:val="auto"/>
                <w:sz w:val="24"/>
              </w:rPr>
              <w:t>，不属于钢铁、建材、石化、有色、化工等行业中的大气重污染工业项目行业，使用资源利用率高、污染物排放量少的工艺和设备，采用最佳实用大气污染控制技术，减少大气污染物的产生。因此，本项目符合《江苏省大气污染防治条例》的相关要求。</w:t>
            </w:r>
            <w:r>
              <w:rPr>
                <w:rFonts w:ascii="Times New Roman" w:hAnsi="Times New Roman" w:eastAsia="宋体"/>
                <w:bCs/>
                <w:color w:val="auto"/>
                <w:sz w:val="24"/>
              </w:rPr>
              <w:t xml:space="preserve"> </w:t>
            </w:r>
          </w:p>
          <w:p>
            <w:pPr>
              <w:numPr>
                <w:ilvl w:val="0"/>
                <w:numId w:val="0"/>
              </w:numPr>
              <w:spacing w:line="360" w:lineRule="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7、</w:t>
            </w:r>
            <w:r>
              <w:rPr>
                <w:rFonts w:hint="eastAsia" w:ascii="Times New Roman" w:hAnsi="Times New Roman" w:eastAsia="宋体" w:cs="Times New Roman"/>
                <w:b/>
                <w:bCs/>
                <w:color w:val="auto"/>
                <w:sz w:val="24"/>
                <w:szCs w:val="24"/>
              </w:rPr>
              <w:t>与挥发性有机物相关文件相符性分析</w:t>
            </w:r>
          </w:p>
          <w:p>
            <w:pPr>
              <w:pStyle w:val="31"/>
              <w:adjustRightInd w:val="0"/>
              <w:snapToGrid w:val="0"/>
              <w:rPr>
                <w:rFonts w:ascii="Times New Roman" w:hAnsi="Times New Roman" w:cs="Times New Roman"/>
                <w:color w:val="auto"/>
                <w:szCs w:val="21"/>
              </w:rPr>
            </w:pPr>
            <w:r>
              <w:rPr>
                <w:rFonts w:ascii="Times New Roman" w:hAnsi="Times New Roman" w:cs="Times New Roman"/>
                <w:color w:val="auto"/>
                <w:sz w:val="24"/>
                <w:szCs w:val="24"/>
              </w:rPr>
              <w:t>表</w:t>
            </w:r>
            <w:r>
              <w:rPr>
                <w:rFonts w:hint="default" w:ascii="Times New Roman" w:hAnsi="Times New Roman" w:cs="Times New Roman"/>
                <w:color w:val="auto"/>
                <w:sz w:val="24"/>
                <w:szCs w:val="24"/>
              </w:rPr>
              <w:t>1-</w:t>
            </w:r>
            <w:r>
              <w:rPr>
                <w:rFonts w:hint="eastAsia" w:cs="Times New Roman"/>
                <w:color w:val="auto"/>
                <w:sz w:val="24"/>
                <w:szCs w:val="24"/>
                <w:lang w:val="en-US" w:eastAsia="zh-CN"/>
              </w:rPr>
              <w:t>8</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rPr>
              <w:t>与挥发性有机物相关文件相符性分析</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7"/>
              <w:gridCol w:w="1096"/>
              <w:gridCol w:w="3194"/>
              <w:gridCol w:w="1915"/>
              <w:gridCol w:w="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序号</w:t>
                  </w:r>
                </w:p>
              </w:tc>
              <w:tc>
                <w:tcPr>
                  <w:tcW w:w="793" w:type="pct"/>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与挥发性有机物相关文件</w:t>
                  </w:r>
                </w:p>
              </w:tc>
              <w:tc>
                <w:tcPr>
                  <w:tcW w:w="2312" w:type="pct"/>
                  <w:tcBorders>
                    <w:tl2br w:val="nil"/>
                    <w:tr2bl w:val="nil"/>
                  </w:tcBorders>
                  <w:noWrap/>
                  <w:vAlign w:val="center"/>
                </w:tcPr>
                <w:p>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要求</w:t>
                  </w:r>
                </w:p>
              </w:tc>
              <w:tc>
                <w:tcPr>
                  <w:tcW w:w="1386" w:type="pct"/>
                  <w:tcBorders>
                    <w:tl2br w:val="nil"/>
                    <w:tr2bl w:val="nil"/>
                  </w:tcBorders>
                  <w:noWrap/>
                  <w:vAlign w:val="center"/>
                </w:tcPr>
                <w:p>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本项目情况</w:t>
                  </w:r>
                </w:p>
              </w:tc>
              <w:tc>
                <w:tcPr>
                  <w:tcW w:w="278" w:type="pct"/>
                  <w:tcBorders>
                    <w:tl2br w:val="nil"/>
                    <w:tr2bl w:val="nil"/>
                  </w:tcBorders>
                  <w:noWrap/>
                  <w:vAlign w:val="center"/>
                </w:tcPr>
                <w:p>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w:t>
                  </w:r>
                </w:p>
              </w:tc>
              <w:tc>
                <w:tcPr>
                  <w:tcW w:w="793" w:type="pct"/>
                  <w:tcBorders>
                    <w:tl2br w:val="nil"/>
                    <w:tr2bl w:val="nil"/>
                  </w:tcBorders>
                  <w:noWrap/>
                  <w:vAlign w:val="center"/>
                </w:tcPr>
                <w:p>
                  <w:pPr>
                    <w:adjustRightInd w:val="0"/>
                    <w:snapToGrid w:val="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《江苏省挥发性有机物清洁原料替代工作方案》（苏大气办</w:t>
                  </w:r>
                  <w:r>
                    <w:rPr>
                      <w:rFonts w:hint="eastAsia" w:cs="Times New Roman"/>
                      <w:color w:val="auto"/>
                      <w:kern w:val="0"/>
                      <w:sz w:val="21"/>
                      <w:szCs w:val="21"/>
                      <w:lang w:eastAsia="zh-CN"/>
                    </w:rPr>
                    <w:t>〔2021〕2号</w:t>
                  </w:r>
                  <w:r>
                    <w:rPr>
                      <w:rFonts w:hint="eastAsia" w:ascii="Times New Roman" w:hAnsi="Times New Roman" w:cs="Times New Roman"/>
                      <w:color w:val="auto"/>
                      <w:kern w:val="0"/>
                      <w:sz w:val="21"/>
                      <w:szCs w:val="21"/>
                    </w:rPr>
                    <w:t>）</w:t>
                  </w:r>
                </w:p>
              </w:tc>
              <w:tc>
                <w:tcPr>
                  <w:tcW w:w="2312"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一、明确替代要求：以工业涂装、包装印 刷、木材加工、纺织等行业为重点，分阶段推进清洁原料替代工作。实施替代 的企业要使用符合《低挥发性有机化合物含量涂料产品技术要求》 （GB/T38597-2020）规定的粉末、水性、无溶剂、辐射固化涂料产品；符合《清 洗剂挥发性有机化合物含量限值》（GB38508-2020）规定的水基、半水基清洗 剂产品；若确实无法达到上述要求，应提供相应的论证说明，相关涂料、油墨、 清洗剂、胶黏剂等产品应符合相关标准中VOCs含量的限值要求。二、严格准 入条件：禁止建设生产和使用高VOCs含量的涂料、油墨、胶黏剂等项目。</w:t>
                  </w:r>
                </w:p>
              </w:tc>
              <w:tc>
                <w:tcPr>
                  <w:tcW w:w="1386"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因客户对产品防腐的要求，需使用高固份漆进行喷涂， 原料暂不可替代（不可替代说明见附件1</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；本项目</w:t>
                  </w:r>
                  <w:r>
                    <w:t>使用的高固份油漆符合《低挥发性有机化合物含量涂料产品技术要求》（GB/T38597-2020）要求</w:t>
                  </w:r>
                  <w:r>
                    <w:rPr>
                      <w:rFonts w:hint="default" w:ascii="Times New Roman" w:hAnsi="Times New Roman" w:eastAsia="宋体" w:cs="Times New Roman"/>
                      <w:color w:val="auto"/>
                      <w:sz w:val="21"/>
                      <w:szCs w:val="21"/>
                      <w:lang w:val="en-US" w:eastAsia="zh-CN"/>
                    </w:rPr>
                    <w:t>。</w:t>
                  </w:r>
                </w:p>
              </w:tc>
              <w:tc>
                <w:tcPr>
                  <w:tcW w:w="278"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p>
              </w:tc>
              <w:tc>
                <w:tcPr>
                  <w:tcW w:w="793" w:type="pct"/>
                  <w:tcBorders>
                    <w:tl2br w:val="nil"/>
                    <w:tr2bl w:val="nil"/>
                  </w:tcBorders>
                  <w:noWrap/>
                  <w:vAlign w:val="center"/>
                </w:tcPr>
                <w:p>
                  <w:pPr>
                    <w:adjustRightInd w:val="0"/>
                    <w:snapToGrid w:val="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rPr>
                    <w:t>关于印发江苏省2020年挥发性有机物专项治理工作方案的通知》（苏环办</w:t>
                  </w:r>
                  <w:r>
                    <w:rPr>
                      <w:rFonts w:hint="eastAsia" w:cs="Times New Roman"/>
                      <w:color w:val="auto"/>
                      <w:kern w:val="0"/>
                      <w:sz w:val="21"/>
                      <w:szCs w:val="21"/>
                      <w:lang w:eastAsia="zh-CN"/>
                    </w:rPr>
                    <w:t>〔2020〕2号</w:t>
                  </w:r>
                  <w:r>
                    <w:rPr>
                      <w:rFonts w:hint="eastAsia" w:ascii="Times New Roman" w:hAnsi="Times New Roman" w:cs="Times New Roman"/>
                      <w:color w:val="auto"/>
                      <w:kern w:val="0"/>
                      <w:sz w:val="21"/>
                      <w:szCs w:val="21"/>
                    </w:rPr>
                    <w:t>）</w:t>
                  </w:r>
                </w:p>
              </w:tc>
              <w:tc>
                <w:tcPr>
                  <w:tcW w:w="2312" w:type="pct"/>
                  <w:tcBorders>
                    <w:tl2br w:val="nil"/>
                    <w:tr2bl w:val="nil"/>
                  </w:tcBorders>
                  <w:noWrap/>
                  <w:vAlign w:val="center"/>
                </w:tcPr>
                <w:p>
                  <w:pPr>
                    <w:adjustRightInd w:val="0"/>
                    <w:snapToGrid w:val="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大力推进源头替代。禁止建设</w:t>
                  </w:r>
                  <w:bookmarkStart w:id="9" w:name="OLE_LINK16"/>
                  <w:r>
                    <w:rPr>
                      <w:rFonts w:hint="eastAsia" w:ascii="Times New Roman" w:hAnsi="Times New Roman" w:cs="Times New Roman"/>
                      <w:color w:val="auto"/>
                      <w:sz w:val="21"/>
                      <w:szCs w:val="21"/>
                    </w:rPr>
                    <w:t>生产和使用高VOCs含量的溶剂型涂料、油墨、胶粘剂等项目</w:t>
                  </w:r>
                  <w:bookmarkEnd w:id="9"/>
                  <w:r>
                    <w:rPr>
                      <w:rFonts w:hint="eastAsia" w:ascii="Times New Roman" w:hAnsi="Times New Roman" w:cs="Times New Roman"/>
                      <w:color w:val="auto"/>
                      <w:sz w:val="21"/>
                      <w:szCs w:val="21"/>
                    </w:rPr>
                    <w:t>。各地要结合实际，加快化工、工业涂装、包装印刷等重点行业低VOCs含量源头替代进度。工业涂装行业重点加快使用粉末、水性、高固体分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辐射固化等低VOCs含量的涂料替代溶剂型涂 料，按照《涂料中挥发性有机物限量》中VOCs 含量限值要求，尽快完成涂装行业低VOCs含量涂料替代，对有机溶剂年用量小于10吨且无法完 成替代的企业实施兼并重组、关停转移。</w:t>
                  </w:r>
                </w:p>
              </w:tc>
              <w:tc>
                <w:tcPr>
                  <w:tcW w:w="1386" w:type="pct"/>
                  <w:tcBorders>
                    <w:tl2br w:val="nil"/>
                    <w:tr2bl w:val="nil"/>
                  </w:tcBorders>
                  <w:noWrap/>
                  <w:vAlign w:val="center"/>
                </w:tcPr>
                <w:p>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w:t>
                  </w:r>
                  <w:r>
                    <w:rPr>
                      <w:rFonts w:hint="eastAsia" w:ascii="Times New Roman" w:hAnsi="Times New Roman" w:cs="Times New Roman"/>
                      <w:color w:val="auto"/>
                      <w:sz w:val="21"/>
                      <w:szCs w:val="21"/>
                    </w:rPr>
                    <w:t>生产和使用高VOCs含量的溶剂型涂料、油墨、胶粘剂</w:t>
                  </w:r>
                  <w:r>
                    <w:rPr>
                      <w:rFonts w:hint="eastAsia" w:ascii="Times New Roman" w:hAnsi="Times New Roman" w:cs="Times New Roman"/>
                      <w:color w:val="auto"/>
                      <w:sz w:val="21"/>
                      <w:szCs w:val="21"/>
                      <w:lang w:val="en-US" w:eastAsia="zh-CN"/>
                    </w:rPr>
                    <w:t>的</w:t>
                  </w:r>
                  <w:r>
                    <w:rPr>
                      <w:rFonts w:hint="eastAsia" w:ascii="Times New Roman" w:hAnsi="Times New Roman" w:cs="Times New Roman"/>
                      <w:color w:val="auto"/>
                      <w:sz w:val="21"/>
                      <w:szCs w:val="21"/>
                    </w:rPr>
                    <w:t>项目</w:t>
                  </w:r>
                </w:p>
              </w:tc>
              <w:tc>
                <w:tcPr>
                  <w:tcW w:w="278"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3</w:t>
                  </w:r>
                </w:p>
              </w:tc>
              <w:tc>
                <w:tcPr>
                  <w:tcW w:w="793" w:type="pct"/>
                  <w:tcBorders>
                    <w:tl2br w:val="nil"/>
                    <w:tr2bl w:val="nil"/>
                  </w:tcBorders>
                  <w:noWrap/>
                  <w:vAlign w:val="center"/>
                </w:tcPr>
                <w:p>
                  <w:pPr>
                    <w:adjustRightInd w:val="0"/>
                    <w:snapToGrid w:val="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《江苏省挥发性有机物污染防治管理办法》（江苏省人民政府令第119号）</w:t>
                  </w:r>
                </w:p>
              </w:tc>
              <w:tc>
                <w:tcPr>
                  <w:tcW w:w="2312" w:type="pct"/>
                  <w:tcBorders>
                    <w:tl2br w:val="nil"/>
                    <w:tr2bl w:val="nil"/>
                  </w:tcBorders>
                  <w:noWrap/>
                  <w:vAlign w:val="center"/>
                </w:tcPr>
                <w:p>
                  <w:pPr>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w:t>
                  </w:r>
                  <w:r>
                    <w:rPr>
                      <w:rFonts w:hint="eastAsia" w:ascii="Times New Roman" w:hAnsi="Times New Roman" w:cs="Times New Roman"/>
                      <w:color w:val="auto"/>
                      <w:sz w:val="21"/>
                      <w:szCs w:val="21"/>
                      <w:lang w:val="en-US" w:eastAsia="zh-CN"/>
                    </w:rPr>
                    <w:t>求</w:t>
                  </w:r>
                  <w:r>
                    <w:rPr>
                      <w:rFonts w:hint="eastAsia" w:ascii="Times New Roman" w:hAnsi="Times New Roman" w:cs="Times New Roman"/>
                      <w:color w:val="auto"/>
                      <w:sz w:val="21"/>
                      <w:szCs w:val="21"/>
                    </w:rPr>
                    <w:t>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386"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喷漆晾干废气</w:t>
                  </w:r>
                  <w:r>
                    <w:rPr>
                      <w:rFonts w:hint="default" w:ascii="Times New Roman" w:hAnsi="Times New Roman" w:eastAsia="宋体" w:cs="Times New Roman"/>
                      <w:color w:val="auto"/>
                      <w:sz w:val="21"/>
                      <w:szCs w:val="21"/>
                      <w:lang w:val="en-US" w:eastAsia="zh-CN"/>
                    </w:rPr>
                    <w:t>经密闭空间-负压收集后由</w:t>
                  </w:r>
                  <w:r>
                    <w:rPr>
                      <w:rFonts w:hint="eastAsia" w:cs="Times New Roman"/>
                      <w:color w:val="auto"/>
                      <w:sz w:val="21"/>
                      <w:szCs w:val="21"/>
                      <w:lang w:val="en-US" w:eastAsia="zh-CN"/>
                    </w:rPr>
                    <w:t>多级过滤器</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三级</w:t>
                  </w:r>
                  <w:r>
                    <w:rPr>
                      <w:rFonts w:hint="default" w:ascii="Times New Roman" w:hAnsi="Times New Roman" w:eastAsia="宋体" w:cs="Times New Roman"/>
                      <w:color w:val="auto"/>
                      <w:sz w:val="21"/>
                      <w:szCs w:val="21"/>
                      <w:lang w:val="en-US" w:eastAsia="zh-CN"/>
                    </w:rPr>
                    <w:t>性炭吸附装置处理后通过15 m排气筒（DA001）排放</w:t>
                  </w:r>
                </w:p>
              </w:tc>
              <w:tc>
                <w:tcPr>
                  <w:tcW w:w="27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793" w:type="pct"/>
                  <w:tcBorders>
                    <w:tl2br w:val="nil"/>
                    <w:tr2bl w:val="nil"/>
                  </w:tcBorders>
                  <w:noWrap/>
                  <w:vAlign w:val="center"/>
                </w:tcPr>
                <w:p>
                  <w:pPr>
                    <w:adjustRightInd w:val="0"/>
                    <w:snapToGrid w:val="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《挥发性有机物（VOCs）污染防治技术政策》（环境保护部公告2013年第31号）</w:t>
                  </w:r>
                </w:p>
              </w:tc>
              <w:tc>
                <w:tcPr>
                  <w:tcW w:w="2312"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技术政策提出了生产VOCs物料和含VOCs产品的生产、储存运输销售、使用、消费各环节的污染防治策略和方法。VOCs来源广泛，主要污染源包括工业源、生活源。工业源主要包括石油炼制与石油化工、煤炭加工与转化等含VOCs原料的生产行业，油类（燃油、溶剂等）储存、运输和销售过程，涂料、油墨、胶粘剂、农药等以VOCs为原料的生产行业，涂装、印刷、粘合、工业清洗等含VOCs产品的使用过程；生活源包括建筑装饰装修、餐饮服务和服装干洗。</w:t>
                  </w:r>
                </w:p>
              </w:tc>
              <w:tc>
                <w:tcPr>
                  <w:tcW w:w="1386"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rPr>
                  </w:pPr>
                  <w:r>
                    <w:rPr>
                      <w:rFonts w:ascii="Times New Roman" w:hAnsi="Times New Roman"/>
                      <w:color w:val="auto"/>
                      <w:szCs w:val="21"/>
                    </w:rPr>
                    <w:t>本项目为</w:t>
                  </w:r>
                  <w:r>
                    <w:rPr>
                      <w:rFonts w:hint="eastAsia" w:ascii="Times New Roman" w:hAnsi="Times New Roman"/>
                      <w:color w:val="auto"/>
                      <w:szCs w:val="21"/>
                    </w:rPr>
                    <w:t>C</w:t>
                  </w:r>
                  <w:r>
                    <w:rPr>
                      <w:rFonts w:hint="eastAsia" w:ascii="Times New Roman" w:hAnsi="Times New Roman"/>
                      <w:color w:val="auto"/>
                      <w:szCs w:val="21"/>
                      <w:lang w:eastAsia="zh-CN"/>
                    </w:rPr>
                    <w:t>3484</w:t>
                  </w:r>
                  <w:r>
                    <w:rPr>
                      <w:rFonts w:hint="eastAsia" w:ascii="Times New Roman" w:hAnsi="Times New Roman"/>
                      <w:color w:val="auto"/>
                      <w:szCs w:val="21"/>
                    </w:rPr>
                    <w:t xml:space="preserve"> </w:t>
                  </w:r>
                  <w:r>
                    <w:rPr>
                      <w:rFonts w:hint="eastAsia" w:ascii="Times New Roman" w:hAnsi="Times New Roman"/>
                      <w:color w:val="auto"/>
                      <w:szCs w:val="21"/>
                      <w:lang w:eastAsia="zh-CN"/>
                    </w:rPr>
                    <w:t>机械零部件加工</w:t>
                  </w:r>
                  <w:r>
                    <w:rPr>
                      <w:rFonts w:hint="eastAsia" w:ascii="Times New Roman" w:hAnsi="Times New Roman"/>
                      <w:color w:val="auto"/>
                      <w:kern w:val="0"/>
                      <w:szCs w:val="21"/>
                      <w:lang w:eastAsia="zh-CN" w:bidi="ar"/>
                    </w:rPr>
                    <w:t>，</w:t>
                  </w:r>
                  <w:r>
                    <w:rPr>
                      <w:rFonts w:hint="eastAsia" w:ascii="Times New Roman" w:hAnsi="Times New Roman"/>
                      <w:color w:val="auto"/>
                      <w:kern w:val="0"/>
                      <w:szCs w:val="21"/>
                      <w:lang w:val="en-US" w:eastAsia="zh-CN" w:bidi="ar"/>
                    </w:rPr>
                    <w:t>不属于政策中提到的行业，本项目不</w:t>
                  </w:r>
                  <w:r>
                    <w:rPr>
                      <w:rFonts w:hint="eastAsia" w:ascii="Times New Roman" w:hAnsi="Times New Roman" w:cs="Times New Roman"/>
                      <w:color w:val="auto"/>
                      <w:sz w:val="21"/>
                      <w:szCs w:val="21"/>
                    </w:rPr>
                    <w:t>生产和使用高VOCs含量的溶剂型涂料、油墨、胶粘剂</w:t>
                  </w:r>
                </w:p>
              </w:tc>
              <w:tc>
                <w:tcPr>
                  <w:tcW w:w="278"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p>
              </w:tc>
              <w:tc>
                <w:tcPr>
                  <w:tcW w:w="793" w:type="pct"/>
                  <w:tcBorders>
                    <w:tl2br w:val="nil"/>
                    <w:tr2bl w:val="nil"/>
                  </w:tcBorders>
                  <w:noWrap/>
                  <w:vAlign w:val="center"/>
                </w:tcPr>
                <w:p>
                  <w:pPr>
                    <w:adjustRightInd w:val="0"/>
                    <w:snapToGrid w:val="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《2020年挥发性有机物治理攻坚方案》的通知（环大气</w:t>
                  </w:r>
                  <w:r>
                    <w:rPr>
                      <w:rFonts w:hint="eastAsia" w:cs="Times New Roman"/>
                      <w:color w:val="auto"/>
                      <w:kern w:val="0"/>
                      <w:sz w:val="21"/>
                      <w:szCs w:val="21"/>
                      <w:lang w:eastAsia="zh-CN"/>
                    </w:rPr>
                    <w:t>〔2020〕33号</w:t>
                  </w:r>
                  <w:r>
                    <w:rPr>
                      <w:rFonts w:hint="eastAsia" w:ascii="Times New Roman" w:hAnsi="Times New Roman" w:cs="Times New Roman"/>
                      <w:color w:val="auto"/>
                      <w:kern w:val="0"/>
                      <w:sz w:val="21"/>
                      <w:szCs w:val="21"/>
                    </w:rPr>
                    <w:t>）</w:t>
                  </w:r>
                </w:p>
              </w:tc>
              <w:tc>
                <w:tcPr>
                  <w:tcW w:w="2312" w:type="pct"/>
                  <w:tcBorders>
                    <w:tl2br w:val="nil"/>
                    <w:tr2bl w:val="nil"/>
                  </w:tcBorders>
                  <w:noWrap/>
                  <w:vAlign w:val="center"/>
                </w:tcPr>
                <w:p>
                  <w:pPr>
                    <w:adjustRightInd w:val="0"/>
                    <w:snapToGrid w:val="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 进政府绿色采购，要求家具、印刷等政府定点招标采购企业优先使用低挥发性原辅材料，鼓励 汽车维修等政府定点招标采购企业使用低挥发性原辅材料；将低VOCs含量产品纳入政府采购 名录，并在政府投资项目中优先使用；引导将使用低VOCs含量涂料、胶粘剂等纳入政府采购 装修合同环保条款。</w:t>
                  </w:r>
                </w:p>
              </w:tc>
              <w:tc>
                <w:tcPr>
                  <w:tcW w:w="1386"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ascii="Times New Roman" w:hAnsi="Times New Roman"/>
                      <w:color w:val="auto"/>
                      <w:szCs w:val="21"/>
                    </w:rPr>
                    <w:t>本项目为</w:t>
                  </w:r>
                  <w:bookmarkStart w:id="10" w:name="OLE_LINK6"/>
                  <w:r>
                    <w:rPr>
                      <w:rFonts w:hint="eastAsia" w:ascii="Times New Roman" w:hAnsi="Times New Roman"/>
                      <w:color w:val="auto"/>
                      <w:szCs w:val="21"/>
                    </w:rPr>
                    <w:t>C</w:t>
                  </w:r>
                  <w:r>
                    <w:rPr>
                      <w:rFonts w:hint="eastAsia" w:ascii="Times New Roman" w:hAnsi="Times New Roman"/>
                      <w:color w:val="auto"/>
                      <w:szCs w:val="21"/>
                      <w:lang w:eastAsia="zh-CN"/>
                    </w:rPr>
                    <w:t>3484</w:t>
                  </w:r>
                  <w:r>
                    <w:rPr>
                      <w:rFonts w:hint="eastAsia" w:ascii="Times New Roman" w:hAnsi="Times New Roman"/>
                      <w:color w:val="auto"/>
                      <w:szCs w:val="21"/>
                    </w:rPr>
                    <w:t xml:space="preserve"> </w:t>
                  </w:r>
                  <w:r>
                    <w:rPr>
                      <w:rFonts w:hint="eastAsia" w:ascii="Times New Roman" w:hAnsi="Times New Roman"/>
                      <w:color w:val="auto"/>
                      <w:szCs w:val="21"/>
                      <w:lang w:eastAsia="zh-CN"/>
                    </w:rPr>
                    <w:t>机械零部件加工</w:t>
                  </w:r>
                  <w:bookmarkEnd w:id="10"/>
                  <w:r>
                    <w:rPr>
                      <w:rFonts w:ascii="Times New Roman" w:hAnsi="Times New Roman"/>
                      <w:color w:val="auto"/>
                      <w:szCs w:val="21"/>
                    </w:rPr>
                    <w:t>，本项目不使用高挥发性有机物原辅材料</w:t>
                  </w:r>
                  <w:r>
                    <w:rPr>
                      <w:rFonts w:hint="eastAsia" w:ascii="Times New Roman" w:hAnsi="Times New Roman"/>
                      <w:color w:val="auto"/>
                      <w:szCs w:val="21"/>
                      <w:lang w:eastAsia="zh-CN"/>
                    </w:rPr>
                    <w:t>，</w:t>
                  </w:r>
                  <w:r>
                    <w:rPr>
                      <w:rFonts w:hint="eastAsia" w:ascii="Times New Roman" w:hAnsi="Times New Roman" w:cs="Times New Roman"/>
                      <w:color w:val="auto"/>
                      <w:sz w:val="21"/>
                      <w:szCs w:val="21"/>
                      <w:lang w:val="en-US" w:eastAsia="zh-CN"/>
                    </w:rPr>
                    <w:t>且不属于</w:t>
                  </w:r>
                  <w:r>
                    <w:rPr>
                      <w:rFonts w:hint="eastAsia" w:ascii="Times New Roman" w:hAnsi="Times New Roman" w:cs="Times New Roman"/>
                      <w:color w:val="auto"/>
                      <w:sz w:val="21"/>
                      <w:szCs w:val="21"/>
                    </w:rPr>
                    <w:t>生产和使用高VOCs含量的溶剂型涂料、油墨、胶粘剂</w:t>
                  </w:r>
                  <w:r>
                    <w:rPr>
                      <w:rFonts w:hint="eastAsia" w:ascii="Times New Roman" w:hAnsi="Times New Roman" w:cs="Times New Roman"/>
                      <w:color w:val="auto"/>
                      <w:sz w:val="21"/>
                      <w:szCs w:val="21"/>
                      <w:lang w:val="en-US" w:eastAsia="zh-CN"/>
                    </w:rPr>
                    <w:t>的</w:t>
                  </w:r>
                  <w:r>
                    <w:rPr>
                      <w:rFonts w:hint="eastAsia" w:ascii="Times New Roman" w:hAnsi="Times New Roman" w:cs="Times New Roman"/>
                      <w:color w:val="auto"/>
                      <w:sz w:val="21"/>
                      <w:szCs w:val="21"/>
                    </w:rPr>
                    <w:t>项目</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项目开始生产后，按要求建立原辅材料台账，记录VOCs原辅材料名称、成分、VOCs含量、采购量、使用量、库存量、回收方式、回收量等信息，</w:t>
                  </w:r>
                  <w:r>
                    <w:rPr>
                      <w:rFonts w:hint="eastAsia" w:ascii="Times New Roman" w:hAnsi="Times New Roman" w:cs="Times New Roman"/>
                      <w:color w:val="auto"/>
                      <w:sz w:val="21"/>
                      <w:szCs w:val="21"/>
                    </w:rPr>
                    <w:t>并保存相关证明材料</w:t>
                  </w:r>
                  <w:r>
                    <w:rPr>
                      <w:rFonts w:hint="eastAsia" w:ascii="Times New Roman" w:hAnsi="Times New Roman" w:cs="Times New Roman"/>
                      <w:color w:val="auto"/>
                      <w:sz w:val="21"/>
                      <w:szCs w:val="21"/>
                      <w:lang w:eastAsia="zh-CN"/>
                    </w:rPr>
                    <w:t>；本</w:t>
                  </w:r>
                  <w:r>
                    <w:rPr>
                      <w:rFonts w:hint="eastAsia" w:ascii="Times New Roman" w:hAnsi="Times New Roman" w:cs="Times New Roman"/>
                      <w:color w:val="auto"/>
                      <w:sz w:val="21"/>
                      <w:szCs w:val="21"/>
                      <w:lang w:val="en-US" w:eastAsia="zh-CN"/>
                    </w:rPr>
                    <w:t>项目</w:t>
                  </w:r>
                  <w:r>
                    <w:rPr>
                      <w:rFonts w:hint="eastAsia" w:ascii="Times New Roman" w:hAnsi="Times New Roman" w:cs="Times New Roman"/>
                      <w:color w:val="auto"/>
                      <w:sz w:val="21"/>
                      <w:szCs w:val="21"/>
                      <w:lang w:eastAsia="zh-CN"/>
                    </w:rPr>
                    <w:t>产生的</w:t>
                  </w:r>
                  <w:r>
                    <w:rPr>
                      <w:rFonts w:hint="eastAsia" w:cs="Times New Roman"/>
                      <w:color w:val="auto"/>
                      <w:sz w:val="21"/>
                      <w:szCs w:val="21"/>
                      <w:lang w:val="en-US" w:eastAsia="zh-CN"/>
                    </w:rPr>
                    <w:t>喷漆晾干废气</w:t>
                  </w:r>
                  <w:r>
                    <w:rPr>
                      <w:rFonts w:hint="default" w:ascii="Times New Roman" w:hAnsi="Times New Roman" w:eastAsia="宋体" w:cs="Times New Roman"/>
                      <w:color w:val="auto"/>
                      <w:sz w:val="21"/>
                      <w:szCs w:val="21"/>
                      <w:lang w:val="en-US" w:eastAsia="zh-CN"/>
                    </w:rPr>
                    <w:t>经密闭空间-负压收集后由</w:t>
                  </w:r>
                  <w:r>
                    <w:rPr>
                      <w:rFonts w:hint="eastAsia" w:cs="Times New Roman"/>
                      <w:color w:val="auto"/>
                      <w:sz w:val="21"/>
                      <w:szCs w:val="21"/>
                      <w:lang w:val="en-US" w:eastAsia="zh-CN"/>
                    </w:rPr>
                    <w:t>多级过滤器</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三级</w:t>
                  </w:r>
                  <w:r>
                    <w:rPr>
                      <w:rFonts w:hint="default" w:ascii="Times New Roman" w:hAnsi="Times New Roman" w:eastAsia="宋体" w:cs="Times New Roman"/>
                      <w:color w:val="auto"/>
                      <w:sz w:val="21"/>
                      <w:szCs w:val="21"/>
                      <w:lang w:val="en-US" w:eastAsia="zh-CN"/>
                    </w:rPr>
                    <w:t>活性炭吸附装置处理后通过15 m排气筒（DA001）排放</w:t>
                  </w:r>
                </w:p>
              </w:tc>
              <w:tc>
                <w:tcPr>
                  <w:tcW w:w="278"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793"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《江苏省重点行业挥发性有机物污染控制指南》（苏环办</w:t>
                  </w:r>
                  <w:r>
                    <w:rPr>
                      <w:rFonts w:hint="eastAsia" w:cs="Times New Roman"/>
                      <w:color w:val="auto"/>
                      <w:kern w:val="0"/>
                      <w:sz w:val="21"/>
                      <w:szCs w:val="21"/>
                      <w:lang w:eastAsia="zh-CN"/>
                    </w:rPr>
                    <w:t>〔2014〕128号</w:t>
                  </w:r>
                  <w:r>
                    <w:rPr>
                      <w:rFonts w:hint="default" w:ascii="Times New Roman" w:hAnsi="Times New Roman" w:cs="Times New Roman"/>
                      <w:color w:val="auto"/>
                      <w:kern w:val="0"/>
                      <w:sz w:val="21"/>
                      <w:szCs w:val="21"/>
                    </w:rPr>
                    <w:t>）</w:t>
                  </w:r>
                </w:p>
              </w:tc>
              <w:tc>
                <w:tcPr>
                  <w:tcW w:w="2312" w:type="pct"/>
                  <w:tcBorders>
                    <w:tl2br w:val="nil"/>
                    <w:tr2bl w:val="nil"/>
                  </w:tcBorders>
                  <w:noWrap/>
                  <w:vAlign w:val="center"/>
                </w:tcPr>
                <w:p>
                  <w:pPr>
                    <w:adjustRightInd w:val="0"/>
                    <w:snapToGrid w:val="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所有产生有机废气污染的企业，应优先采用环保型原辅材料、生产工艺和设备，对应生产单元或设施进行密闭，从源头控制VOCs的产生，减少废气污染物排放”以及“有机化学、医药化工、橡胶和塑料制品（有溶剂浸胶工艺）、溶剂型涂料表面涂装、包装印刷业的VOCs总收集、净化处理效率均不低于90%，其他行业原则上</w:t>
                  </w:r>
                  <w:r>
                    <w:rPr>
                      <w:rFonts w:hint="eastAsia" w:ascii="Times New Roman" w:hAnsi="Times New Roman" w:cs="Times New Roman"/>
                      <w:color w:val="auto"/>
                      <w:kern w:val="0"/>
                      <w:sz w:val="21"/>
                      <w:szCs w:val="21"/>
                      <w:lang w:val="en-US" w:eastAsia="zh-CN"/>
                    </w:rPr>
                    <w:t>不</w:t>
                  </w:r>
                  <w:r>
                    <w:rPr>
                      <w:rFonts w:hint="eastAsia" w:ascii="Times New Roman" w:hAnsi="Times New Roman" w:cs="Times New Roman"/>
                      <w:color w:val="auto"/>
                      <w:kern w:val="0"/>
                      <w:sz w:val="21"/>
                      <w:szCs w:val="21"/>
                    </w:rPr>
                    <w:t>低于75%</w:t>
                  </w:r>
                </w:p>
              </w:tc>
              <w:tc>
                <w:tcPr>
                  <w:tcW w:w="1386"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本项目通过对生产设备在车间的合理布局，提高废气收集效率</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收集效率达90%，</w:t>
                  </w:r>
                  <w:r>
                    <w:rPr>
                      <w:rFonts w:hint="eastAsia" w:cs="Times New Roman"/>
                      <w:color w:val="auto"/>
                      <w:sz w:val="21"/>
                      <w:szCs w:val="21"/>
                      <w:lang w:val="en-US" w:eastAsia="zh-CN"/>
                    </w:rPr>
                    <w:t>喷漆晾干废气</w:t>
                  </w:r>
                  <w:r>
                    <w:rPr>
                      <w:rFonts w:hint="default" w:ascii="Times New Roman" w:hAnsi="Times New Roman" w:eastAsia="宋体" w:cs="Times New Roman"/>
                      <w:color w:val="auto"/>
                      <w:sz w:val="21"/>
                      <w:szCs w:val="21"/>
                      <w:lang w:val="en-US" w:eastAsia="zh-CN"/>
                    </w:rPr>
                    <w:t>经密闭空间-负压收集后由</w:t>
                  </w:r>
                  <w:r>
                    <w:rPr>
                      <w:rFonts w:hint="eastAsia" w:cs="Times New Roman"/>
                      <w:color w:val="auto"/>
                      <w:sz w:val="21"/>
                      <w:szCs w:val="21"/>
                      <w:lang w:val="en-US" w:eastAsia="zh-CN"/>
                    </w:rPr>
                    <w:t>多级过滤器</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三级</w:t>
                  </w:r>
                  <w:r>
                    <w:rPr>
                      <w:rFonts w:hint="default" w:ascii="Times New Roman" w:hAnsi="Times New Roman" w:eastAsia="宋体" w:cs="Times New Roman"/>
                      <w:color w:val="auto"/>
                      <w:sz w:val="21"/>
                      <w:szCs w:val="21"/>
                      <w:lang w:val="en-US" w:eastAsia="zh-CN"/>
                    </w:rPr>
                    <w:t>活性炭吸附装置处理后通过15 m排气筒（DA001）排放</w:t>
                  </w:r>
                  <w:r>
                    <w:rPr>
                      <w:rFonts w:hint="eastAsia" w:ascii="Times New Roman" w:hAnsi="Times New Roman" w:cs="Times New Roman"/>
                      <w:color w:val="auto"/>
                      <w:sz w:val="21"/>
                      <w:szCs w:val="21"/>
                      <w:lang w:val="en-US" w:eastAsia="zh-CN"/>
                    </w:rPr>
                    <w:t>，二级活性炭治理效率可达90%</w:t>
                  </w:r>
                </w:p>
              </w:tc>
              <w:tc>
                <w:tcPr>
                  <w:tcW w:w="278"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9" w:type="pct"/>
                  <w:vMerge w:val="restart"/>
                  <w:tcBorders>
                    <w:tl2br w:val="nil"/>
                    <w:tr2bl w:val="nil"/>
                  </w:tcBorders>
                  <w:noWrap/>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793" w:type="pct"/>
                  <w:vMerge w:val="restar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《省生态环境厅关于深入开展涉VOCs治理重点工作核查的通知》（苏环办</w:t>
                  </w:r>
                  <w:r>
                    <w:rPr>
                      <w:rFonts w:hint="eastAsia" w:cs="Times New Roman"/>
                      <w:color w:val="auto"/>
                      <w:kern w:val="0"/>
                      <w:sz w:val="21"/>
                      <w:szCs w:val="21"/>
                      <w:lang w:eastAsia="zh-CN"/>
                    </w:rPr>
                    <w:t>〔2022〕218号</w:t>
                  </w:r>
                  <w:r>
                    <w:rPr>
                      <w:rFonts w:hint="default" w:ascii="Times New Roman" w:hAnsi="Times New Roman" w:cs="Times New Roman"/>
                      <w:color w:val="auto"/>
                      <w:kern w:val="0"/>
                      <w:sz w:val="21"/>
                      <w:szCs w:val="21"/>
                    </w:rPr>
                    <w:t>文）</w:t>
                  </w:r>
                </w:p>
              </w:tc>
              <w:tc>
                <w:tcPr>
                  <w:tcW w:w="2312" w:type="pct"/>
                  <w:tcBorders>
                    <w:tl2br w:val="nil"/>
                    <w:tr2bl w:val="nil"/>
                  </w:tcBorders>
                  <w:noWrap/>
                  <w:vAlign w:val="center"/>
                </w:tcPr>
                <w:p>
                  <w:pPr>
                    <w:spacing w:line="32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Ansi="宋体"/>
                      <w:color w:val="000000"/>
                      <w:sz w:val="21"/>
                      <w:szCs w:val="21"/>
                    </w:rPr>
                    <w:t>设计风量</w:t>
                  </w:r>
                  <w:r>
                    <w:rPr>
                      <w:rFonts w:hint="eastAsia" w:hAnsi="宋体"/>
                      <w:color w:val="000000"/>
                      <w:sz w:val="21"/>
                      <w:szCs w:val="21"/>
                      <w:lang w:eastAsia="zh-CN"/>
                    </w:rPr>
                    <w:t>：</w:t>
                  </w:r>
                  <w:r>
                    <w:rPr>
                      <w:rFonts w:hAnsi="宋体"/>
                      <w:color w:val="000000"/>
                      <w:sz w:val="21"/>
                      <w:szCs w:val="21"/>
                    </w:rPr>
                    <w:t>涉</w:t>
                  </w:r>
                  <w:r>
                    <w:rPr>
                      <w:color w:val="000000"/>
                      <w:sz w:val="21"/>
                      <w:szCs w:val="21"/>
                    </w:rPr>
                    <w:t>VOCs</w:t>
                  </w:r>
                  <w:r>
                    <w:rPr>
                      <w:rFonts w:hAnsi="宋体"/>
                      <w:color w:val="000000"/>
                      <w:sz w:val="21"/>
                      <w:szCs w:val="21"/>
                    </w:rPr>
                    <w:t>排放工序应在密闭空间中操作或采用全密闭集气罩收集，无法密闭采用局部集气罩的，应根据废气排放特点合理选择收集点位，按《排风罩的分类和技术条件》</w:t>
                  </w:r>
                  <w:r>
                    <w:rPr>
                      <w:rFonts w:hint="eastAsia" w:hAnsi="宋体"/>
                      <w:color w:val="000000"/>
                      <w:sz w:val="21"/>
                      <w:szCs w:val="21"/>
                      <w:lang w:eastAsia="zh-CN"/>
                    </w:rPr>
                    <w:t>（</w:t>
                  </w:r>
                  <w:r>
                    <w:rPr>
                      <w:color w:val="000000"/>
                      <w:sz w:val="21"/>
                      <w:szCs w:val="21"/>
                    </w:rPr>
                    <w:t>GB/T16758</w:t>
                  </w:r>
                  <w:r>
                    <w:rPr>
                      <w:rFonts w:hint="eastAsia"/>
                      <w:color w:val="000000"/>
                      <w:sz w:val="21"/>
                      <w:szCs w:val="21"/>
                      <w:lang w:eastAsia="zh-CN"/>
                    </w:rPr>
                    <w:t>）</w:t>
                  </w:r>
                  <w:r>
                    <w:rPr>
                      <w:rFonts w:hAnsi="宋体"/>
                      <w:color w:val="000000"/>
                      <w:sz w:val="21"/>
                      <w:szCs w:val="21"/>
                    </w:rPr>
                    <w:t>规定，设置能有效收集废气的集气罩，距集气罩开口面最远处的</w:t>
                  </w:r>
                  <w:r>
                    <w:rPr>
                      <w:color w:val="000000"/>
                      <w:sz w:val="21"/>
                      <w:szCs w:val="21"/>
                    </w:rPr>
                    <w:t>VOCs</w:t>
                  </w:r>
                  <w:r>
                    <w:rPr>
                      <w:rFonts w:hAnsi="宋体"/>
                      <w:color w:val="000000"/>
                      <w:sz w:val="21"/>
                      <w:szCs w:val="21"/>
                    </w:rPr>
                    <w:t>无组织排放位置，控制风速不低于</w:t>
                  </w:r>
                  <w:r>
                    <w:rPr>
                      <w:color w:val="000000"/>
                      <w:sz w:val="21"/>
                      <w:szCs w:val="21"/>
                    </w:rPr>
                    <w:t>0.3</w:t>
                  </w:r>
                  <w:r>
                    <w:rPr>
                      <w:rFonts w:hAnsi="宋体"/>
                      <w:color w:val="000000"/>
                      <w:sz w:val="21"/>
                      <w:szCs w:val="21"/>
                    </w:rPr>
                    <w:t>米</w:t>
                  </w:r>
                  <w:r>
                    <w:rPr>
                      <w:color w:val="000000"/>
                      <w:sz w:val="21"/>
                      <w:szCs w:val="21"/>
                    </w:rPr>
                    <w:t>/</w:t>
                  </w:r>
                  <w:r>
                    <w:rPr>
                      <w:rFonts w:hAnsi="宋体"/>
                      <w:color w:val="000000"/>
                      <w:sz w:val="21"/>
                      <w:szCs w:val="21"/>
                    </w:rPr>
                    <w:t>秒。活性炭吸附装置风机应满足依据车间集气罩形状、大小数量及控制风速等测算的风量所需，达不到要求的通过更换大功率风机、增设烟道风机、增加垂帘等方式进行改造。</w:t>
                  </w:r>
                </w:p>
              </w:tc>
              <w:tc>
                <w:tcPr>
                  <w:tcW w:w="1386" w:type="pct"/>
                  <w:tcBorders>
                    <w:tl2br w:val="nil"/>
                    <w:tr2bl w:val="nil"/>
                  </w:tcBorders>
                  <w:noWrap/>
                  <w:vAlign w:val="center"/>
                </w:tcPr>
                <w:p>
                  <w:pPr>
                    <w:spacing w:line="320" w:lineRule="exact"/>
                    <w:ind w:firstLine="0" w:firstLineChars="0"/>
                    <w:jc w:val="center"/>
                    <w:rPr>
                      <w:rFonts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本项目喷漆、晾干废气密闭负压收集</w:t>
                  </w:r>
                  <w:r>
                    <w:rPr>
                      <w:color w:val="000000"/>
                      <w:sz w:val="21"/>
                      <w:szCs w:val="21"/>
                    </w:rPr>
                    <w:t>。</w:t>
                  </w:r>
                  <w:r>
                    <w:rPr>
                      <w:rFonts w:hAnsi="宋体"/>
                      <w:color w:val="000000"/>
                      <w:sz w:val="21"/>
                      <w:szCs w:val="21"/>
                    </w:rPr>
                    <w:t>活性炭吸附装置</w:t>
                  </w:r>
                  <w:r>
                    <w:rPr>
                      <w:rFonts w:hint="eastAsia" w:hAnsi="宋体"/>
                      <w:color w:val="000000"/>
                      <w:sz w:val="21"/>
                      <w:szCs w:val="21"/>
                    </w:rPr>
                    <w:t>风机安装依据</w:t>
                  </w:r>
                  <w:r>
                    <w:rPr>
                      <w:rFonts w:hAnsi="宋体"/>
                      <w:color w:val="000000"/>
                      <w:sz w:val="21"/>
                      <w:szCs w:val="21"/>
                    </w:rPr>
                    <w:t>测算的风量</w:t>
                  </w:r>
                  <w:r>
                    <w:rPr>
                      <w:rFonts w:hint="eastAsia" w:hAnsi="宋体"/>
                      <w:color w:val="000000"/>
                      <w:sz w:val="21"/>
                      <w:szCs w:val="21"/>
                      <w:lang w:eastAsia="zh-CN"/>
                    </w:rPr>
                    <w:t>进行设置</w:t>
                  </w:r>
                  <w:r>
                    <w:rPr>
                      <w:rFonts w:hint="eastAsia" w:hAnsi="宋体"/>
                      <w:color w:val="000000"/>
                      <w:sz w:val="21"/>
                      <w:szCs w:val="21"/>
                    </w:rPr>
                    <w:t>，满足要求。</w:t>
                  </w:r>
                </w:p>
              </w:tc>
              <w:tc>
                <w:tcPr>
                  <w:tcW w:w="278" w:type="pct"/>
                  <w:vMerge w:val="restar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9" w:type="pct"/>
                  <w:vMerge w:val="continue"/>
                  <w:tcBorders>
                    <w:tl2br w:val="nil"/>
                    <w:tr2bl w:val="nil"/>
                  </w:tcBorders>
                  <w:noWrap/>
                  <w:vAlign w:val="center"/>
                </w:tcPr>
                <w:p>
                  <w:pPr>
                    <w:pStyle w:val="7"/>
                    <w:spacing w:line="240" w:lineRule="auto"/>
                  </w:pPr>
                </w:p>
              </w:tc>
              <w:tc>
                <w:tcPr>
                  <w:tcW w:w="793" w:type="pct"/>
                  <w:vMerge w:val="continue"/>
                  <w:tcBorders>
                    <w:tl2br w:val="nil"/>
                    <w:tr2bl w:val="nil"/>
                  </w:tcBorders>
                  <w:noWrap/>
                  <w:vAlign w:val="center"/>
                </w:tcPr>
                <w:p>
                  <w:pPr>
                    <w:pStyle w:val="7"/>
                    <w:spacing w:line="240" w:lineRule="auto"/>
                  </w:pPr>
                </w:p>
              </w:tc>
              <w:tc>
                <w:tcPr>
                  <w:tcW w:w="2312"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Ansi="宋体"/>
                      <w:color w:val="000000"/>
                      <w:sz w:val="21"/>
                      <w:szCs w:val="21"/>
                    </w:rPr>
                    <w:t>设备质量</w:t>
                  </w:r>
                  <w:r>
                    <w:rPr>
                      <w:rFonts w:hint="eastAsia" w:hAnsi="宋体"/>
                      <w:color w:val="000000"/>
                      <w:sz w:val="21"/>
                      <w:szCs w:val="21"/>
                      <w:lang w:eastAsia="zh-CN"/>
                    </w:rPr>
                    <w:t>：</w:t>
                  </w:r>
                  <w:r>
                    <w:rPr>
                      <w:rFonts w:hAnsi="宋体"/>
                      <w:color w:val="000000"/>
                      <w:sz w:val="21"/>
                      <w:szCs w:val="21"/>
                    </w:rPr>
                    <w:t>无论是卧式活性炭罐还是箱式活性炭罐内部结构应设计合理（参见附件</w:t>
                  </w:r>
                  <w:r>
                    <w:rPr>
                      <w:color w:val="000000"/>
                      <w:sz w:val="21"/>
                      <w:szCs w:val="21"/>
                    </w:rPr>
                    <w:t>1</w:t>
                  </w:r>
                  <w:r>
                    <w:rPr>
                      <w:rFonts w:hAnsi="宋体"/>
                      <w:color w:val="000000"/>
                      <w:sz w:val="21"/>
                      <w:szCs w:val="21"/>
                    </w:rPr>
                    <w:t>），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w:t>
                  </w:r>
                  <w:r>
                    <w:rPr>
                      <w:color w:val="000000"/>
                      <w:sz w:val="21"/>
                      <w:szCs w:val="21"/>
                    </w:rPr>
                    <w:t>HJT</w:t>
                  </w:r>
                  <w:r>
                    <w:rPr>
                      <w:rFonts w:hint="eastAsia"/>
                      <w:color w:val="000000"/>
                      <w:sz w:val="21"/>
                      <w:szCs w:val="21"/>
                      <w:lang w:val="en-US" w:eastAsia="zh-CN"/>
                    </w:rPr>
                    <w:t xml:space="preserve"> </w:t>
                  </w:r>
                  <w:r>
                    <w:rPr>
                      <w:color w:val="000000"/>
                      <w:sz w:val="21"/>
                      <w:szCs w:val="21"/>
                    </w:rPr>
                    <w:t>3862007</w:t>
                  </w:r>
                  <w:r>
                    <w:rPr>
                      <w:rFonts w:hAnsi="宋体"/>
                      <w:color w:val="000000"/>
                      <w:sz w:val="21"/>
                      <w:szCs w:val="21"/>
                    </w:rPr>
                    <w:t>》的要求，便于日常监测活性炭吸附效率。根据活性炭更换周期及时更换活性炭，更换下来的活性炭按危险废物处理。采用活性炭吸附装置的企业应配备</w:t>
                  </w:r>
                  <w:r>
                    <w:rPr>
                      <w:color w:val="000000"/>
                      <w:sz w:val="21"/>
                      <w:szCs w:val="21"/>
                    </w:rPr>
                    <w:t>VOCs</w:t>
                  </w:r>
                  <w:r>
                    <w:rPr>
                      <w:rFonts w:hAnsi="宋体"/>
                      <w:color w:val="000000"/>
                      <w:sz w:val="21"/>
                      <w:szCs w:val="21"/>
                    </w:rPr>
                    <w:t>快速监测设备。</w:t>
                  </w:r>
                </w:p>
              </w:tc>
              <w:tc>
                <w:tcPr>
                  <w:tcW w:w="1386"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Ansi="宋体"/>
                      <w:color w:val="000000"/>
                      <w:sz w:val="21"/>
                      <w:szCs w:val="21"/>
                    </w:rPr>
                    <w:t>本项目</w:t>
                  </w:r>
                  <w:r>
                    <w:rPr>
                      <w:rFonts w:hint="eastAsia" w:hAnsi="宋体"/>
                      <w:color w:val="000000"/>
                      <w:sz w:val="21"/>
                      <w:szCs w:val="21"/>
                      <w:lang w:eastAsia="zh-CN"/>
                    </w:rPr>
                    <w:t>活性炭吸附装置安装完毕后，将按照</w:t>
                  </w:r>
                  <w:r>
                    <w:rPr>
                      <w:rFonts w:hAnsi="宋体"/>
                      <w:color w:val="000000"/>
                      <w:sz w:val="21"/>
                      <w:szCs w:val="21"/>
                    </w:rPr>
                    <w:t>《环境保护产品技术要求工业废气吸附净化装置HJT</w:t>
                  </w:r>
                  <w:r>
                    <w:rPr>
                      <w:rFonts w:hint="eastAsia" w:hAnsi="宋体"/>
                      <w:color w:val="000000"/>
                      <w:sz w:val="21"/>
                      <w:szCs w:val="21"/>
                      <w:lang w:val="en-US" w:eastAsia="zh-CN"/>
                    </w:rPr>
                    <w:t xml:space="preserve"> </w:t>
                  </w:r>
                  <w:r>
                    <w:rPr>
                      <w:rFonts w:hAnsi="宋体"/>
                      <w:color w:val="000000"/>
                      <w:sz w:val="21"/>
                      <w:szCs w:val="21"/>
                    </w:rPr>
                    <w:t>3862007》</w:t>
                  </w:r>
                  <w:r>
                    <w:rPr>
                      <w:rFonts w:hint="eastAsia" w:hAnsi="宋体"/>
                      <w:color w:val="000000"/>
                      <w:sz w:val="21"/>
                      <w:szCs w:val="21"/>
                      <w:lang w:eastAsia="zh-CN"/>
                    </w:rPr>
                    <w:t>的要求在进气口和出气管道上设置采样口，并配备</w:t>
                  </w:r>
                  <w:r>
                    <w:rPr>
                      <w:rFonts w:hint="eastAsia" w:hAnsi="宋体"/>
                      <w:color w:val="000000"/>
                      <w:sz w:val="21"/>
                      <w:szCs w:val="21"/>
                      <w:lang w:val="en-US" w:eastAsia="zh-CN"/>
                    </w:rPr>
                    <w:t>VOCs快速监测设备</w:t>
                  </w:r>
                  <w:r>
                    <w:rPr>
                      <w:rFonts w:hAnsi="宋体"/>
                      <w:color w:val="000000"/>
                      <w:sz w:val="21"/>
                      <w:szCs w:val="21"/>
                    </w:rPr>
                    <w:t>。企业根据活性炭更换周期及时更换活性炭，更换下来的活性炭按危险废物处理。后期企业生产后应配备VOCs快速监测设备。</w:t>
                  </w:r>
                </w:p>
              </w:tc>
              <w:tc>
                <w:tcPr>
                  <w:tcW w:w="278" w:type="pct"/>
                  <w:vMerge w:val="continue"/>
                  <w:tcBorders>
                    <w:tl2br w:val="nil"/>
                    <w:tr2bl w:val="nil"/>
                  </w:tcBorders>
                  <w:noWrap/>
                  <w:vAlign w:val="center"/>
                </w:tcPr>
                <w:p>
                  <w:pPr>
                    <w:pStyle w:val="7"/>
                    <w:spacing w:line="240" w:lineRule="auto"/>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9" w:type="pct"/>
                  <w:vMerge w:val="continue"/>
                  <w:tcBorders>
                    <w:tl2br w:val="nil"/>
                    <w:tr2bl w:val="nil"/>
                  </w:tcBorders>
                  <w:noWrap/>
                  <w:vAlign w:val="center"/>
                </w:tcPr>
                <w:p>
                  <w:pPr>
                    <w:pStyle w:val="7"/>
                    <w:spacing w:line="240" w:lineRule="auto"/>
                  </w:pPr>
                </w:p>
              </w:tc>
              <w:tc>
                <w:tcPr>
                  <w:tcW w:w="793" w:type="pct"/>
                  <w:vMerge w:val="continue"/>
                  <w:tcBorders>
                    <w:tl2br w:val="nil"/>
                    <w:tr2bl w:val="nil"/>
                  </w:tcBorders>
                  <w:noWrap/>
                  <w:vAlign w:val="center"/>
                </w:tcPr>
                <w:p>
                  <w:pPr>
                    <w:pStyle w:val="7"/>
                    <w:spacing w:line="240" w:lineRule="auto"/>
                  </w:pPr>
                </w:p>
              </w:tc>
              <w:tc>
                <w:tcPr>
                  <w:tcW w:w="2312"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Ansi="宋体"/>
                      <w:color w:val="000000"/>
                      <w:sz w:val="21"/>
                      <w:szCs w:val="21"/>
                    </w:rPr>
                    <w:t>气体流速</w:t>
                  </w:r>
                  <w:r>
                    <w:rPr>
                      <w:rFonts w:hint="eastAsia" w:hAnsi="宋体"/>
                      <w:color w:val="000000"/>
                      <w:sz w:val="21"/>
                      <w:szCs w:val="21"/>
                      <w:lang w:eastAsia="zh-CN"/>
                    </w:rPr>
                    <w:t>：</w:t>
                  </w:r>
                  <w:r>
                    <w:rPr>
                      <w:rFonts w:hAnsi="宋体"/>
                      <w:color w:val="000000"/>
                      <w:sz w:val="21"/>
                      <w:szCs w:val="21"/>
                    </w:rPr>
                    <w:t>吸附装置吸附层的气体流速应根据吸附剂的形态确定。采用颗粒活性炭时，气体流速宜低于</w:t>
                  </w:r>
                  <w:r>
                    <w:rPr>
                      <w:color w:val="000000"/>
                      <w:sz w:val="21"/>
                      <w:szCs w:val="21"/>
                    </w:rPr>
                    <w:t>0.60m/s</w:t>
                  </w:r>
                  <w:r>
                    <w:rPr>
                      <w:rFonts w:hAnsi="宋体"/>
                      <w:color w:val="000000"/>
                      <w:sz w:val="21"/>
                      <w:szCs w:val="21"/>
                    </w:rPr>
                    <w:t>，装填厚度不得低于</w:t>
                  </w:r>
                  <w:r>
                    <w:rPr>
                      <w:color w:val="000000"/>
                      <w:sz w:val="21"/>
                      <w:szCs w:val="21"/>
                    </w:rPr>
                    <w:t>0.4m</w:t>
                  </w:r>
                  <w:r>
                    <w:rPr>
                      <w:rFonts w:hAnsi="宋体"/>
                      <w:color w:val="000000"/>
                      <w:sz w:val="21"/>
                      <w:szCs w:val="21"/>
                    </w:rPr>
                    <w:t>。活性炭应装填齐整，避免气流短路；采用活性炭纤维时，气体流速宜低于</w:t>
                  </w:r>
                  <w:r>
                    <w:rPr>
                      <w:color w:val="000000"/>
                      <w:sz w:val="21"/>
                      <w:szCs w:val="21"/>
                    </w:rPr>
                    <w:t>0.15m/s</w:t>
                  </w:r>
                  <w:r>
                    <w:rPr>
                      <w:rFonts w:hint="eastAsia"/>
                      <w:color w:val="000000"/>
                      <w:sz w:val="21"/>
                      <w:szCs w:val="21"/>
                    </w:rPr>
                    <w:t>；</w:t>
                  </w:r>
                  <w:r>
                    <w:rPr>
                      <w:rFonts w:hAnsi="宋体"/>
                      <w:color w:val="000000"/>
                      <w:sz w:val="21"/>
                      <w:szCs w:val="21"/>
                    </w:rPr>
                    <w:t>采用蜂窝活性炭时，气体流速宜低于</w:t>
                  </w:r>
                  <w:r>
                    <w:rPr>
                      <w:color w:val="000000"/>
                      <w:sz w:val="21"/>
                      <w:szCs w:val="21"/>
                    </w:rPr>
                    <w:t>1.2m/s</w:t>
                  </w:r>
                  <w:r>
                    <w:rPr>
                      <w:rFonts w:hAnsi="宋体"/>
                      <w:color w:val="000000"/>
                      <w:sz w:val="21"/>
                      <w:szCs w:val="21"/>
                    </w:rPr>
                    <w:t>。</w:t>
                  </w:r>
                </w:p>
              </w:tc>
              <w:tc>
                <w:tcPr>
                  <w:tcW w:w="1386"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highlight w:val="yellow"/>
                      <w:lang w:val="en-US" w:eastAsia="zh-CN" w:bidi="ar-SA"/>
                    </w:rPr>
                  </w:pPr>
                  <w:r>
                    <w:rPr>
                      <w:rFonts w:hAnsi="宋体"/>
                      <w:color w:val="000000"/>
                      <w:sz w:val="21"/>
                      <w:szCs w:val="21"/>
                      <w:highlight w:val="none"/>
                    </w:rPr>
                    <w:t>本项目采用颗粒活性炭</w:t>
                  </w:r>
                  <w:r>
                    <w:rPr>
                      <w:rFonts w:hint="eastAsia" w:hAnsi="宋体"/>
                      <w:color w:val="000000"/>
                      <w:sz w:val="21"/>
                      <w:szCs w:val="21"/>
                      <w:highlight w:val="none"/>
                    </w:rPr>
                    <w:t>，气体流速为</w:t>
                  </w:r>
                  <w:r>
                    <w:rPr>
                      <w:rFonts w:hint="eastAsia" w:hAnsi="宋体"/>
                      <w:color w:val="000000"/>
                      <w:sz w:val="21"/>
                      <w:szCs w:val="21"/>
                      <w:highlight w:val="none"/>
                      <w:lang w:val="en-US" w:eastAsia="zh-CN"/>
                    </w:rPr>
                    <w:t>0.58</w:t>
                  </w:r>
                  <w:r>
                    <w:rPr>
                      <w:rFonts w:hint="eastAsia" w:hAnsi="宋体"/>
                      <w:color w:val="000000"/>
                      <w:sz w:val="21"/>
                      <w:szCs w:val="21"/>
                      <w:highlight w:val="none"/>
                    </w:rPr>
                    <w:t>m/s</w:t>
                  </w:r>
                  <w:r>
                    <w:rPr>
                      <w:rFonts w:hint="eastAsia" w:hAnsi="宋体"/>
                      <w:color w:val="000000"/>
                      <w:sz w:val="21"/>
                      <w:szCs w:val="21"/>
                      <w:highlight w:val="none"/>
                      <w:lang w:eastAsia="zh-CN"/>
                    </w:rPr>
                    <w:t>、装填厚度不低于</w:t>
                  </w:r>
                  <w:r>
                    <w:rPr>
                      <w:rFonts w:hint="eastAsia" w:hAnsi="宋体"/>
                      <w:color w:val="000000"/>
                      <w:sz w:val="21"/>
                      <w:szCs w:val="21"/>
                      <w:highlight w:val="none"/>
                      <w:lang w:val="en-US" w:eastAsia="zh-CN"/>
                    </w:rPr>
                    <w:t>0.4m，</w:t>
                  </w:r>
                  <w:r>
                    <w:rPr>
                      <w:rFonts w:hint="eastAsia" w:hAnsi="宋体"/>
                      <w:color w:val="000000"/>
                      <w:sz w:val="21"/>
                      <w:szCs w:val="21"/>
                      <w:highlight w:val="none"/>
                    </w:rPr>
                    <w:t>满足要求</w:t>
                  </w:r>
                </w:p>
              </w:tc>
              <w:tc>
                <w:tcPr>
                  <w:tcW w:w="278" w:type="pct"/>
                  <w:vMerge w:val="continue"/>
                  <w:tcBorders>
                    <w:tl2br w:val="nil"/>
                    <w:tr2bl w:val="nil"/>
                  </w:tcBorders>
                  <w:noWrap/>
                  <w:vAlign w:val="center"/>
                </w:tcPr>
                <w:p>
                  <w:pPr>
                    <w:pStyle w:val="7"/>
                    <w:spacing w:line="240" w:lineRule="auto"/>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9" w:type="pct"/>
                  <w:vMerge w:val="continue"/>
                  <w:tcBorders>
                    <w:tl2br w:val="nil"/>
                    <w:tr2bl w:val="nil"/>
                  </w:tcBorders>
                  <w:noWrap/>
                  <w:vAlign w:val="center"/>
                </w:tcPr>
                <w:p>
                  <w:pPr>
                    <w:pStyle w:val="7"/>
                    <w:spacing w:line="240" w:lineRule="auto"/>
                    <w:rPr>
                      <w:rFonts w:hint="eastAsia"/>
                      <w:sz w:val="21"/>
                      <w:szCs w:val="21"/>
                      <w:lang w:val="en-US" w:eastAsia="zh-CN"/>
                    </w:rPr>
                  </w:pPr>
                </w:p>
              </w:tc>
              <w:tc>
                <w:tcPr>
                  <w:tcW w:w="793" w:type="pct"/>
                  <w:vMerge w:val="continue"/>
                  <w:tcBorders>
                    <w:tl2br w:val="nil"/>
                    <w:tr2bl w:val="nil"/>
                  </w:tcBorders>
                  <w:noWrap/>
                  <w:vAlign w:val="center"/>
                </w:tcPr>
                <w:p>
                  <w:pPr>
                    <w:pStyle w:val="7"/>
                    <w:spacing w:line="240" w:lineRule="auto"/>
                    <w:rPr>
                      <w:rFonts w:hint="eastAsia"/>
                      <w:sz w:val="21"/>
                      <w:szCs w:val="21"/>
                      <w:lang w:val="en-US" w:eastAsia="zh-CN"/>
                    </w:rPr>
                  </w:pPr>
                </w:p>
              </w:tc>
              <w:tc>
                <w:tcPr>
                  <w:tcW w:w="2312"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Ansi="宋体"/>
                      <w:color w:val="000000"/>
                      <w:sz w:val="21"/>
                      <w:szCs w:val="21"/>
                    </w:rPr>
                    <w:t>废气预处理</w:t>
                  </w:r>
                  <w:r>
                    <w:rPr>
                      <w:rFonts w:hint="eastAsia" w:hAnsi="宋体"/>
                      <w:color w:val="000000"/>
                      <w:sz w:val="21"/>
                      <w:szCs w:val="21"/>
                      <w:lang w:eastAsia="zh-CN"/>
                    </w:rPr>
                    <w:t>：</w:t>
                  </w:r>
                  <w:r>
                    <w:rPr>
                      <w:rFonts w:hAnsi="宋体"/>
                      <w:color w:val="000000"/>
                      <w:sz w:val="21"/>
                      <w:szCs w:val="21"/>
                    </w:rPr>
                    <w:t>进入吸附设备的废气颗粒物含量和温度应分别低于</w:t>
                  </w:r>
                  <w:r>
                    <w:rPr>
                      <w:color w:val="000000"/>
                      <w:sz w:val="21"/>
                      <w:szCs w:val="21"/>
                    </w:rPr>
                    <w:t>1mg/m</w:t>
                  </w:r>
                  <w:r>
                    <w:rPr>
                      <w:rFonts w:hint="eastAsia"/>
                      <w:color w:val="000000"/>
                      <w:sz w:val="21"/>
                      <w:szCs w:val="21"/>
                      <w:vertAlign w:val="superscript"/>
                    </w:rPr>
                    <w:t>3</w:t>
                  </w:r>
                  <w:r>
                    <w:rPr>
                      <w:rFonts w:hAnsi="宋体"/>
                      <w:color w:val="000000"/>
                      <w:sz w:val="21"/>
                      <w:szCs w:val="21"/>
                    </w:rPr>
                    <w:t>和</w:t>
                  </w:r>
                  <w:r>
                    <w:rPr>
                      <w:color w:val="000000"/>
                      <w:sz w:val="21"/>
                      <w:szCs w:val="21"/>
                    </w:rPr>
                    <w:t>40</w:t>
                  </w:r>
                  <w:r>
                    <w:rPr>
                      <w:rFonts w:hAnsi="宋体"/>
                      <w:color w:val="000000"/>
                      <w:sz w:val="21"/>
                      <w:szCs w:val="21"/>
                    </w:rPr>
                    <w:t>℃，若颗粒物含量超过</w:t>
                  </w:r>
                  <w:r>
                    <w:rPr>
                      <w:color w:val="000000"/>
                      <w:sz w:val="21"/>
                      <w:szCs w:val="21"/>
                    </w:rPr>
                    <w:t>1mg/1m</w:t>
                  </w:r>
                  <w:r>
                    <w:rPr>
                      <w:rFonts w:hint="eastAsia"/>
                      <w:color w:val="000000"/>
                      <w:sz w:val="21"/>
                      <w:szCs w:val="21"/>
                      <w:vertAlign w:val="superscript"/>
                    </w:rPr>
                    <w:t>3</w:t>
                  </w:r>
                  <w:r>
                    <w:rPr>
                      <w:rFonts w:hAnsi="宋体"/>
                      <w:color w:val="000000"/>
                      <w:sz w:val="21"/>
                      <w:szCs w:val="21"/>
                    </w:rPr>
                    <w:t>时，应先采用过滤或洗涤等方式进行预处理。活性炭对酸性废气吸附效果较差，且酸性气体易对设备本体造成腐蚀，应先采用洗涤进行预处理。企业应制定定期更换过滤材料的设备运行维护规程，保障活性炭在低颗粒物、低含水率条件下使用。</w:t>
                  </w:r>
                </w:p>
              </w:tc>
              <w:tc>
                <w:tcPr>
                  <w:tcW w:w="1386"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highlight w:val="yellow"/>
                      <w:lang w:val="en-US" w:eastAsia="zh-CN" w:bidi="ar-SA"/>
                    </w:rPr>
                  </w:pPr>
                  <w:r>
                    <w:rPr>
                      <w:rFonts w:hAnsi="宋体"/>
                      <w:color w:val="000000"/>
                      <w:sz w:val="21"/>
                      <w:szCs w:val="21"/>
                    </w:rPr>
                    <w:t>本项目</w:t>
                  </w:r>
                  <w:r>
                    <w:rPr>
                      <w:rFonts w:hint="eastAsia" w:hAnsi="宋体"/>
                      <w:color w:val="000000"/>
                      <w:sz w:val="21"/>
                      <w:szCs w:val="21"/>
                    </w:rPr>
                    <w:t>喷漆时废气中漆雾颗粒浓度较高</w:t>
                  </w:r>
                  <w:r>
                    <w:rPr>
                      <w:rFonts w:hint="eastAsia" w:hAnsi="宋体"/>
                      <w:color w:val="000000"/>
                      <w:sz w:val="21"/>
                      <w:szCs w:val="21"/>
                      <w:lang w:eastAsia="zh-CN"/>
                    </w:rPr>
                    <w:t>，远大于 1mg/m</w:t>
                  </w:r>
                  <w:r>
                    <w:rPr>
                      <w:rFonts w:hint="eastAsia" w:hAnsi="宋体"/>
                      <w:color w:val="000000"/>
                      <w:sz w:val="21"/>
                      <w:szCs w:val="21"/>
                      <w:vertAlign w:val="superscript"/>
                      <w:lang w:val="en-US" w:eastAsia="zh-CN"/>
                    </w:rPr>
                    <w:t>3</w:t>
                  </w:r>
                  <w:r>
                    <w:rPr>
                      <w:rFonts w:hint="eastAsia" w:hAnsi="宋体"/>
                      <w:color w:val="000000"/>
                      <w:sz w:val="21"/>
                      <w:szCs w:val="21"/>
                      <w:lang w:eastAsia="zh-CN"/>
                    </w:rPr>
                    <w:t>，采用了多级干式过滤进行预处理，因此符合要求</w:t>
                  </w:r>
                  <w:r>
                    <w:rPr>
                      <w:rFonts w:hAnsi="宋体"/>
                      <w:color w:val="000000"/>
                      <w:sz w:val="21"/>
                      <w:szCs w:val="21"/>
                    </w:rPr>
                    <w:t>。</w:t>
                  </w:r>
                </w:p>
              </w:tc>
              <w:tc>
                <w:tcPr>
                  <w:tcW w:w="278" w:type="pct"/>
                  <w:vMerge w:val="continue"/>
                  <w:tcBorders>
                    <w:tl2br w:val="nil"/>
                    <w:tr2bl w:val="nil"/>
                  </w:tcBorders>
                  <w:noWrap/>
                  <w:vAlign w:val="center"/>
                </w:tcPr>
                <w:p>
                  <w:pPr>
                    <w:pStyle w:val="7"/>
                    <w:spacing w:line="240" w:lineRule="auto"/>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9" w:type="pct"/>
                  <w:vMerge w:val="continue"/>
                  <w:tcBorders>
                    <w:tl2br w:val="nil"/>
                    <w:tr2bl w:val="nil"/>
                  </w:tcBorders>
                  <w:noWrap/>
                  <w:vAlign w:val="center"/>
                </w:tcPr>
                <w:p>
                  <w:pPr>
                    <w:pStyle w:val="7"/>
                    <w:spacing w:line="240" w:lineRule="auto"/>
                    <w:rPr>
                      <w:rFonts w:hint="eastAsia"/>
                      <w:sz w:val="21"/>
                      <w:szCs w:val="21"/>
                      <w:lang w:val="en-US" w:eastAsia="zh-CN"/>
                    </w:rPr>
                  </w:pPr>
                </w:p>
              </w:tc>
              <w:tc>
                <w:tcPr>
                  <w:tcW w:w="793" w:type="pct"/>
                  <w:vMerge w:val="continue"/>
                  <w:tcBorders>
                    <w:tl2br w:val="nil"/>
                    <w:tr2bl w:val="nil"/>
                  </w:tcBorders>
                  <w:noWrap/>
                  <w:vAlign w:val="center"/>
                </w:tcPr>
                <w:p>
                  <w:pPr>
                    <w:pStyle w:val="7"/>
                    <w:spacing w:line="240" w:lineRule="auto"/>
                    <w:rPr>
                      <w:rFonts w:hint="eastAsia"/>
                      <w:sz w:val="21"/>
                      <w:szCs w:val="21"/>
                      <w:lang w:val="en-US" w:eastAsia="zh-CN"/>
                    </w:rPr>
                  </w:pPr>
                </w:p>
              </w:tc>
              <w:tc>
                <w:tcPr>
                  <w:tcW w:w="2312"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Ansi="宋体"/>
                      <w:color w:val="000000"/>
                      <w:sz w:val="21"/>
                      <w:szCs w:val="21"/>
                    </w:rPr>
                    <w:t>活性炭质量</w:t>
                  </w:r>
                  <w:r>
                    <w:rPr>
                      <w:rFonts w:hint="eastAsia" w:hAnsi="宋体"/>
                      <w:color w:val="000000"/>
                      <w:sz w:val="21"/>
                      <w:szCs w:val="21"/>
                      <w:lang w:eastAsia="zh-CN"/>
                    </w:rPr>
                    <w:t>：</w:t>
                  </w:r>
                  <w:r>
                    <w:rPr>
                      <w:rFonts w:hAnsi="宋体"/>
                      <w:color w:val="000000"/>
                      <w:sz w:val="21"/>
                      <w:szCs w:val="21"/>
                    </w:rPr>
                    <w:t>颗粒活性炭碘吸附值</w:t>
                  </w:r>
                  <w:r>
                    <w:rPr>
                      <w:color w:val="000000"/>
                      <w:sz w:val="21"/>
                      <w:szCs w:val="21"/>
                    </w:rPr>
                    <w:t>≥800mg/g</w:t>
                  </w:r>
                  <w:r>
                    <w:rPr>
                      <w:rFonts w:hAnsi="宋体"/>
                      <w:color w:val="000000"/>
                      <w:sz w:val="21"/>
                      <w:szCs w:val="21"/>
                    </w:rPr>
                    <w:t>，比表面积</w:t>
                  </w:r>
                  <w:r>
                    <w:rPr>
                      <w:color w:val="000000"/>
                      <w:sz w:val="21"/>
                      <w:szCs w:val="21"/>
                    </w:rPr>
                    <w:t>≥850m</w:t>
                  </w:r>
                  <w:r>
                    <w:rPr>
                      <w:color w:val="000000"/>
                      <w:sz w:val="21"/>
                      <w:szCs w:val="21"/>
                      <w:vertAlign w:val="superscript"/>
                    </w:rPr>
                    <w:t>2</w:t>
                  </w:r>
                  <w:r>
                    <w:rPr>
                      <w:color w:val="000000"/>
                      <w:sz w:val="21"/>
                      <w:szCs w:val="21"/>
                    </w:rPr>
                    <w:t>/g</w:t>
                  </w:r>
                  <w:r>
                    <w:rPr>
                      <w:rFonts w:hint="eastAsia"/>
                      <w:color w:val="000000"/>
                      <w:sz w:val="21"/>
                      <w:szCs w:val="21"/>
                    </w:rPr>
                    <w:t>；</w:t>
                  </w:r>
                  <w:r>
                    <w:rPr>
                      <w:rFonts w:hAnsi="宋体"/>
                      <w:color w:val="000000"/>
                      <w:sz w:val="21"/>
                      <w:szCs w:val="21"/>
                    </w:rPr>
                    <w:t>蜂窝活性炭横向抗压强度应不低于</w:t>
                  </w:r>
                  <w:r>
                    <w:rPr>
                      <w:color w:val="000000"/>
                      <w:sz w:val="21"/>
                      <w:szCs w:val="21"/>
                    </w:rPr>
                    <w:t>0.9MPa</w:t>
                  </w:r>
                  <w:r>
                    <w:rPr>
                      <w:rFonts w:hAnsi="宋体"/>
                      <w:color w:val="000000"/>
                      <w:sz w:val="21"/>
                      <w:szCs w:val="21"/>
                    </w:rPr>
                    <w:t>，纵向强度应不低于</w:t>
                  </w:r>
                  <w:r>
                    <w:rPr>
                      <w:color w:val="000000"/>
                      <w:sz w:val="21"/>
                      <w:szCs w:val="21"/>
                    </w:rPr>
                    <w:t>0.4MPa</w:t>
                  </w:r>
                  <w:r>
                    <w:rPr>
                      <w:rFonts w:hAnsi="宋体"/>
                      <w:color w:val="000000"/>
                      <w:sz w:val="21"/>
                      <w:szCs w:val="21"/>
                    </w:rPr>
                    <w:t>，碘吸附值</w:t>
                  </w:r>
                  <w:r>
                    <w:rPr>
                      <w:color w:val="000000"/>
                      <w:sz w:val="21"/>
                      <w:szCs w:val="21"/>
                    </w:rPr>
                    <w:t>≥650mg</w:t>
                  </w:r>
                  <w:r>
                    <w:rPr>
                      <w:rFonts w:hint="eastAsia"/>
                      <w:color w:val="000000"/>
                      <w:sz w:val="21"/>
                      <w:szCs w:val="21"/>
                    </w:rPr>
                    <w:t>/</w:t>
                  </w:r>
                  <w:r>
                    <w:rPr>
                      <w:color w:val="000000"/>
                      <w:sz w:val="21"/>
                      <w:szCs w:val="21"/>
                    </w:rPr>
                    <w:t>g</w:t>
                  </w:r>
                  <w:r>
                    <w:rPr>
                      <w:rFonts w:hAnsi="宋体"/>
                      <w:color w:val="000000"/>
                      <w:sz w:val="21"/>
                      <w:szCs w:val="21"/>
                    </w:rPr>
                    <w:t>，比表面积</w:t>
                  </w:r>
                  <w:r>
                    <w:rPr>
                      <w:color w:val="000000"/>
                      <w:sz w:val="21"/>
                      <w:szCs w:val="21"/>
                    </w:rPr>
                    <w:t>≥750m</w:t>
                  </w:r>
                  <w:r>
                    <w:rPr>
                      <w:color w:val="000000"/>
                      <w:sz w:val="21"/>
                      <w:szCs w:val="21"/>
                      <w:vertAlign w:val="superscript"/>
                    </w:rPr>
                    <w:t>2</w:t>
                  </w:r>
                  <w:r>
                    <w:rPr>
                      <w:color w:val="000000"/>
                      <w:sz w:val="21"/>
                      <w:szCs w:val="21"/>
                    </w:rPr>
                    <w:t>/g</w:t>
                  </w:r>
                  <w:r>
                    <w:rPr>
                      <w:rFonts w:hAnsi="宋体"/>
                      <w:color w:val="000000"/>
                      <w:sz w:val="21"/>
                      <w:szCs w:val="21"/>
                    </w:rPr>
                    <w:t>。工业有机废气治理用活性炭常规及推荐技术指标详见附件</w:t>
                  </w:r>
                  <w:r>
                    <w:rPr>
                      <w:color w:val="000000"/>
                      <w:sz w:val="21"/>
                      <w:szCs w:val="21"/>
                    </w:rPr>
                    <w:t>2</w:t>
                  </w:r>
                  <w:r>
                    <w:rPr>
                      <w:rFonts w:hAnsi="宋体"/>
                      <w:color w:val="000000"/>
                      <w:sz w:val="21"/>
                      <w:szCs w:val="21"/>
                    </w:rPr>
                    <w:t>。企业应备好所购活性炭厂家关于活性炭碘值、比表面积等相关证明材料。</w:t>
                  </w:r>
                </w:p>
              </w:tc>
              <w:tc>
                <w:tcPr>
                  <w:tcW w:w="1386"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highlight w:val="yellow"/>
                      <w:lang w:val="en-US" w:eastAsia="zh-CN" w:bidi="ar-SA"/>
                    </w:rPr>
                  </w:pPr>
                  <w:r>
                    <w:rPr>
                      <w:rFonts w:hAnsi="宋体"/>
                      <w:color w:val="000000"/>
                      <w:sz w:val="21"/>
                      <w:szCs w:val="21"/>
                    </w:rPr>
                    <w:t>本项目采用颗粒活性炭，碘吸附值</w:t>
                  </w:r>
                  <w:r>
                    <w:rPr>
                      <w:rFonts w:hint="eastAsia" w:hAnsi="宋体"/>
                      <w:color w:val="000000"/>
                      <w:sz w:val="21"/>
                      <w:szCs w:val="21"/>
                      <w:lang w:val="en-US" w:eastAsia="zh-CN"/>
                    </w:rPr>
                    <w:t>800</w:t>
                  </w:r>
                  <w:r>
                    <w:rPr>
                      <w:rFonts w:hAnsi="宋体"/>
                      <w:color w:val="000000"/>
                      <w:sz w:val="21"/>
                      <w:szCs w:val="21"/>
                    </w:rPr>
                    <w:t>mg/g</w:t>
                  </w:r>
                  <w:r>
                    <w:rPr>
                      <w:rFonts w:hint="eastAsia" w:hAnsi="宋体"/>
                      <w:color w:val="000000"/>
                      <w:sz w:val="21"/>
                      <w:szCs w:val="21"/>
                      <w:lang w:eastAsia="zh-CN"/>
                    </w:rPr>
                    <w:t>、</w:t>
                  </w:r>
                  <w:r>
                    <w:rPr>
                      <w:rFonts w:hAnsi="宋体"/>
                      <w:color w:val="000000"/>
                      <w:sz w:val="21"/>
                      <w:szCs w:val="21"/>
                    </w:rPr>
                    <w:t>比表面积</w:t>
                  </w:r>
                  <w:r>
                    <w:rPr>
                      <w:rFonts w:hint="eastAsia" w:hAnsi="宋体"/>
                      <w:color w:val="000000"/>
                      <w:sz w:val="21"/>
                      <w:szCs w:val="21"/>
                      <w:lang w:val="en-US" w:eastAsia="zh-CN"/>
                    </w:rPr>
                    <w:t>1000</w:t>
                  </w:r>
                  <w:r>
                    <w:rPr>
                      <w:rFonts w:hAnsi="宋体"/>
                      <w:color w:val="000000"/>
                      <w:sz w:val="21"/>
                      <w:szCs w:val="21"/>
                    </w:rPr>
                    <w:t>m</w:t>
                  </w:r>
                  <w:r>
                    <w:rPr>
                      <w:rFonts w:hAnsi="宋体"/>
                      <w:color w:val="000000"/>
                      <w:sz w:val="21"/>
                      <w:szCs w:val="21"/>
                      <w:vertAlign w:val="superscript"/>
                    </w:rPr>
                    <w:t>2</w:t>
                  </w:r>
                  <w:r>
                    <w:rPr>
                      <w:rFonts w:hAnsi="宋体"/>
                      <w:color w:val="000000"/>
                      <w:sz w:val="21"/>
                      <w:szCs w:val="21"/>
                    </w:rPr>
                    <w:t>/g，满足技术指标要求。企业后期购买符合要求的活性炭将备好相关证明材料</w:t>
                  </w:r>
                  <w:r>
                    <w:rPr>
                      <w:rFonts w:hint="eastAsia" w:hAnsi="宋体"/>
                      <w:color w:val="000000"/>
                      <w:sz w:val="21"/>
                      <w:szCs w:val="21"/>
                      <w:lang w:eastAsia="zh-CN"/>
                    </w:rPr>
                    <w:t>。</w:t>
                  </w:r>
                </w:p>
              </w:tc>
              <w:tc>
                <w:tcPr>
                  <w:tcW w:w="278" w:type="pct"/>
                  <w:vMerge w:val="continue"/>
                  <w:tcBorders>
                    <w:tl2br w:val="nil"/>
                    <w:tr2bl w:val="nil"/>
                  </w:tcBorders>
                  <w:noWrap/>
                  <w:vAlign w:val="center"/>
                </w:tcPr>
                <w:p>
                  <w:pPr>
                    <w:pStyle w:val="7"/>
                    <w:spacing w:line="240" w:lineRule="auto"/>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9" w:type="pct"/>
                  <w:vMerge w:val="continue"/>
                  <w:tcBorders>
                    <w:tl2br w:val="nil"/>
                    <w:tr2bl w:val="nil"/>
                  </w:tcBorders>
                  <w:noWrap/>
                  <w:vAlign w:val="center"/>
                </w:tcPr>
                <w:p>
                  <w:pPr>
                    <w:pStyle w:val="7"/>
                    <w:spacing w:line="240" w:lineRule="auto"/>
                    <w:rPr>
                      <w:rFonts w:hint="eastAsia"/>
                      <w:sz w:val="21"/>
                      <w:szCs w:val="21"/>
                      <w:lang w:val="en-US" w:eastAsia="zh-CN"/>
                    </w:rPr>
                  </w:pPr>
                </w:p>
              </w:tc>
              <w:tc>
                <w:tcPr>
                  <w:tcW w:w="793" w:type="pct"/>
                  <w:vMerge w:val="continue"/>
                  <w:tcBorders>
                    <w:tl2br w:val="nil"/>
                    <w:tr2bl w:val="nil"/>
                  </w:tcBorders>
                  <w:noWrap/>
                  <w:vAlign w:val="center"/>
                </w:tcPr>
                <w:p>
                  <w:pPr>
                    <w:pStyle w:val="7"/>
                    <w:spacing w:line="240" w:lineRule="auto"/>
                    <w:rPr>
                      <w:rFonts w:hint="eastAsia"/>
                      <w:sz w:val="21"/>
                      <w:szCs w:val="21"/>
                      <w:lang w:val="en-US" w:eastAsia="zh-CN"/>
                    </w:rPr>
                  </w:pPr>
                </w:p>
              </w:tc>
              <w:tc>
                <w:tcPr>
                  <w:tcW w:w="2312"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Ansi="宋体"/>
                      <w:color w:val="000000"/>
                      <w:sz w:val="21"/>
                      <w:szCs w:val="21"/>
                    </w:rPr>
                    <w:t>活性炭填充量</w:t>
                  </w:r>
                  <w:r>
                    <w:rPr>
                      <w:rFonts w:hint="eastAsia" w:hAnsi="宋体"/>
                      <w:color w:val="000000"/>
                      <w:sz w:val="21"/>
                      <w:szCs w:val="21"/>
                      <w:lang w:eastAsia="zh-CN"/>
                    </w:rPr>
                    <w:t>：</w:t>
                  </w:r>
                  <w:r>
                    <w:rPr>
                      <w:rFonts w:hAnsi="宋体"/>
                      <w:color w:val="000000"/>
                      <w:sz w:val="21"/>
                      <w:szCs w:val="21"/>
                    </w:rPr>
                    <w:t>采用一次性颗粒状活性炭处理</w:t>
                  </w:r>
                  <w:r>
                    <w:rPr>
                      <w:color w:val="000000"/>
                      <w:sz w:val="21"/>
                      <w:szCs w:val="21"/>
                    </w:rPr>
                    <w:t>VOCs</w:t>
                  </w:r>
                  <w:r>
                    <w:rPr>
                      <w:rFonts w:hAnsi="宋体"/>
                      <w:color w:val="000000"/>
                      <w:sz w:val="21"/>
                      <w:szCs w:val="21"/>
                    </w:rPr>
                    <w:t>废气，年活性炭使用量不应低于</w:t>
                  </w:r>
                  <w:r>
                    <w:rPr>
                      <w:color w:val="000000"/>
                      <w:sz w:val="21"/>
                      <w:szCs w:val="21"/>
                    </w:rPr>
                    <w:t>VOCs</w:t>
                  </w:r>
                  <w:r>
                    <w:rPr>
                      <w:rFonts w:hAnsi="宋体"/>
                      <w:color w:val="000000"/>
                      <w:sz w:val="21"/>
                      <w:szCs w:val="21"/>
                    </w:rPr>
                    <w:t>产生量的</w:t>
                  </w:r>
                  <w:r>
                    <w:rPr>
                      <w:color w:val="000000"/>
                      <w:sz w:val="21"/>
                      <w:szCs w:val="21"/>
                    </w:rPr>
                    <w:t>5</w:t>
                  </w:r>
                  <w:r>
                    <w:rPr>
                      <w:rFonts w:hAnsi="宋体"/>
                      <w:color w:val="000000"/>
                      <w:sz w:val="21"/>
                      <w:szCs w:val="21"/>
                    </w:rPr>
                    <w:t>倍，即</w:t>
                  </w:r>
                  <w:r>
                    <w:rPr>
                      <w:color w:val="000000"/>
                      <w:sz w:val="21"/>
                      <w:szCs w:val="21"/>
                    </w:rPr>
                    <w:t>1</w:t>
                  </w:r>
                  <w:r>
                    <w:rPr>
                      <w:rFonts w:hAnsi="宋体"/>
                      <w:color w:val="000000"/>
                      <w:sz w:val="21"/>
                      <w:szCs w:val="21"/>
                    </w:rPr>
                    <w:t>吨</w:t>
                  </w:r>
                  <w:r>
                    <w:rPr>
                      <w:color w:val="000000"/>
                      <w:sz w:val="21"/>
                      <w:szCs w:val="21"/>
                    </w:rPr>
                    <w:t>VOCs</w:t>
                  </w:r>
                  <w:r>
                    <w:rPr>
                      <w:rFonts w:hAnsi="宋体"/>
                      <w:color w:val="000000"/>
                      <w:sz w:val="21"/>
                      <w:szCs w:val="21"/>
                    </w:rPr>
                    <w:t>产生量，需</w:t>
                  </w:r>
                  <w:r>
                    <w:rPr>
                      <w:color w:val="000000"/>
                      <w:sz w:val="21"/>
                      <w:szCs w:val="21"/>
                    </w:rPr>
                    <w:t>5</w:t>
                  </w:r>
                  <w:r>
                    <w:rPr>
                      <w:rFonts w:hAnsi="宋体"/>
                      <w:color w:val="000000"/>
                      <w:sz w:val="21"/>
                      <w:szCs w:val="21"/>
                    </w:rPr>
                    <w:t>吨活性炭用于吸附。活性炭更换周期一般不应超过累计运行</w:t>
                  </w:r>
                  <w:r>
                    <w:rPr>
                      <w:color w:val="000000"/>
                      <w:sz w:val="21"/>
                      <w:szCs w:val="21"/>
                    </w:rPr>
                    <w:t>500</w:t>
                  </w:r>
                  <w:r>
                    <w:rPr>
                      <w:rFonts w:hAnsi="宋体"/>
                      <w:color w:val="000000"/>
                      <w:sz w:val="21"/>
                      <w:szCs w:val="21"/>
                    </w:rPr>
                    <w:t>小时或</w:t>
                  </w:r>
                  <w:r>
                    <w:rPr>
                      <w:color w:val="000000"/>
                      <w:sz w:val="21"/>
                      <w:szCs w:val="21"/>
                    </w:rPr>
                    <w:t>3</w:t>
                  </w:r>
                  <w:r>
                    <w:rPr>
                      <w:rFonts w:hAnsi="宋体"/>
                      <w:color w:val="000000"/>
                      <w:sz w:val="21"/>
                      <w:szCs w:val="21"/>
                    </w:rPr>
                    <w:t>个月，更换周期计算按《省生态环境厅关于将排污单位活性炭使用更换纳入排污许可管理的通知》有关要求执行。</w:t>
                  </w:r>
                </w:p>
              </w:tc>
              <w:tc>
                <w:tcPr>
                  <w:tcW w:w="1386"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olor w:val="000000"/>
                      <w:kern w:val="2"/>
                      <w:sz w:val="21"/>
                      <w:szCs w:val="21"/>
                      <w:highlight w:val="yellow"/>
                      <w:lang w:val="en-US" w:eastAsia="zh-CN" w:bidi="ar-SA"/>
                    </w:rPr>
                  </w:pPr>
                  <w:r>
                    <w:rPr>
                      <w:rFonts w:hint="eastAsia" w:hAnsi="宋体"/>
                      <w:color w:val="000000"/>
                      <w:sz w:val="21"/>
                      <w:szCs w:val="21"/>
                      <w:highlight w:val="none"/>
                    </w:rPr>
                    <w:t>按《省生态环境厅关于将排污单位活性炭使用更换纳入排污许可管理的通知》，经计算，本项目活性炭</w:t>
                  </w:r>
                  <w:r>
                    <w:rPr>
                      <w:rFonts w:hint="eastAsia" w:hAnsi="宋体"/>
                      <w:color w:val="000000"/>
                      <w:sz w:val="21"/>
                      <w:szCs w:val="21"/>
                      <w:highlight w:val="none"/>
                      <w:lang w:val="en-US" w:eastAsia="zh-CN"/>
                    </w:rPr>
                    <w:t>每62天更换一次</w:t>
                  </w:r>
                  <w:r>
                    <w:rPr>
                      <w:rFonts w:hAnsi="宋体"/>
                      <w:color w:val="000000"/>
                      <w:sz w:val="21"/>
                      <w:szCs w:val="21"/>
                      <w:highlight w:val="none"/>
                    </w:rPr>
                    <w:t>。</w:t>
                  </w:r>
                  <w:r>
                    <w:rPr>
                      <w:rFonts w:ascii="Times New Roman" w:hAnsi="Times New Roman" w:eastAsia="宋体" w:cs="Times New Roman"/>
                      <w:b w:val="0"/>
                      <w:color w:val="000000"/>
                      <w:sz w:val="21"/>
                      <w:szCs w:val="21"/>
                      <w:highlight w:val="none"/>
                    </w:rPr>
                    <w:t>本项目活</w:t>
                  </w:r>
                  <w:r>
                    <w:rPr>
                      <w:rFonts w:hint="default" w:ascii="Times New Roman" w:hAnsi="Times New Roman" w:eastAsia="宋体" w:cs="Times New Roman"/>
                      <w:b w:val="0"/>
                      <w:bCs w:val="0"/>
                      <w:color w:val="000000"/>
                      <w:sz w:val="21"/>
                      <w:szCs w:val="21"/>
                      <w:highlight w:val="none"/>
                      <w:vertAlign w:val="baseline"/>
                      <w:lang w:val="en-US" w:eastAsia="zh-CN"/>
                    </w:rPr>
                    <w:t>性炭吸附装置中活性炭</w:t>
                  </w:r>
                  <w:r>
                    <w:rPr>
                      <w:rFonts w:hint="eastAsia" w:cs="Times New Roman"/>
                      <w:b w:val="0"/>
                      <w:bCs w:val="0"/>
                      <w:color w:val="000000"/>
                      <w:sz w:val="21"/>
                      <w:szCs w:val="21"/>
                      <w:highlight w:val="none"/>
                      <w:vertAlign w:val="baseline"/>
                      <w:lang w:val="en-US" w:eastAsia="zh-CN"/>
                    </w:rPr>
                    <w:t>为</w:t>
                  </w:r>
                  <w:r>
                    <w:rPr>
                      <w:rFonts w:hint="default" w:ascii="Times New Roman" w:hAnsi="Times New Roman" w:eastAsia="宋体" w:cs="Times New Roman"/>
                      <w:b w:val="0"/>
                      <w:color w:val="000000"/>
                      <w:sz w:val="21"/>
                      <w:szCs w:val="21"/>
                      <w:highlight w:val="none"/>
                      <w:lang w:val="en-US" w:eastAsia="zh-CN"/>
                    </w:rPr>
                    <w:t>一次性</w:t>
                  </w:r>
                  <w:r>
                    <w:rPr>
                      <w:rFonts w:hint="eastAsia" w:ascii="Times New Roman" w:hAnsi="Times New Roman" w:eastAsia="宋体" w:cs="Times New Roman"/>
                      <w:b w:val="0"/>
                      <w:color w:val="000000"/>
                      <w:sz w:val="21"/>
                      <w:szCs w:val="21"/>
                      <w:highlight w:val="none"/>
                      <w:lang w:val="en-US" w:eastAsia="zh-CN"/>
                    </w:rPr>
                    <w:t>。</w:t>
                  </w:r>
                </w:p>
              </w:tc>
              <w:tc>
                <w:tcPr>
                  <w:tcW w:w="278" w:type="pct"/>
                  <w:vMerge w:val="continue"/>
                  <w:tcBorders>
                    <w:tl2br w:val="nil"/>
                    <w:tr2bl w:val="nil"/>
                  </w:tcBorders>
                  <w:noWrap/>
                  <w:vAlign w:val="center"/>
                </w:tcPr>
                <w:p>
                  <w:pPr>
                    <w:pStyle w:val="7"/>
                    <w:spacing w:line="240" w:lineRule="auto"/>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793"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《如皋</w:t>
                  </w:r>
                  <w:r>
                    <w:rPr>
                      <w:rFonts w:hint="eastAsia" w:ascii="Times New Roman" w:hAnsi="Times New Roman" w:cs="Times New Roman"/>
                      <w:color w:val="auto"/>
                      <w:kern w:val="0"/>
                      <w:sz w:val="21"/>
                      <w:szCs w:val="21"/>
                      <w:lang w:val="en-US" w:eastAsia="zh-CN"/>
                    </w:rPr>
                    <w:t>市</w:t>
                  </w:r>
                  <w:r>
                    <w:rPr>
                      <w:rFonts w:hint="default" w:ascii="Times New Roman" w:hAnsi="Times New Roman" w:cs="Times New Roman"/>
                      <w:color w:val="auto"/>
                      <w:kern w:val="0"/>
                      <w:sz w:val="21"/>
                      <w:szCs w:val="21"/>
                    </w:rPr>
                    <w:t>2020年重点行业挥发性有机物综合治理方案》的通知（皋政办发[2020]89号）</w:t>
                  </w:r>
                </w:p>
              </w:tc>
              <w:tc>
                <w:tcPr>
                  <w:tcW w:w="2312" w:type="pct"/>
                  <w:tcBorders>
                    <w:tl2br w:val="nil"/>
                    <w:tr2bl w:val="nil"/>
                  </w:tcBorders>
                  <w:noWrap/>
                  <w:vAlign w:val="center"/>
                </w:tcPr>
                <w:p>
                  <w:pPr>
                    <w:adjustRightInd w:val="0"/>
                    <w:snapToGrid w:val="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全面落实《挥发性有机物无组织排放控制标准》，重点对含VOCs物料（包括原辅材料、产品、废料以及有机聚合物材料等）储存、转移和输送、设备与管线组件泄漏、敞开液面逸散以及工艺过程等五类排放源实施管控，在确保安全的前提下，通过采取设备与场所密闭、工艺改进、废气有效收集等措施，削减VOCs无组织排放。</w:t>
                  </w:r>
                </w:p>
              </w:tc>
              <w:tc>
                <w:tcPr>
                  <w:tcW w:w="1386" w:type="pct"/>
                  <w:tcBorders>
                    <w:tl2br w:val="nil"/>
                    <w:tr2bl w:val="nil"/>
                  </w:tcBorders>
                  <w:noWrap/>
                  <w:vAlign w:val="center"/>
                </w:tcPr>
                <w:p>
                  <w:pPr>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本项目原辅料储存过程中密封保存，项目产生的有机废气</w:t>
                  </w:r>
                  <w:r>
                    <w:rPr>
                      <w:rFonts w:hint="eastAsia" w:ascii="Times New Roman" w:hAnsi="Times New Roman" w:cs="Times New Roman"/>
                      <w:color w:val="auto"/>
                      <w:sz w:val="21"/>
                      <w:szCs w:val="21"/>
                      <w:lang w:val="en-US" w:eastAsia="zh-CN"/>
                    </w:rPr>
                    <w:t>经密闭空间-负压收集</w:t>
                  </w:r>
                  <w:r>
                    <w:rPr>
                      <w:rFonts w:hint="eastAsia" w:ascii="Times New Roman" w:hAnsi="Times New Roman" w:cs="Times New Roman"/>
                      <w:color w:val="auto"/>
                      <w:sz w:val="21"/>
                      <w:szCs w:val="21"/>
                    </w:rPr>
                    <w:t>并有效处理后高空排放</w:t>
                  </w:r>
                </w:p>
              </w:tc>
              <w:tc>
                <w:tcPr>
                  <w:tcW w:w="278"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93"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《挥发性有机物无组织排放控制标准》（GB37822-2019）</w:t>
                  </w:r>
                </w:p>
              </w:tc>
              <w:tc>
                <w:tcPr>
                  <w:tcW w:w="2312" w:type="pct"/>
                  <w:tcBorders>
                    <w:tl2br w:val="nil"/>
                    <w:tr2bl w:val="nil"/>
                  </w:tcBorders>
                  <w:noWrap/>
                  <w:vAlign w:val="center"/>
                </w:tcPr>
                <w:p>
                  <w:pPr>
                    <w:jc w:val="center"/>
                    <w:rPr>
                      <w:rFonts w:hint="eastAsia" w:ascii="Times New Roman" w:hAnsi="Times New Roman"/>
                      <w:color w:val="auto"/>
                    </w:rPr>
                  </w:pPr>
                  <w:r>
                    <w:rPr>
                      <w:rFonts w:hint="eastAsia" w:ascii="Times New Roman" w:hAnsi="Times New Roman"/>
                      <w:b/>
                      <w:bCs/>
                      <w:color w:val="auto"/>
                    </w:rPr>
                    <w:t>VOCs物料储存无组织排放控制要求：</w:t>
                  </w:r>
                  <w:r>
                    <w:rPr>
                      <w:rFonts w:hint="eastAsia" w:ascii="Times New Roman" w:hAnsi="Times New Roman"/>
                      <w:color w:val="auto"/>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pPr>
                    <w:jc w:val="center"/>
                    <w:rPr>
                      <w:rFonts w:hint="eastAsia" w:ascii="Times New Roman" w:hAnsi="Times New Roman"/>
                      <w:color w:val="auto"/>
                    </w:rPr>
                  </w:pPr>
                  <w:r>
                    <w:rPr>
                      <w:rFonts w:hint="eastAsia" w:ascii="Times New Roman" w:hAnsi="Times New Roman"/>
                      <w:b/>
                      <w:bCs/>
                      <w:color w:val="auto"/>
                    </w:rPr>
                    <w:t>VOCs物料转移和输送无组织排放控制要求：</w:t>
                  </w:r>
                  <w:r>
                    <w:rPr>
                      <w:rFonts w:hint="eastAsia" w:ascii="Times New Roman" w:hAnsi="Times New Roman"/>
                      <w:color w:val="auto"/>
                    </w:rPr>
                    <w:t>粉状、粒状VOCs物料应采用气力输送设备、管状带式输送机、螺旋输送机等密闭输送方式，或者采用密闭的包装袋、容器或罐车进行物料转移。</w:t>
                  </w:r>
                </w:p>
                <w:p>
                  <w:pPr>
                    <w:jc w:val="center"/>
                    <w:rPr>
                      <w:rFonts w:hint="eastAsia" w:ascii="Times New Roman" w:hAnsi="Times New Roman"/>
                      <w:color w:val="auto"/>
                    </w:rPr>
                  </w:pPr>
                  <w:r>
                    <w:rPr>
                      <w:rFonts w:hint="eastAsia" w:ascii="Times New Roman" w:hAnsi="Times New Roman"/>
                      <w:b/>
                      <w:bCs/>
                      <w:color w:val="auto"/>
                    </w:rPr>
                    <w:t>工艺过程VOCs无组织排放控制要求：</w:t>
                  </w:r>
                  <w:r>
                    <w:rPr>
                      <w:rFonts w:hint="eastAsia" w:ascii="Times New Roman" w:hAnsi="Times New Roman"/>
                      <w:color w:val="auto"/>
                    </w:rPr>
                    <w:t>物料投加和卸放：粉状、粒状VOCs物料应采用气力输送方式或采用密闭固体投料器等给料方式密闭投加。无法密闭投加的，应在密闭空间内操作，或进行局部气体收集，废气应排至除尘设施、VOCs废气收集处理系统。VOCs物料卸(出、放)料过程应密闭，卸料废气应排至VOCs废气收集处理系统，无法密闭的，应采取局部气体收集措施，废气应排至VOCs废气收集处理系统。配料加工和含VOCs产品的包装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含VOCs产品的使用过程：VOCs质量占比大于等于10%的含VOCs产品，其使用过程应采用密闭设备或在密闭空间内操作，废气应排至VOCs废气收集处理系统，无法密闭的，应采取局部气体收集措施，废气应排至VOCs废气收集处理系统。其他要求：企业应建立台账，记录含VOCs原辅材料和含VOCs产品的名称、使用量、回收量、废弃量、去向以及VOCs含量等信息。台账保存期限不少于3年。通风生产设备、操作工位、车间厂房等应在符合安全生产、职业卫生相关规定的前提下，根据行业作业规程与标准、工业建筑及洁净厂房通风设计规范等的要求，采用合理的通风量。载有VOCs物料的设备及其管道在开停工(车)、检维修和清洗时，应在退料阶段将残存物料退净，并用密闭容器盛装，退料过程废气应排至VOCs废气收集处理系统；清洗及吹扫过程排气应排至VOCs废气收集处理系统。盛装过VOCs物料的废包装容器应加盖密闭。</w:t>
                  </w:r>
                </w:p>
                <w:p>
                  <w:pPr>
                    <w:jc w:val="center"/>
                    <w:rPr>
                      <w:rFonts w:ascii="Times New Roman" w:hAnsi="Times New Roman" w:cs="Times New Roman"/>
                      <w:color w:val="auto"/>
                      <w:kern w:val="0"/>
                      <w:sz w:val="21"/>
                      <w:szCs w:val="21"/>
                    </w:rPr>
                  </w:pPr>
                  <w:r>
                    <w:rPr>
                      <w:rFonts w:hint="eastAsia" w:ascii="Times New Roman" w:hAnsi="Times New Roman"/>
                      <w:b/>
                      <w:bCs/>
                      <w:color w:val="auto"/>
                    </w:rPr>
                    <w:t>废气收集系统要求：</w:t>
                  </w:r>
                  <w:r>
                    <w:rPr>
                      <w:rFonts w:hint="eastAsia" w:ascii="Times New Roman" w:hAnsi="Times New Roman"/>
                      <w:color w:val="auto"/>
                    </w:rPr>
                    <w:t>废气收集系统要求：企业应考虑生产工艺、操作方式、废气性质、处理方法等因素，对VOCs废气进行分类收集。废气收集系统排风罩(集气罩)的设置应符合GB/T16758的规定。采用外部排风罩的，应按GB/T 16758、AQ/T 4274-2016规定的方法测量控制风速，测量点应选取在距排风罩开口面最远处的VOCs无组织排放位置，控制风速不应低于0.3m/s(行业相关规范有具体规定的，按相关规定执行)。废气收集系统的输送管道应密闭。废气收集系统应在负压下运行，若处于正压状态，应对输送管道组件的密封点进行泄漏检测，泄漏检测值不应超过500μmol/mol，亦不应有感官可察觉泄漏。VOCs 排放控制要求：VOCs废气收集处理系统污染物排放应符合GB16297或相关行业排放标准的规定。收集的废气中NMHC初始排放速率≥3kg/h时，应配置VOCs处理设施，处理效率不应低</w:t>
                  </w:r>
                  <w:r>
                    <w:rPr>
                      <w:rFonts w:hint="eastAsia" w:ascii="Times New Roman" w:hAnsi="Times New Roman"/>
                      <w:color w:val="auto"/>
                      <w:lang w:val="en-US" w:eastAsia="zh-CN"/>
                    </w:rPr>
                    <w:t>于</w:t>
                  </w:r>
                  <w:r>
                    <w:rPr>
                      <w:rFonts w:hint="eastAsia" w:ascii="Times New Roman" w:hAnsi="Times New Roman"/>
                      <w:color w:val="auto"/>
                    </w:rPr>
                    <w:t>80%；对于重点地区，收集的废气中NMHC初始排放速率≥2kg/h 时，应配置VOCs处理设施，</w:t>
                  </w:r>
                  <w:r>
                    <w:rPr>
                      <w:rFonts w:hint="eastAsia" w:ascii="Times New Roman" w:hAnsi="Times New Roman"/>
                      <w:color w:val="auto"/>
                      <w:lang w:val="en-US" w:eastAsia="zh-CN"/>
                    </w:rPr>
                    <w:t>处理</w:t>
                  </w:r>
                  <w:r>
                    <w:rPr>
                      <w:rFonts w:hint="eastAsia" w:ascii="Times New Roman" w:hAnsi="Times New Roman"/>
                      <w:color w:val="auto"/>
                    </w:rPr>
                    <w:t>效率不应低于80%；采用的原辅材料符合国家有关低VOCs含量产品规定的除外。</w:t>
                  </w:r>
                </w:p>
              </w:tc>
              <w:tc>
                <w:tcPr>
                  <w:tcW w:w="1386" w:type="pct"/>
                  <w:tcBorders>
                    <w:tl2br w:val="nil"/>
                    <w:tr2bl w:val="nil"/>
                  </w:tcBorders>
                  <w:noWrap/>
                  <w:vAlign w:val="center"/>
                </w:tcPr>
                <w:p>
                  <w:pPr>
                    <w:numPr>
                      <w:ilvl w:val="0"/>
                      <w:numId w:val="4"/>
                    </w:num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本项目存放含VOCs物料为</w:t>
                  </w:r>
                  <w:r>
                    <w:rPr>
                      <w:rFonts w:hint="eastAsia" w:cs="Times New Roman"/>
                      <w:color w:val="auto"/>
                      <w:sz w:val="21"/>
                      <w:szCs w:val="21"/>
                      <w:lang w:val="en-US" w:eastAsia="zh-CN"/>
                    </w:rPr>
                    <w:t>油漆、</w:t>
                  </w:r>
                  <w:r>
                    <w:rPr>
                      <w:rFonts w:hint="eastAsia" w:cs="Times New Roman"/>
                      <w:color w:val="auto"/>
                      <w:sz w:val="21"/>
                      <w:szCs w:val="21"/>
                      <w:highlight w:val="none"/>
                      <w:lang w:val="en-US" w:eastAsia="zh-CN"/>
                    </w:rPr>
                    <w:t>稀释剂</w:t>
                  </w:r>
                  <w:r>
                    <w:rPr>
                      <w:rFonts w:hint="eastAsia" w:ascii="Times New Roman" w:hAnsi="Times New Roman" w:cs="Times New Roman"/>
                      <w:color w:val="auto"/>
                      <w:sz w:val="21"/>
                      <w:szCs w:val="21"/>
                      <w:lang w:val="en-US" w:eastAsia="zh-CN"/>
                    </w:rPr>
                    <w:t>，均采用桶装储存在存放于专用防爆柜，少量储存，即取即用。</w:t>
                  </w:r>
                </w:p>
                <w:p>
                  <w:pPr>
                    <w:numPr>
                      <w:ilvl w:val="0"/>
                      <w:numId w:val="4"/>
                    </w:num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本项目液态原料取用方式：整桶原料拿至车间，打开使用后及时加盖</w:t>
                  </w:r>
                  <w:r>
                    <w:rPr>
                      <w:rFonts w:hint="eastAsia" w:ascii="Times New Roman" w:hAnsi="Times New Roman" w:cs="Times New Roman"/>
                      <w:color w:val="auto"/>
                      <w:sz w:val="21"/>
                      <w:szCs w:val="21"/>
                      <w:lang w:val="en-US" w:eastAsia="zh-CN"/>
                    </w:rPr>
                    <w:t>。</w:t>
                  </w:r>
                </w:p>
                <w:p>
                  <w:pPr>
                    <w:numPr>
                      <w:ilvl w:val="0"/>
                      <w:numId w:val="4"/>
                    </w:num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调漆废气在密闭喷漆房内进行</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喷漆晾干废气经密闭空间-负压收集后由</w:t>
                  </w:r>
                  <w:r>
                    <w:rPr>
                      <w:rFonts w:hint="eastAsia" w:cs="Times New Roman"/>
                      <w:color w:val="auto"/>
                      <w:sz w:val="21"/>
                      <w:szCs w:val="21"/>
                      <w:lang w:val="en-US" w:eastAsia="zh-CN"/>
                    </w:rPr>
                    <w:t>多级过滤器</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三级</w:t>
                  </w:r>
                  <w:r>
                    <w:rPr>
                      <w:rFonts w:hint="eastAsia" w:ascii="Times New Roman" w:hAnsi="Times New Roman" w:cs="Times New Roman"/>
                      <w:color w:val="auto"/>
                      <w:sz w:val="21"/>
                      <w:szCs w:val="21"/>
                      <w:lang w:val="en-US" w:eastAsia="zh-CN"/>
                    </w:rPr>
                    <w:t>活性炭吸附装置处理后通过15 m排气筒（DA001）排放</w:t>
                  </w:r>
                  <w:r>
                    <w:rPr>
                      <w:rFonts w:hint="default" w:ascii="Times New Roman" w:hAnsi="Times New Roman" w:eastAsia="宋体" w:cs="Times New Roman"/>
                      <w:color w:val="auto"/>
                      <w:sz w:val="21"/>
                      <w:szCs w:val="21"/>
                      <w:lang w:val="en-US" w:eastAsia="zh-CN"/>
                    </w:rPr>
                    <w:t>；本项目建成后需按要求做好台账记录并保存</w:t>
                  </w:r>
                  <w:r>
                    <w:rPr>
                      <w:rFonts w:hint="eastAsia" w:ascii="Times New Roman" w:hAnsi="Times New Roman" w:cs="Times New Roman"/>
                      <w:color w:val="auto"/>
                      <w:sz w:val="21"/>
                      <w:szCs w:val="21"/>
                      <w:lang w:val="en-US" w:eastAsia="zh-CN"/>
                    </w:rPr>
                    <w:t>。</w:t>
                  </w:r>
                </w:p>
                <w:p>
                  <w:pPr>
                    <w:numPr>
                      <w:ilvl w:val="0"/>
                      <w:numId w:val="4"/>
                    </w:num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本项目废气采取集气管道进行收集，根据源强计算及废气治理设施的相应分析，本项目采用的废气治理设施处理效率不低于80%。</w:t>
                  </w:r>
                </w:p>
              </w:tc>
              <w:tc>
                <w:tcPr>
                  <w:tcW w:w="278"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793"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《关于加快解决当前挥发性有机物治理突出问题的通知》（环大气〔2021〕65号）</w:t>
                  </w:r>
                </w:p>
              </w:tc>
              <w:tc>
                <w:tcPr>
                  <w:tcW w:w="2312" w:type="pct"/>
                  <w:tcBorders>
                    <w:tl2br w:val="nil"/>
                    <w:tr2bl w:val="nil"/>
                  </w:tcBorders>
                  <w:noWrap/>
                  <w:vAlign w:val="center"/>
                </w:tcPr>
                <w:p>
                  <w:pPr>
                    <w:jc w:val="center"/>
                    <w:rPr>
                      <w:rFonts w:hint="eastAsia" w:ascii="Times New Roman" w:hAnsi="Times New Roman"/>
                      <w:b/>
                      <w:bCs/>
                      <w:color w:val="auto"/>
                    </w:rPr>
                  </w:pPr>
                  <w:r>
                    <w:rPr>
                      <w:rFonts w:hint="eastAsia" w:ascii="Times New Roman" w:hAnsi="Times New Roman"/>
                      <w:b w:val="0"/>
                      <w:bCs w:val="0"/>
                      <w:color w:val="auto"/>
                    </w:rPr>
                    <w:t>各地要以石油炼制、石油化工、合成树脂等石化行业，有机化工、煤化工、焦化（含兰炭）、制药、农药、涂料、油墨、胶粘剂等化工行业，涉及工业涂装的汽车、家具、零部件、钢结构、彩涂板等行业，包装印刷行业以及油品储运销为重点，并结合本地特色产业，组织企业针对挥发性有机液体储罐、装卸、敞开液面、泄漏检测与修复（LDAR）、废气收集、废气旁路、治理设施、加油站、非正常工况、产品VOCs含量等10个关键环节，认真对照大气污染防治法、排污许可证、相关排放标准和产品VOCs含量限值标准等开展排查整治，具体要求见附件。</w:t>
                  </w:r>
                </w:p>
              </w:tc>
              <w:tc>
                <w:tcPr>
                  <w:tcW w:w="1386" w:type="pct"/>
                  <w:tcBorders>
                    <w:tl2br w:val="nil"/>
                    <w:tr2bl w:val="nil"/>
                  </w:tcBorders>
                  <w:noWrap/>
                  <w:vAlign w:val="center"/>
                </w:tcPr>
                <w:p>
                  <w:pPr>
                    <w:numPr>
                      <w:ilvl w:val="0"/>
                      <w:numId w:val="0"/>
                    </w:numPr>
                    <w:adjustRightInd w:val="0"/>
                    <w:snapToGrid w:val="0"/>
                    <w:jc w:val="both"/>
                    <w:rPr>
                      <w:rFonts w:hint="default" w:ascii="Times New Roman" w:hAnsi="Times New Roman" w:eastAsia="宋体" w:cs="Times New Roman"/>
                      <w:color w:val="auto"/>
                      <w:sz w:val="21"/>
                      <w:szCs w:val="21"/>
                      <w:lang w:val="en-US" w:eastAsia="zh-CN"/>
                    </w:rPr>
                  </w:pPr>
                  <w:r>
                    <w:rPr>
                      <w:rFonts w:ascii="Times New Roman" w:hAnsi="Times New Roman"/>
                      <w:color w:val="auto"/>
                      <w:szCs w:val="21"/>
                    </w:rPr>
                    <w:t>本项目为</w:t>
                  </w:r>
                  <w:r>
                    <w:rPr>
                      <w:rFonts w:hint="eastAsia" w:ascii="Times New Roman" w:hAnsi="Times New Roman" w:eastAsia="宋体"/>
                      <w:color w:val="auto"/>
                      <w:sz w:val="21"/>
                      <w:szCs w:val="21"/>
                      <w:lang w:eastAsia="zh-CN"/>
                    </w:rPr>
                    <w:t>C3484 机械零部件加工</w:t>
                  </w:r>
                  <w:r>
                    <w:rPr>
                      <w:rFonts w:ascii="Times New Roman" w:hAnsi="Times New Roman"/>
                      <w:color w:val="auto"/>
                      <w:szCs w:val="21"/>
                    </w:rPr>
                    <w:t>，本项目</w:t>
                  </w:r>
                  <w:r>
                    <w:rPr>
                      <w:rFonts w:hint="eastAsia" w:ascii="Times New Roman" w:hAnsi="Times New Roman"/>
                      <w:color w:val="auto"/>
                      <w:szCs w:val="21"/>
                      <w:lang w:val="en-US" w:eastAsia="zh-CN"/>
                    </w:rPr>
                    <w:t>不属于文件所提到的行业</w:t>
                  </w:r>
                  <w:r>
                    <w:rPr>
                      <w:rFonts w:hint="eastAsia" w:ascii="Times New Roman" w:hAnsi="Times New Roman"/>
                      <w:color w:val="auto"/>
                      <w:szCs w:val="21"/>
                      <w:lang w:eastAsia="zh-CN"/>
                    </w:rPr>
                    <w:t>，</w:t>
                  </w:r>
                  <w:r>
                    <w:rPr>
                      <w:rFonts w:hint="eastAsia" w:ascii="Times New Roman" w:hAnsi="Times New Roman" w:cs="Times New Roman"/>
                      <w:color w:val="auto"/>
                      <w:sz w:val="21"/>
                      <w:szCs w:val="21"/>
                      <w:lang w:val="en-US" w:eastAsia="zh-CN"/>
                    </w:rPr>
                    <w:t>且不属于</w:t>
                  </w:r>
                  <w:r>
                    <w:rPr>
                      <w:rFonts w:hint="eastAsia" w:ascii="Times New Roman" w:hAnsi="Times New Roman" w:cs="Times New Roman"/>
                      <w:color w:val="auto"/>
                      <w:sz w:val="21"/>
                      <w:szCs w:val="21"/>
                    </w:rPr>
                    <w:t>生产和使用高VOCs含量的溶剂型涂料、油墨、胶粘剂</w:t>
                  </w:r>
                  <w:r>
                    <w:rPr>
                      <w:rFonts w:hint="eastAsia" w:ascii="Times New Roman" w:hAnsi="Times New Roman" w:cs="Times New Roman"/>
                      <w:color w:val="auto"/>
                      <w:sz w:val="21"/>
                      <w:szCs w:val="21"/>
                      <w:lang w:val="en-US" w:eastAsia="zh-CN"/>
                    </w:rPr>
                    <w:t>的</w:t>
                  </w:r>
                  <w:r>
                    <w:rPr>
                      <w:rFonts w:hint="eastAsia" w:ascii="Times New Roman" w:hAnsi="Times New Roman" w:cs="Times New Roman"/>
                      <w:color w:val="auto"/>
                      <w:sz w:val="21"/>
                      <w:szCs w:val="21"/>
                    </w:rPr>
                    <w:t>项目</w:t>
                  </w:r>
                  <w:r>
                    <w:rPr>
                      <w:rFonts w:hint="eastAsia" w:ascii="Times New Roman" w:hAnsi="Times New Roman" w:cs="Times New Roman"/>
                      <w:color w:val="auto"/>
                      <w:sz w:val="21"/>
                      <w:szCs w:val="21"/>
                      <w:lang w:eastAsia="zh-CN"/>
                    </w:rPr>
                    <w:t>，本</w:t>
                  </w:r>
                  <w:r>
                    <w:rPr>
                      <w:rFonts w:hint="eastAsia" w:ascii="Times New Roman" w:hAnsi="Times New Roman" w:cs="Times New Roman"/>
                      <w:color w:val="auto"/>
                      <w:sz w:val="21"/>
                      <w:szCs w:val="21"/>
                      <w:lang w:val="en-US" w:eastAsia="zh-CN"/>
                    </w:rPr>
                    <w:t>项目</w:t>
                  </w:r>
                  <w:r>
                    <w:rPr>
                      <w:rFonts w:hint="eastAsia" w:ascii="Times New Roman" w:hAnsi="Times New Roman" w:cs="Times New Roman"/>
                      <w:color w:val="auto"/>
                      <w:sz w:val="21"/>
                      <w:szCs w:val="21"/>
                      <w:lang w:eastAsia="zh-CN"/>
                    </w:rPr>
                    <w:t>产生的</w:t>
                  </w:r>
                  <w:r>
                    <w:rPr>
                      <w:rFonts w:hint="eastAsia" w:ascii="Times New Roman" w:hAnsi="Times New Roman" w:cs="Times New Roman"/>
                      <w:color w:val="auto"/>
                      <w:sz w:val="21"/>
                      <w:szCs w:val="21"/>
                      <w:lang w:val="en-US" w:eastAsia="zh-CN"/>
                    </w:rPr>
                    <w:t>喷漆晾干废气经密闭空间-负压收集后由</w:t>
                  </w:r>
                  <w:r>
                    <w:rPr>
                      <w:rFonts w:hint="eastAsia" w:cs="Times New Roman"/>
                      <w:color w:val="auto"/>
                      <w:sz w:val="21"/>
                      <w:szCs w:val="21"/>
                      <w:lang w:val="en-US" w:eastAsia="zh-CN"/>
                    </w:rPr>
                    <w:t>多级过滤器</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三级</w:t>
                  </w:r>
                  <w:r>
                    <w:rPr>
                      <w:rFonts w:hint="eastAsia" w:ascii="Times New Roman" w:hAnsi="Times New Roman" w:cs="Times New Roman"/>
                      <w:color w:val="auto"/>
                      <w:sz w:val="21"/>
                      <w:szCs w:val="21"/>
                      <w:lang w:val="en-US" w:eastAsia="zh-CN"/>
                    </w:rPr>
                    <w:t>活性炭吸附装置处理后通过15 m排气筒（DA001）排放</w:t>
                  </w:r>
                </w:p>
              </w:tc>
              <w:tc>
                <w:tcPr>
                  <w:tcW w:w="278"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793"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《低挥发性有机化合物含量涂料产品技术要求(GB/T38597-2020)》</w:t>
                  </w:r>
                </w:p>
              </w:tc>
              <w:tc>
                <w:tcPr>
                  <w:tcW w:w="2312" w:type="pct"/>
                  <w:tcBorders>
                    <w:tl2br w:val="nil"/>
                    <w:tr2bl w:val="nil"/>
                  </w:tcBorders>
                  <w:noWrap/>
                  <w:vAlign w:val="center"/>
                </w:tcPr>
                <w:p>
                  <w:pPr>
                    <w:jc w:val="center"/>
                    <w:rPr>
                      <w:rFonts w:hint="eastAsia" w:ascii="Times New Roman" w:hAnsi="Times New Roman"/>
                      <w:b w:val="0"/>
                      <w:bCs w:val="0"/>
                      <w:color w:val="auto"/>
                    </w:rPr>
                  </w:pPr>
                  <w:r>
                    <w:rPr>
                      <w:rFonts w:hint="eastAsia" w:ascii="Times New Roman" w:hAnsi="Times New Roman"/>
                      <w:b w:val="0"/>
                      <w:bCs w:val="0"/>
                      <w:color w:val="auto"/>
                      <w:lang w:val="en-US" w:eastAsia="zh-CN"/>
                    </w:rPr>
                    <w:t>表2中工业防护涂料中机械设备涂料中工程机械和农业机械涂料（含零部件涂料）底漆的要求（≤420g/L）、面漆的要求（≤420g/L）</w:t>
                  </w:r>
                </w:p>
              </w:tc>
              <w:tc>
                <w:tcPr>
                  <w:tcW w:w="1386" w:type="pct"/>
                  <w:tcBorders>
                    <w:tl2br w:val="nil"/>
                    <w:tr2bl w:val="nil"/>
                  </w:tcBorders>
                  <w:noWrap/>
                  <w:vAlign w:val="center"/>
                </w:tcPr>
                <w:p>
                  <w:pPr>
                    <w:numPr>
                      <w:ilvl w:val="0"/>
                      <w:numId w:val="0"/>
                    </w:numPr>
                    <w:adjustRightInd w:val="0"/>
                    <w:snapToGrid w:val="0"/>
                    <w:jc w:val="both"/>
                    <w:rPr>
                      <w:rFonts w:hint="eastAsia" w:ascii="Times New Roman" w:hAnsi="Times New Roman"/>
                      <w:color w:val="auto"/>
                      <w:szCs w:val="21"/>
                      <w:lang w:val="en-US" w:eastAsia="zh-CN"/>
                    </w:rPr>
                  </w:pPr>
                  <w:r>
                    <w:rPr>
                      <w:rFonts w:hint="eastAsia" w:ascii="Times New Roman" w:hAnsi="Times New Roman"/>
                      <w:color w:val="auto"/>
                      <w:szCs w:val="21"/>
                      <w:lang w:val="en-US" w:eastAsia="zh-CN"/>
                    </w:rPr>
                    <w:t>由于本项目产品要求产品的耐腐蚀性、耐磨性较强，</w:t>
                  </w:r>
                  <w:r>
                    <w:rPr>
                      <w:rFonts w:hint="eastAsia"/>
                      <w:color w:val="auto"/>
                      <w:szCs w:val="21"/>
                      <w:lang w:val="en-US" w:eastAsia="zh-CN"/>
                    </w:rPr>
                    <w:t>水性漆</w:t>
                  </w:r>
                  <w:r>
                    <w:rPr>
                      <w:rFonts w:hint="eastAsia" w:ascii="Times New Roman" w:hAnsi="Times New Roman"/>
                      <w:color w:val="auto"/>
                      <w:szCs w:val="21"/>
                      <w:lang w:val="en-US" w:eastAsia="zh-CN"/>
                    </w:rPr>
                    <w:t>无法达到要求，需使用溶剂型油漆，不可替代证明见附件17，根据企业提供的检测报告可知该</w:t>
                  </w:r>
                  <w:r>
                    <w:rPr>
                      <w:rFonts w:hint="eastAsia"/>
                      <w:color w:val="auto"/>
                      <w:szCs w:val="21"/>
                      <w:lang w:val="en-US" w:eastAsia="zh-CN"/>
                    </w:rPr>
                    <w:t>高固份</w:t>
                  </w:r>
                  <w:r>
                    <w:rPr>
                      <w:rFonts w:hint="eastAsia" w:ascii="Times New Roman" w:hAnsi="Times New Roman"/>
                      <w:color w:val="auto"/>
                      <w:szCs w:val="21"/>
                      <w:lang w:val="en-US" w:eastAsia="zh-CN"/>
                    </w:rPr>
                    <w:t>漆挥发性有机物的含量为</w:t>
                  </w:r>
                  <w:r>
                    <w:rPr>
                      <w:rFonts w:hint="eastAsia"/>
                      <w:color w:val="auto"/>
                      <w:szCs w:val="21"/>
                      <w:lang w:val="en-US" w:eastAsia="zh-CN"/>
                    </w:rPr>
                    <w:t>257</w:t>
                  </w:r>
                  <w:r>
                    <w:rPr>
                      <w:rFonts w:hint="eastAsia" w:ascii="Times New Roman" w:hAnsi="Times New Roman"/>
                      <w:color w:val="auto"/>
                      <w:szCs w:val="21"/>
                      <w:lang w:val="en-US" w:eastAsia="zh-CN"/>
                    </w:rPr>
                    <w:t>g/L；溶剂型涂料中VOC含量的限量值应符合表2中工业防护涂料中机械设备涂料中工程机械和农业机械涂料（含零部件涂料）底漆的要求（≤420g/L）、面漆的要求（≤420g/L），满足《低挥发性有机化合物含量涂料产品技术要求》（GB</w:t>
                  </w:r>
                  <w:r>
                    <w:rPr>
                      <w:rFonts w:hint="eastAsia"/>
                      <w:color w:val="auto"/>
                      <w:szCs w:val="21"/>
                      <w:lang w:val="en-US" w:eastAsia="zh-CN"/>
                    </w:rPr>
                    <w:t>/</w:t>
                  </w:r>
                  <w:r>
                    <w:rPr>
                      <w:rFonts w:hint="eastAsia" w:ascii="Times New Roman" w:hAnsi="Times New Roman"/>
                      <w:color w:val="auto"/>
                      <w:szCs w:val="21"/>
                      <w:lang w:val="en-US" w:eastAsia="zh-CN"/>
                    </w:rPr>
                    <w:t>T38597</w:t>
                  </w:r>
                  <w:r>
                    <w:rPr>
                      <w:rFonts w:hint="eastAsia"/>
                      <w:color w:val="auto"/>
                      <w:szCs w:val="21"/>
                      <w:lang w:val="en-US" w:eastAsia="zh-CN"/>
                    </w:rPr>
                    <w:t>-</w:t>
                  </w:r>
                  <w:r>
                    <w:rPr>
                      <w:rFonts w:hint="eastAsia" w:ascii="Times New Roman" w:hAnsi="Times New Roman"/>
                      <w:color w:val="auto"/>
                      <w:szCs w:val="21"/>
                      <w:lang w:val="en-US" w:eastAsia="zh-CN"/>
                    </w:rPr>
                    <w:t>2020）标准限值要求。</w:t>
                  </w:r>
                </w:p>
                <w:p>
                  <w:pPr>
                    <w:numPr>
                      <w:ilvl w:val="0"/>
                      <w:numId w:val="0"/>
                    </w:numPr>
                    <w:adjustRightInd w:val="0"/>
                    <w:snapToGrid w:val="0"/>
                    <w:jc w:val="both"/>
                    <w:rPr>
                      <w:rFonts w:ascii="Times New Roman" w:hAnsi="Times New Roman"/>
                      <w:color w:val="auto"/>
                      <w:szCs w:val="21"/>
                    </w:rPr>
                  </w:pPr>
                </w:p>
              </w:tc>
              <w:tc>
                <w:tcPr>
                  <w:tcW w:w="278" w:type="pct"/>
                  <w:tcBorders>
                    <w:tl2br w:val="nil"/>
                    <w:tr2bl w:val="nil"/>
                  </w:tcBorders>
                  <w:noWrap/>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noWrap/>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793" w:type="pct"/>
                  <w:tcBorders>
                    <w:tl2br w:val="nil"/>
                    <w:tr2bl w:val="nil"/>
                  </w:tcBorders>
                  <w:noWrap/>
                  <w:vAlign w:val="center"/>
                </w:tcPr>
                <w:p>
                  <w:pPr>
                    <w:adjustRightInd w:val="0"/>
                    <w:snapToGrid w:val="0"/>
                    <w:jc w:val="center"/>
                    <w:rPr>
                      <w:rFonts w:hint="default" w:ascii="Times New Roman" w:hAnsi="Times New Roman" w:cs="Times New Roman"/>
                      <w:color w:val="auto"/>
                      <w:kern w:val="0"/>
                      <w:sz w:val="21"/>
                      <w:szCs w:val="21"/>
                      <w:lang w:val="en-US" w:eastAsia="zh-CN"/>
                    </w:rPr>
                  </w:pPr>
                  <w:r>
                    <w:rPr>
                      <w:rFonts w:hint="eastAsia"/>
                      <w:lang w:val="en-US" w:eastAsia="zh-CN"/>
                    </w:rPr>
                    <w:t>《涂料中有害物质限量 第2部分：工业涂料》（GB30981.2-2025）</w:t>
                  </w:r>
                </w:p>
              </w:tc>
              <w:tc>
                <w:tcPr>
                  <w:tcW w:w="2312" w:type="pct"/>
                  <w:tcBorders>
                    <w:tl2br w:val="nil"/>
                    <w:tr2bl w:val="nil"/>
                  </w:tcBorders>
                  <w:noWrap/>
                  <w:vAlign w:val="center"/>
                </w:tcPr>
                <w:p>
                  <w:pPr>
                    <w:jc w:val="center"/>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表2中工业防护涂料中机械设备涂料中（港口机械和化工机械</w:t>
                  </w:r>
                  <w:r>
                    <w:rPr>
                      <w:rFonts w:hint="eastAsia"/>
                      <w:b w:val="0"/>
                      <w:bCs w:val="0"/>
                      <w:color w:val="auto"/>
                      <w:lang w:val="en-US" w:eastAsia="zh-CN"/>
                    </w:rPr>
                    <w:t>涂料</w:t>
                  </w:r>
                  <w:r>
                    <w:rPr>
                      <w:rFonts w:hint="eastAsia" w:ascii="Times New Roman" w:hAnsi="Times New Roman"/>
                      <w:b w:val="0"/>
                      <w:bCs w:val="0"/>
                      <w:color w:val="auto"/>
                      <w:lang w:val="en-US" w:eastAsia="zh-CN"/>
                    </w:rPr>
                    <w:t>（含零部件涂料）底漆的要求（≤</w:t>
                  </w:r>
                  <w:r>
                    <w:rPr>
                      <w:rFonts w:hint="eastAsia"/>
                      <w:b w:val="0"/>
                      <w:bCs w:val="0"/>
                      <w:color w:val="auto"/>
                      <w:lang w:val="en-US" w:eastAsia="zh-CN"/>
                    </w:rPr>
                    <w:t>55</w:t>
                  </w:r>
                  <w:r>
                    <w:rPr>
                      <w:rFonts w:hint="eastAsia" w:ascii="Times New Roman" w:hAnsi="Times New Roman"/>
                      <w:b w:val="0"/>
                      <w:bCs w:val="0"/>
                      <w:color w:val="auto"/>
                      <w:lang w:val="en-US" w:eastAsia="zh-CN"/>
                    </w:rPr>
                    <w:t>0g/L）、面漆的要求（≤</w:t>
                  </w:r>
                  <w:r>
                    <w:rPr>
                      <w:rFonts w:hint="eastAsia"/>
                      <w:b w:val="0"/>
                      <w:bCs w:val="0"/>
                      <w:color w:val="auto"/>
                      <w:lang w:val="en-US" w:eastAsia="zh-CN"/>
                    </w:rPr>
                    <w:t>50</w:t>
                  </w:r>
                  <w:r>
                    <w:rPr>
                      <w:rFonts w:hint="eastAsia" w:ascii="Times New Roman" w:hAnsi="Times New Roman"/>
                      <w:b w:val="0"/>
                      <w:bCs w:val="0"/>
                      <w:color w:val="auto"/>
                      <w:lang w:val="en-US" w:eastAsia="zh-CN"/>
                    </w:rPr>
                    <w:t>0g/L）</w:t>
                  </w:r>
                </w:p>
              </w:tc>
              <w:tc>
                <w:tcPr>
                  <w:tcW w:w="1386" w:type="pct"/>
                  <w:tcBorders>
                    <w:tl2br w:val="nil"/>
                    <w:tr2bl w:val="nil"/>
                  </w:tcBorders>
                  <w:noWrap/>
                  <w:vAlign w:val="center"/>
                </w:tcPr>
                <w:p>
                  <w:pPr>
                    <w:numPr>
                      <w:ilvl w:val="0"/>
                      <w:numId w:val="0"/>
                    </w:numPr>
                    <w:adjustRightInd w:val="0"/>
                    <w:snapToGrid w:val="0"/>
                    <w:jc w:val="both"/>
                    <w:rPr>
                      <w:rFonts w:ascii="Times New Roman" w:hAnsi="Times New Roman"/>
                      <w:color w:val="auto"/>
                      <w:szCs w:val="21"/>
                    </w:rPr>
                  </w:pPr>
                  <w:r>
                    <w:rPr>
                      <w:rFonts w:hint="eastAsia" w:ascii="Times New Roman" w:hAnsi="Times New Roman"/>
                      <w:color w:val="auto"/>
                      <w:szCs w:val="21"/>
                      <w:lang w:val="en-US" w:eastAsia="zh-CN"/>
                    </w:rPr>
                    <w:t>根据企业提供的检测报告可知该</w:t>
                  </w:r>
                  <w:r>
                    <w:rPr>
                      <w:rFonts w:hint="eastAsia"/>
                      <w:color w:val="auto"/>
                      <w:szCs w:val="21"/>
                      <w:lang w:val="en-US" w:eastAsia="zh-CN"/>
                    </w:rPr>
                    <w:t>高固份漆</w:t>
                  </w:r>
                  <w:r>
                    <w:rPr>
                      <w:rFonts w:hint="eastAsia" w:ascii="Times New Roman" w:hAnsi="Times New Roman"/>
                      <w:color w:val="auto"/>
                      <w:szCs w:val="21"/>
                      <w:lang w:val="en-US" w:eastAsia="zh-CN"/>
                    </w:rPr>
                    <w:t>挥发性有机物的含量为</w:t>
                  </w:r>
                  <w:r>
                    <w:rPr>
                      <w:rFonts w:hint="eastAsia"/>
                      <w:color w:val="auto"/>
                      <w:szCs w:val="21"/>
                      <w:lang w:val="en-US" w:eastAsia="zh-CN"/>
                    </w:rPr>
                    <w:t>257</w:t>
                  </w:r>
                  <w:r>
                    <w:rPr>
                      <w:rFonts w:hint="eastAsia" w:ascii="Times New Roman" w:hAnsi="Times New Roman"/>
                      <w:color w:val="auto"/>
                      <w:szCs w:val="21"/>
                      <w:lang w:val="en-US" w:eastAsia="zh-CN"/>
                    </w:rPr>
                    <w:t>g/L</w:t>
                  </w:r>
                </w:p>
              </w:tc>
              <w:tc>
                <w:tcPr>
                  <w:tcW w:w="278" w:type="pct"/>
                  <w:tcBorders>
                    <w:tl2br w:val="nil"/>
                    <w:tr2bl w:val="nil"/>
                  </w:tcBorders>
                  <w:noWrap/>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符合</w:t>
                  </w:r>
                </w:p>
              </w:tc>
            </w:tr>
          </w:tbl>
          <w:p>
            <w:pPr>
              <w:spacing w:line="360" w:lineRule="auto"/>
              <w:rPr>
                <w:rFonts w:ascii="Times New Roman" w:hAnsi="Times New Roman"/>
                <w:b/>
                <w:bCs/>
                <w:color w:val="auto"/>
                <w:sz w:val="24"/>
              </w:rPr>
            </w:pPr>
            <w:r>
              <w:rPr>
                <w:rFonts w:hint="eastAsia" w:ascii="Times New Roman" w:hAnsi="Times New Roman"/>
                <w:b/>
                <w:bCs/>
                <w:color w:val="auto"/>
                <w:sz w:val="24"/>
              </w:rPr>
              <w:t>8、与市政府办公室关于印发《如皋市2020年重点行业挥发性有机物综合治理方案》的通知（皋政办发〔2020〕89号）相符性分析</w:t>
            </w:r>
          </w:p>
          <w:p>
            <w:pPr>
              <w:spacing w:line="360" w:lineRule="auto"/>
              <w:ind w:firstLine="480"/>
              <w:rPr>
                <w:rFonts w:ascii="Times New Roman" w:hAnsi="Times New Roman"/>
                <w:color w:val="auto"/>
                <w:sz w:val="24"/>
              </w:rPr>
            </w:pPr>
            <w:r>
              <w:rPr>
                <w:rFonts w:hint="eastAsia" w:ascii="Times New Roman" w:hAnsi="Times New Roman"/>
                <w:color w:val="auto"/>
                <w:sz w:val="24"/>
              </w:rPr>
              <w:t>根据市政府办公室关于印发《如皋市2020年重点行业挥发性有机物综合治理方案》的通知（皋政办发〔2020〕89号）“全面落实《挥发性有机物无组织排放控制标准》，重点对含VOCs物料（包括原辅材料、产品、废料以及有机聚合物材料等）储存、转移和输送、设备与管线组件泄漏、敞开液面逸散以及工艺过程等五类排放源实施管控，在确保安全的前提下，通过采取设备与场所密闭、工艺改进、废气有效收集等措施，削减VOCs无组织排放。”</w:t>
            </w:r>
          </w:p>
          <w:p>
            <w:pPr>
              <w:spacing w:line="360" w:lineRule="auto"/>
              <w:ind w:firstLine="480"/>
              <w:rPr>
                <w:rFonts w:ascii="Times New Roman" w:hAnsi="Times New Roman"/>
                <w:color w:val="auto"/>
                <w:sz w:val="24"/>
              </w:rPr>
            </w:pPr>
            <w:r>
              <w:rPr>
                <w:rFonts w:hint="eastAsia" w:ascii="Times New Roman" w:hAnsi="Times New Roman"/>
                <w:color w:val="auto"/>
                <w:sz w:val="24"/>
              </w:rPr>
              <w:t> </w:t>
            </w:r>
            <w:r>
              <w:rPr>
                <w:rFonts w:hint="eastAsia" w:ascii="Times New Roman" w:hAnsi="Times New Roman"/>
                <w:color w:val="auto"/>
                <w:kern w:val="0"/>
                <w:sz w:val="24"/>
                <w:lang w:bidi="ar"/>
              </w:rPr>
              <w:t>本项目</w:t>
            </w:r>
            <w:r>
              <w:rPr>
                <w:rFonts w:hint="eastAsia" w:ascii="Times New Roman" w:hAnsi="Times New Roman"/>
                <w:color w:val="auto"/>
                <w:kern w:val="0"/>
                <w:sz w:val="24"/>
                <w:lang w:val="en-US" w:eastAsia="zh-CN" w:bidi="ar"/>
              </w:rPr>
              <w:t>喷漆晾干废气经密闭空间-负压收集后由</w:t>
            </w:r>
            <w:r>
              <w:rPr>
                <w:rFonts w:hint="eastAsia"/>
                <w:color w:val="auto"/>
                <w:kern w:val="0"/>
                <w:sz w:val="24"/>
                <w:lang w:val="en-US" w:eastAsia="zh-CN" w:bidi="ar"/>
              </w:rPr>
              <w:t>多级过滤器</w:t>
            </w:r>
            <w:r>
              <w:rPr>
                <w:rFonts w:hint="eastAsia" w:ascii="Times New Roman" w:hAnsi="Times New Roman"/>
                <w:color w:val="auto"/>
                <w:kern w:val="0"/>
                <w:sz w:val="24"/>
                <w:lang w:val="en-US" w:eastAsia="zh-CN" w:bidi="ar"/>
              </w:rPr>
              <w:t>+</w:t>
            </w:r>
            <w:r>
              <w:rPr>
                <w:rFonts w:hint="eastAsia"/>
                <w:color w:val="auto"/>
                <w:kern w:val="0"/>
                <w:sz w:val="24"/>
                <w:lang w:val="en-US" w:eastAsia="zh-CN" w:bidi="ar"/>
              </w:rPr>
              <w:t>三级</w:t>
            </w:r>
            <w:r>
              <w:rPr>
                <w:rFonts w:hint="eastAsia" w:ascii="Times New Roman" w:hAnsi="Times New Roman"/>
                <w:color w:val="auto"/>
                <w:kern w:val="0"/>
                <w:sz w:val="24"/>
                <w:lang w:val="en-US" w:eastAsia="zh-CN" w:bidi="ar"/>
              </w:rPr>
              <w:t>活性炭吸附装置处理后通过15 m排气筒（DA001）排放</w:t>
            </w:r>
            <w:r>
              <w:rPr>
                <w:rFonts w:hint="eastAsia" w:ascii="Times New Roman" w:hAnsi="Times New Roman"/>
                <w:color w:val="auto"/>
                <w:kern w:val="0"/>
                <w:sz w:val="24"/>
                <w:lang w:bidi="ar"/>
              </w:rPr>
              <w:t>，未捕集的</w:t>
            </w:r>
            <w:r>
              <w:rPr>
                <w:rFonts w:hint="eastAsia" w:ascii="Times New Roman" w:hAnsi="Times New Roman"/>
                <w:color w:val="auto"/>
                <w:sz w:val="24"/>
              </w:rPr>
              <w:t>有机废气经车间通风后无组织排放，符合《如皋市2020年重点行业挥发性有机物综合治理方案》的通知（皋政办发〔2020〕89号）的要求。</w:t>
            </w:r>
          </w:p>
          <w:p>
            <w:pPr>
              <w:pStyle w:val="26"/>
              <w:spacing w:line="360" w:lineRule="auto"/>
              <w:ind w:firstLine="0"/>
              <w:rPr>
                <w:rFonts w:ascii="Times New Roman" w:hAnsi="Times New Roman"/>
                <w:b/>
                <w:bCs/>
                <w:color w:val="auto"/>
                <w:szCs w:val="24"/>
              </w:rPr>
            </w:pPr>
            <w:r>
              <w:rPr>
                <w:rFonts w:hint="eastAsia" w:ascii="Times New Roman" w:hAnsi="Times New Roman"/>
                <w:b/>
                <w:bCs/>
                <w:color w:val="auto"/>
                <w:szCs w:val="24"/>
              </w:rPr>
              <w:t>9、与《江苏省重点行业挥发性有机物污染控制指南》相符性分析</w:t>
            </w:r>
          </w:p>
          <w:p>
            <w:pPr>
              <w:pStyle w:val="26"/>
              <w:spacing w:line="360" w:lineRule="auto"/>
              <w:ind w:firstLine="480"/>
              <w:rPr>
                <w:rFonts w:ascii="Times New Roman" w:hAnsi="Times New Roman"/>
                <w:color w:val="auto"/>
                <w:szCs w:val="24"/>
              </w:rPr>
            </w:pPr>
            <w:r>
              <w:rPr>
                <w:rFonts w:hint="eastAsia" w:ascii="Times New Roman" w:hAnsi="Times New Roman"/>
                <w:color w:val="auto"/>
                <w:szCs w:val="24"/>
              </w:rPr>
              <w:t>根据《江苏省重点行业挥发性有机物污染控制指南》（苏环办[2014]128号）要求：“一、总体要求（二）鼓励对排放的 VOCs 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 总收集、净化处理率均不低于 90%，其他行业原则上不低于75%。</w:t>
            </w:r>
          </w:p>
          <w:p>
            <w:pPr>
              <w:pStyle w:val="26"/>
              <w:spacing w:line="360" w:lineRule="auto"/>
              <w:ind w:firstLine="480"/>
              <w:rPr>
                <w:rFonts w:ascii="Times New Roman" w:hAnsi="Times New Roman"/>
                <w:color w:val="auto"/>
                <w:szCs w:val="24"/>
              </w:rPr>
            </w:pPr>
            <w:r>
              <w:rPr>
                <w:rFonts w:hint="eastAsia" w:ascii="Times New Roman" w:hAnsi="Times New Roman"/>
                <w:color w:val="auto"/>
                <w:szCs w:val="24"/>
              </w:rPr>
              <w:t>本项目不属于上述重点行业，本项目</w:t>
            </w:r>
            <w:r>
              <w:rPr>
                <w:rFonts w:hint="eastAsia" w:ascii="Times New Roman" w:hAnsi="Times New Roman"/>
                <w:color w:val="auto"/>
                <w:szCs w:val="24"/>
                <w:lang w:val="en-US" w:eastAsia="zh-CN"/>
              </w:rPr>
              <w:t>喷漆晾干废气经密闭空间-负压收集后由</w:t>
            </w:r>
            <w:r>
              <w:rPr>
                <w:rFonts w:hint="eastAsia"/>
                <w:color w:val="auto"/>
                <w:szCs w:val="24"/>
                <w:lang w:val="en-US" w:eastAsia="zh-CN"/>
              </w:rPr>
              <w:t>多级过滤器</w:t>
            </w:r>
            <w:r>
              <w:rPr>
                <w:rFonts w:hint="eastAsia" w:ascii="Times New Roman" w:hAnsi="Times New Roman"/>
                <w:color w:val="auto"/>
                <w:szCs w:val="24"/>
                <w:lang w:val="en-US" w:eastAsia="zh-CN"/>
              </w:rPr>
              <w:t>+</w:t>
            </w:r>
            <w:r>
              <w:rPr>
                <w:rFonts w:hint="eastAsia"/>
                <w:color w:val="auto"/>
                <w:szCs w:val="24"/>
                <w:lang w:val="en-US" w:eastAsia="zh-CN"/>
              </w:rPr>
              <w:t>三级</w:t>
            </w:r>
            <w:r>
              <w:rPr>
                <w:rFonts w:hint="eastAsia" w:ascii="Times New Roman" w:hAnsi="Times New Roman"/>
                <w:color w:val="auto"/>
                <w:szCs w:val="24"/>
                <w:lang w:val="en-US" w:eastAsia="zh-CN"/>
              </w:rPr>
              <w:t>活性炭吸附装置处理后通过15 m排气筒（DA001）排放</w:t>
            </w:r>
            <w:r>
              <w:rPr>
                <w:rFonts w:hint="eastAsia" w:ascii="Times New Roman" w:hAnsi="Times New Roman"/>
                <w:color w:val="auto"/>
                <w:szCs w:val="24"/>
              </w:rPr>
              <w:t>，</w:t>
            </w:r>
            <w:r>
              <w:rPr>
                <w:rFonts w:hint="eastAsia" w:ascii="Times New Roman" w:hAnsi="Times New Roman"/>
                <w:color w:val="auto"/>
                <w:szCs w:val="24"/>
                <w:lang w:val="en-US" w:eastAsia="zh-CN"/>
              </w:rPr>
              <w:t>三级活性炭</w:t>
            </w:r>
            <w:r>
              <w:rPr>
                <w:rFonts w:hint="eastAsia" w:ascii="Times New Roman" w:hAnsi="Times New Roman"/>
                <w:color w:val="auto"/>
                <w:szCs w:val="24"/>
              </w:rPr>
              <w:t>治理效率可达9</w:t>
            </w:r>
            <w:r>
              <w:rPr>
                <w:rFonts w:hint="eastAsia" w:ascii="Times New Roman" w:hAnsi="Times New Roman"/>
                <w:color w:val="auto"/>
                <w:szCs w:val="24"/>
                <w:lang w:val="en-US" w:eastAsia="zh-CN"/>
              </w:rPr>
              <w:t>5</w:t>
            </w:r>
            <w:r>
              <w:rPr>
                <w:rFonts w:hint="eastAsia" w:ascii="Times New Roman" w:hAnsi="Times New Roman"/>
                <w:color w:val="auto"/>
                <w:szCs w:val="24"/>
              </w:rPr>
              <w:t>%</w:t>
            </w:r>
            <w:r>
              <w:rPr>
                <w:rFonts w:hint="eastAsia"/>
                <w:color w:val="auto"/>
                <w:szCs w:val="24"/>
                <w:lang w:eastAsia="zh-CN"/>
              </w:rPr>
              <w:t>；</w:t>
            </w:r>
            <w:r>
              <w:rPr>
                <w:rFonts w:hint="eastAsia" w:ascii="Times New Roman" w:hAnsi="Times New Roman"/>
                <w:color w:val="auto"/>
                <w:szCs w:val="24"/>
              </w:rPr>
              <w:t>因此，本项目符合《江苏省重点行业挥发性有机物污染控制指南》的要求。</w:t>
            </w:r>
          </w:p>
          <w:p>
            <w:pPr>
              <w:autoSpaceDE w:val="0"/>
              <w:autoSpaceDN w:val="0"/>
              <w:adjustRightInd w:val="0"/>
              <w:snapToGrid w:val="0"/>
              <w:spacing w:line="360" w:lineRule="auto"/>
              <w:rPr>
                <w:rFonts w:ascii="Times New Roman" w:hAnsi="Times New Roman"/>
                <w:b/>
                <w:bCs/>
                <w:color w:val="auto"/>
                <w:kern w:val="0"/>
                <w:sz w:val="24"/>
              </w:rPr>
            </w:pPr>
            <w:r>
              <w:rPr>
                <w:rFonts w:hint="eastAsia" w:ascii="Times New Roman" w:hAnsi="Times New Roman"/>
                <w:b/>
                <w:bCs/>
                <w:color w:val="auto"/>
                <w:sz w:val="24"/>
                <w:lang w:val="en-US" w:eastAsia="zh-CN"/>
              </w:rPr>
              <w:t>9</w:t>
            </w:r>
            <w:r>
              <w:rPr>
                <w:rFonts w:ascii="Times New Roman" w:hAnsi="Times New Roman"/>
                <w:b/>
                <w:bCs/>
                <w:color w:val="auto"/>
                <w:sz w:val="24"/>
              </w:rPr>
              <w:t>、</w:t>
            </w:r>
            <w:r>
              <w:rPr>
                <w:rFonts w:ascii="Times New Roman" w:hAnsi="Times New Roman"/>
                <w:b/>
                <w:bCs/>
                <w:color w:val="auto"/>
                <w:kern w:val="0"/>
                <w:sz w:val="24"/>
              </w:rPr>
              <w:t>与生态环境部《关于加强高耗能、高排放建设项目生态环境源头防控的指导意见》（环环评</w:t>
            </w:r>
            <w:r>
              <w:rPr>
                <w:rFonts w:ascii="Times New Roman" w:hAnsi="Times New Roman"/>
                <w:b/>
                <w:bCs/>
                <w:color w:val="auto"/>
                <w:sz w:val="24"/>
              </w:rPr>
              <w:t>[2021]</w:t>
            </w:r>
            <w:r>
              <w:rPr>
                <w:rFonts w:ascii="Times New Roman" w:hAnsi="Times New Roman"/>
                <w:b/>
                <w:bCs/>
                <w:color w:val="auto"/>
                <w:kern w:val="0"/>
                <w:sz w:val="24"/>
              </w:rPr>
              <w:t>45号）相符性分析</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根据指导意见内容，明确“两高”项目暂按煤电、石化、化工、钢铁、有色金属冶炼、建材等六个行业类别，后续对“两高”范围国家如有明确规定的，从其规定。</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本项目属于</w:t>
            </w:r>
            <w:r>
              <w:rPr>
                <w:rFonts w:hint="eastAsia" w:ascii="Times New Roman" w:hAnsi="Times New Roman"/>
                <w:color w:val="auto"/>
                <w:kern w:val="0"/>
                <w:sz w:val="24"/>
                <w:lang w:eastAsia="zh-CN"/>
              </w:rPr>
              <w:t>C3484 机械零部件加工</w:t>
            </w:r>
            <w:r>
              <w:rPr>
                <w:rFonts w:ascii="Times New Roman" w:hAnsi="Times New Roman"/>
                <w:color w:val="auto"/>
                <w:kern w:val="0"/>
                <w:sz w:val="24"/>
              </w:rPr>
              <w:t>，对照《环境保护综合名录》（2021年版），本项目不属于高污染、高环境风险、高耗能、高排放建设项目。</w:t>
            </w:r>
          </w:p>
          <w:p>
            <w:pPr>
              <w:spacing w:line="360" w:lineRule="auto"/>
              <w:rPr>
                <w:rFonts w:ascii="Times New Roman" w:hAnsi="Times New Roman"/>
                <w:b/>
                <w:color w:val="auto"/>
                <w:sz w:val="24"/>
              </w:rPr>
            </w:pPr>
            <w:r>
              <w:rPr>
                <w:rFonts w:hint="eastAsia" w:ascii="Times New Roman" w:hAnsi="Times New Roman"/>
                <w:b/>
                <w:color w:val="auto"/>
                <w:sz w:val="24"/>
              </w:rPr>
              <w:t>1</w:t>
            </w:r>
            <w:r>
              <w:rPr>
                <w:rFonts w:hint="eastAsia" w:ascii="Times New Roman" w:hAnsi="Times New Roman"/>
                <w:b/>
                <w:color w:val="auto"/>
                <w:sz w:val="24"/>
                <w:lang w:val="en-US" w:eastAsia="zh-CN"/>
              </w:rPr>
              <w:t>0</w:t>
            </w:r>
            <w:r>
              <w:rPr>
                <w:rFonts w:ascii="Times New Roman" w:hAnsi="Times New Roman"/>
                <w:b/>
                <w:color w:val="auto"/>
                <w:sz w:val="24"/>
              </w:rPr>
              <w:t>、</w:t>
            </w:r>
            <w:r>
              <w:rPr>
                <w:rFonts w:hint="eastAsia" w:ascii="Times New Roman" w:hAnsi="Times New Roman"/>
                <w:b/>
                <w:color w:val="auto"/>
                <w:sz w:val="24"/>
              </w:rPr>
              <w:t>与《南通市关于加强减污降碳协同推进重点行业绿色发展的指导意见》（通办〔2024〕6号）相符性分析</w:t>
            </w:r>
          </w:p>
          <w:p>
            <w:pPr>
              <w:spacing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根据《市委办公室 市政府办公室印发〈南通市关于加强减污降碳协同推进重点行业绿色发展的指导意见&gt;的通知》（通办〔2024〕6号），本项目属于装备制造，“禁止引进纯电镀项目（为本地产业配套的“绿岛”类项目除外）；新建电镀“绿岛”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rFonts w:hint="eastAsia" w:ascii="Times New Roman" w:hAnsi="Times New Roman"/>
                <w:color w:val="000000"/>
                <w:sz w:val="24"/>
                <w:vertAlign w:val="superscript"/>
              </w:rPr>
              <w:t>2</w:t>
            </w:r>
            <w:r>
              <w:rPr>
                <w:rFonts w:hint="eastAsia" w:ascii="Times New Roman" w:hAnsi="Times New Roman"/>
                <w:color w:val="000000"/>
                <w:sz w:val="24"/>
              </w:rPr>
              <w:t>；现有含涂装工序企业以单位涂装面积VOCs排放量≤80g/m</w:t>
            </w:r>
            <w:r>
              <w:rPr>
                <w:rFonts w:hint="eastAsia" w:ascii="Times New Roman" w:hAnsi="Times New Roman"/>
                <w:color w:val="000000"/>
                <w:sz w:val="24"/>
                <w:vertAlign w:val="superscript"/>
              </w:rPr>
              <w:t>2</w:t>
            </w:r>
            <w:r>
              <w:rPr>
                <w:rFonts w:hint="eastAsia" w:ascii="Times New Roman" w:hAnsi="Times New Roman"/>
                <w:color w:val="000000"/>
                <w:sz w:val="24"/>
              </w:rPr>
              <w:t>为目标限期提标改造。到2025年，铸造企业颗粒物污染排放量较2020年减少30%以上。”</w:t>
            </w:r>
          </w:p>
          <w:p>
            <w:pPr>
              <w:spacing w:line="360" w:lineRule="auto"/>
              <w:ind w:firstLine="480" w:firstLineChars="200"/>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color w:val="000000"/>
                <w:sz w:val="24"/>
              </w:rPr>
              <w:t>本项目</w:t>
            </w:r>
            <w:r>
              <w:rPr>
                <w:rFonts w:hint="eastAsia" w:ascii="Times New Roman" w:hAnsi="Times New Roman"/>
                <w:color w:val="000000"/>
                <w:sz w:val="24"/>
                <w:lang w:val="en-US" w:eastAsia="zh-CN"/>
              </w:rPr>
              <w:t>喷漆使用低VOCs</w:t>
            </w:r>
            <w:r>
              <w:rPr>
                <w:rFonts w:hint="eastAsia"/>
                <w:color w:val="000000"/>
                <w:sz w:val="24"/>
                <w:lang w:val="en-US" w:eastAsia="zh-CN"/>
              </w:rPr>
              <w:t>高固份</w:t>
            </w:r>
            <w:r>
              <w:rPr>
                <w:rFonts w:hint="eastAsia" w:ascii="Times New Roman" w:hAnsi="Times New Roman"/>
                <w:color w:val="000000"/>
                <w:sz w:val="24"/>
                <w:lang w:val="en-US" w:eastAsia="zh-CN"/>
              </w:rPr>
              <w:t>性漆，其VOCs含量</w:t>
            </w:r>
            <w:r>
              <w:rPr>
                <w:rFonts w:hint="eastAsia"/>
                <w:color w:val="000000"/>
                <w:sz w:val="24"/>
                <w:lang w:val="en-US" w:eastAsia="zh-CN"/>
              </w:rPr>
              <w:t>257g/L，</w:t>
            </w:r>
            <w:r>
              <w:rPr>
                <w:rFonts w:hint="eastAsia" w:ascii="Times New Roman" w:hAnsi="Times New Roman"/>
                <w:color w:val="000000"/>
                <w:sz w:val="24"/>
                <w:lang w:val="en-US" w:eastAsia="zh-CN"/>
              </w:rPr>
              <w:t>符合</w:t>
            </w:r>
            <w:r>
              <w:rPr>
                <w:rFonts w:hint="eastAsia" w:ascii="Times New Roman" w:hAnsi="Times New Roman"/>
                <w:color w:val="000000"/>
                <w:sz w:val="24"/>
              </w:rPr>
              <w:t>《低挥发性有机化合物含量涂料产品技术要求》规定的VOCs含量限值要求</w:t>
            </w:r>
            <w:r>
              <w:rPr>
                <w:rFonts w:hint="eastAsia"/>
                <w:color w:val="000000"/>
                <w:sz w:val="24"/>
                <w:lang w:eastAsia="zh-CN"/>
              </w:rPr>
              <w:t>（</w:t>
            </w:r>
            <w:r>
              <w:rPr>
                <w:rFonts w:hint="eastAsia"/>
                <w:color w:val="000000"/>
                <w:sz w:val="24"/>
                <w:lang w:val="en-US" w:eastAsia="zh-CN"/>
              </w:rPr>
              <w:t>420g/L</w:t>
            </w:r>
            <w:r>
              <w:rPr>
                <w:rFonts w:hint="eastAsia"/>
                <w:color w:val="000000"/>
                <w:sz w:val="24"/>
                <w:lang w:eastAsia="zh-CN"/>
              </w:rPr>
              <w:t>）</w:t>
            </w:r>
            <w:r>
              <w:rPr>
                <w:rFonts w:hint="eastAsia" w:ascii="Times New Roman" w:hAnsi="Times New Roman"/>
                <w:color w:val="000000"/>
                <w:sz w:val="24"/>
                <w:lang w:eastAsia="zh-CN"/>
              </w:rPr>
              <w:t>，</w:t>
            </w:r>
            <w:bookmarkStart w:id="11" w:name="OLE_LINK28"/>
            <w:r>
              <w:rPr>
                <w:rFonts w:hint="eastAsia" w:ascii="Times New Roman" w:hAnsi="Times New Roman"/>
                <w:color w:val="000000"/>
                <w:sz w:val="24"/>
              </w:rPr>
              <w:t>单位涂装面积VOCs排放量</w:t>
            </w:r>
            <w:r>
              <w:rPr>
                <w:rFonts w:hint="eastAsia"/>
                <w:color w:val="000000"/>
                <w:sz w:val="24"/>
                <w:lang w:eastAsia="zh-CN"/>
              </w:rPr>
              <w:t>（</w:t>
            </w:r>
            <w:r>
              <w:rPr>
                <w:rFonts w:hint="eastAsia"/>
                <w:color w:val="000000"/>
                <w:sz w:val="24"/>
                <w:lang w:val="en-US" w:eastAsia="zh-CN"/>
              </w:rPr>
              <w:t>5.86g/m</w:t>
            </w:r>
            <w:r>
              <w:rPr>
                <w:rFonts w:hint="eastAsia"/>
                <w:color w:val="000000"/>
                <w:sz w:val="24"/>
                <w:vertAlign w:val="superscript"/>
                <w:lang w:val="en-US" w:eastAsia="zh-CN"/>
              </w:rPr>
              <w:t>2</w:t>
            </w:r>
            <w:r>
              <w:rPr>
                <w:rFonts w:hint="eastAsia"/>
                <w:color w:val="000000"/>
                <w:sz w:val="24"/>
                <w:lang w:eastAsia="zh-CN"/>
              </w:rPr>
              <w:t>）</w:t>
            </w:r>
            <w:r>
              <w:rPr>
                <w:rFonts w:hint="eastAsia" w:ascii="Times New Roman" w:hAnsi="Times New Roman"/>
                <w:color w:val="000000"/>
                <w:sz w:val="24"/>
              </w:rPr>
              <w:t>≤60g/m</w:t>
            </w:r>
            <w:r>
              <w:rPr>
                <w:rFonts w:hint="eastAsia" w:ascii="Times New Roman" w:hAnsi="Times New Roman"/>
                <w:color w:val="000000"/>
                <w:sz w:val="24"/>
                <w:vertAlign w:val="superscript"/>
              </w:rPr>
              <w:t>2</w:t>
            </w:r>
            <w:bookmarkEnd w:id="11"/>
            <w:r>
              <w:rPr>
                <w:rFonts w:hint="eastAsia" w:ascii="Times New Roman" w:hAnsi="Times New Roman"/>
                <w:color w:val="000000"/>
                <w:sz w:val="24"/>
                <w:lang w:eastAsia="zh-CN"/>
              </w:rPr>
              <w:t>，</w:t>
            </w:r>
            <w:r>
              <w:rPr>
                <w:rFonts w:hint="eastAsia" w:ascii="Times New Roman" w:hAnsi="Times New Roman"/>
                <w:color w:val="000000"/>
                <w:sz w:val="24"/>
                <w:lang w:val="en-US" w:eastAsia="zh-CN"/>
              </w:rPr>
              <w:t>故本项目符合《南通市关于加强减污降碳协同推进重点行业绿色发展的指导意见》的通知（通办〔2024〕6号）相关要求</w:t>
            </w:r>
            <w:r>
              <w:rPr>
                <w:rFonts w:hint="eastAsia" w:ascii="Times New Roman" w:hAnsi="Times New Roman"/>
                <w:color w:val="000000"/>
                <w:sz w:val="24"/>
              </w:rPr>
              <w:t>。</w:t>
            </w:r>
          </w:p>
          <w:p>
            <w:pPr>
              <w:spacing w:line="360" w:lineRule="auto"/>
              <w:rPr>
                <w:rFonts w:hint="eastAsia" w:ascii="Times New Roman" w:hAnsi="Times New Roman"/>
                <w:b/>
                <w:color w:val="auto"/>
                <w:sz w:val="24"/>
                <w:lang w:val="en-US" w:eastAsia="zh-CN"/>
              </w:rPr>
            </w:pPr>
            <w:r>
              <w:rPr>
                <w:rFonts w:hint="eastAsia" w:ascii="Times New Roman" w:hAnsi="Times New Roman"/>
                <w:b/>
                <w:color w:val="auto"/>
                <w:sz w:val="24"/>
                <w:lang w:val="en-US" w:eastAsia="zh-CN"/>
              </w:rPr>
              <w:t>11、与市政府办公室印发《如皋市关于加强减污降碳协同推进重点行业绿色发展的实施方案》的通知（皋政办发〔2024〕85号）相符性分析</w:t>
            </w:r>
          </w:p>
          <w:p>
            <w:pPr>
              <w:spacing w:line="360" w:lineRule="auto"/>
              <w:ind w:firstLine="480" w:firstLineChars="200"/>
              <w:rPr>
                <w:rFonts w:ascii="Times New Roman" w:hAnsi="Times New Roman" w:eastAsia="宋体" w:cs="Times New Roman"/>
                <w:b w:val="0"/>
                <w:color w:val="auto"/>
                <w:sz w:val="24"/>
              </w:rPr>
            </w:pPr>
            <w:r>
              <w:rPr>
                <w:rFonts w:ascii="Times New Roman" w:hAnsi="Times New Roman"/>
                <w:color w:val="auto"/>
                <w:sz w:val="24"/>
              </w:rPr>
              <w:t>本项目</w:t>
            </w:r>
            <w:r>
              <w:rPr>
                <w:rFonts w:hint="eastAsia" w:ascii="Times New Roman" w:hAnsi="Times New Roman"/>
                <w:color w:val="auto"/>
                <w:sz w:val="24"/>
              </w:rPr>
              <w:t>不涉及电镀、铸造等相关工序，</w:t>
            </w:r>
            <w:r>
              <w:rPr>
                <w:rFonts w:ascii="Times New Roman" w:hAnsi="Times New Roman"/>
                <w:color w:val="auto"/>
                <w:sz w:val="24"/>
              </w:rPr>
              <w:t>所属行业不在其规定的“分行业目标”中，</w:t>
            </w:r>
            <w:r>
              <w:rPr>
                <w:rFonts w:hint="eastAsia" w:ascii="Times New Roman" w:hAnsi="Times New Roman"/>
                <w:color w:val="auto"/>
                <w:sz w:val="24"/>
              </w:rPr>
              <w:t>本项目</w:t>
            </w:r>
            <w:r>
              <w:rPr>
                <w:rFonts w:hint="eastAsia" w:ascii="Times New Roman" w:hAnsi="Times New Roman"/>
                <w:color w:val="auto"/>
                <w:kern w:val="0"/>
                <w:sz w:val="24"/>
                <w:lang w:val="en-US" w:eastAsia="zh-CN" w:bidi="ar"/>
              </w:rPr>
              <w:t>喷漆晾干废气经密闭空间-负压收集后由</w:t>
            </w:r>
            <w:r>
              <w:rPr>
                <w:rFonts w:hint="eastAsia"/>
                <w:color w:val="auto"/>
                <w:kern w:val="0"/>
                <w:sz w:val="24"/>
                <w:lang w:val="en-US" w:eastAsia="zh-CN" w:bidi="ar"/>
              </w:rPr>
              <w:t>多级过滤器</w:t>
            </w:r>
            <w:r>
              <w:rPr>
                <w:rFonts w:hint="eastAsia" w:ascii="Times New Roman" w:hAnsi="Times New Roman"/>
                <w:color w:val="auto"/>
                <w:kern w:val="0"/>
                <w:sz w:val="24"/>
                <w:lang w:val="en-US" w:eastAsia="zh-CN" w:bidi="ar"/>
              </w:rPr>
              <w:t>+</w:t>
            </w:r>
            <w:r>
              <w:rPr>
                <w:rFonts w:hint="eastAsia"/>
                <w:color w:val="auto"/>
                <w:kern w:val="0"/>
                <w:sz w:val="24"/>
                <w:lang w:val="en-US" w:eastAsia="zh-CN" w:bidi="ar"/>
              </w:rPr>
              <w:t>三级</w:t>
            </w:r>
            <w:r>
              <w:rPr>
                <w:rFonts w:hint="eastAsia" w:ascii="Times New Roman" w:hAnsi="Times New Roman"/>
                <w:color w:val="auto"/>
                <w:kern w:val="0"/>
                <w:sz w:val="24"/>
                <w:lang w:val="en-US" w:eastAsia="zh-CN" w:bidi="ar"/>
              </w:rPr>
              <w:t>活性炭吸附装置处理后通过15 m排气筒（DA001）排放</w:t>
            </w:r>
            <w:r>
              <w:rPr>
                <w:rFonts w:ascii="Times New Roman" w:hAnsi="Times New Roman"/>
                <w:color w:val="auto"/>
                <w:sz w:val="24"/>
              </w:rPr>
              <w:t>；</w:t>
            </w:r>
            <w:r>
              <w:rPr>
                <w:rFonts w:hint="eastAsia" w:ascii="Times New Roman" w:hAnsi="Times New Roman"/>
                <w:color w:val="auto"/>
                <w:sz w:val="24"/>
              </w:rPr>
              <w:t>本项目实行“雨污分流”制，雨水经收集后排入雨水管网，最终汇入</w:t>
            </w:r>
            <w:r>
              <w:rPr>
                <w:rFonts w:hint="eastAsia"/>
                <w:color w:val="auto"/>
                <w:sz w:val="24"/>
                <w:lang w:val="en-US" w:eastAsia="zh-CN"/>
              </w:rPr>
              <w:t>南侧小河</w:t>
            </w:r>
            <w:r>
              <w:rPr>
                <w:rFonts w:hint="eastAsia" w:ascii="Times New Roman" w:hAnsi="Times New Roman"/>
                <w:color w:val="auto"/>
                <w:sz w:val="24"/>
              </w:rPr>
              <w:t>；</w:t>
            </w:r>
            <w:r>
              <w:rPr>
                <w:rFonts w:hint="eastAsia" w:ascii="Times New Roman" w:hAnsi="Times New Roman"/>
                <w:color w:val="auto"/>
                <w:kern w:val="0"/>
                <w:sz w:val="24"/>
                <w:lang w:val="en-US" w:eastAsia="zh-CN" w:bidi="ar"/>
              </w:rPr>
              <w:t>生活污水经化粪池预处理后</w:t>
            </w:r>
            <w:r>
              <w:rPr>
                <w:rFonts w:hint="eastAsia" w:ascii="Times New Roman" w:hAnsi="Times New Roman"/>
                <w:color w:val="auto"/>
                <w:sz w:val="24"/>
              </w:rPr>
              <w:t>接管至</w:t>
            </w:r>
            <w:r>
              <w:rPr>
                <w:rFonts w:hint="eastAsia"/>
                <w:color w:val="auto"/>
                <w:sz w:val="24"/>
                <w:lang w:eastAsia="zh-CN"/>
              </w:rPr>
              <w:t>如皋市下原镇污水处理厂</w:t>
            </w:r>
            <w:r>
              <w:rPr>
                <w:rFonts w:hint="eastAsia" w:ascii="Times New Roman" w:hAnsi="Times New Roman"/>
                <w:color w:val="auto"/>
                <w:sz w:val="24"/>
              </w:rPr>
              <w:t>，尾水排入</w:t>
            </w:r>
            <w:r>
              <w:rPr>
                <w:rFonts w:hint="eastAsia"/>
                <w:color w:val="auto"/>
                <w:sz w:val="24"/>
                <w:lang w:val="en-US" w:eastAsia="zh-CN"/>
              </w:rPr>
              <w:t>大寨河</w:t>
            </w:r>
            <w:r>
              <w:rPr>
                <w:rFonts w:hint="eastAsia" w:ascii="Times New Roman" w:hAnsi="Times New Roman"/>
                <w:color w:val="auto"/>
                <w:sz w:val="24"/>
              </w:rPr>
              <w:t>；</w:t>
            </w:r>
            <w:r>
              <w:rPr>
                <w:rFonts w:ascii="Times New Roman" w:hAnsi="Times New Roman"/>
                <w:color w:val="auto"/>
                <w:sz w:val="24"/>
              </w:rPr>
              <w:t>固废均能合理处理，</w:t>
            </w:r>
            <w:r>
              <w:rPr>
                <w:rFonts w:ascii="Times New Roman" w:hAnsi="Times New Roman" w:eastAsia="宋体" w:cs="Times New Roman"/>
                <w:color w:val="auto"/>
                <w:sz w:val="24"/>
              </w:rPr>
              <w:t>因此本项目符合相关要求。</w:t>
            </w:r>
          </w:p>
          <w:p>
            <w:pPr>
              <w:adjustRightInd/>
              <w:snapToGrid/>
              <w:spacing w:line="360" w:lineRule="auto"/>
              <w:ind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12、</w:t>
            </w:r>
            <w:r>
              <w:rPr>
                <w:rFonts w:ascii="宋体" w:hAnsi="宋体" w:eastAsia="宋体" w:cs="宋体"/>
                <w:b/>
                <w:bCs/>
                <w:sz w:val="24"/>
                <w:szCs w:val="24"/>
              </w:rPr>
              <w:t>与新污染物相关文件相符性分析</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 xml:space="preserve">对照《重点管控新污染物清单》（2023 年版）附表，本项目污染物为颗粒物、非甲烷总烃、二甲苯、臭气浓度，不涉及重点管控新污染物清单中新污染物。 </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rPr>
              <w:t>对照《</w:t>
            </w:r>
            <w:r>
              <w:rPr>
                <w:rFonts w:hint="eastAsia" w:cs="Times New Roman"/>
                <w:color w:val="auto"/>
                <w:sz w:val="24"/>
                <w:lang w:val="en-US" w:eastAsia="zh-CN"/>
              </w:rPr>
              <w:t>关</w:t>
            </w:r>
            <w:r>
              <w:rPr>
                <w:rFonts w:ascii="Times New Roman" w:hAnsi="Times New Roman" w:eastAsia="宋体" w:cs="Times New Roman"/>
                <w:color w:val="auto"/>
                <w:sz w:val="24"/>
              </w:rPr>
              <w:t>于加强重点行业涉新污染物建设项目环境影响评价工作的意见》环环评[2025]28号</w:t>
            </w:r>
            <w:r>
              <w:rPr>
                <w:rFonts w:hint="eastAsia" w:cs="Times New Roman"/>
                <w:color w:val="auto"/>
                <w:sz w:val="24"/>
                <w:lang w:eastAsia="zh-CN"/>
              </w:rPr>
              <w:t>“</w:t>
            </w:r>
            <w:r>
              <w:rPr>
                <w:rFonts w:hint="eastAsia" w:cs="Times New Roman"/>
                <w:color w:val="auto"/>
                <w:sz w:val="24"/>
                <w:lang w:val="en-US" w:eastAsia="zh-CN"/>
              </w:rPr>
              <w:t>重</w:t>
            </w:r>
            <w:r>
              <w:rPr>
                <w:rFonts w:ascii="Times New Roman" w:hAnsi="Times New Roman" w:eastAsia="宋体" w:cs="Times New Roman"/>
                <w:color w:val="auto"/>
                <w:sz w:val="24"/>
              </w:rPr>
              <w:t>点关注重点管控新污染物清单、有毒有害污染物名录、优先控制化学品名录以及《关于持久性有机污染物的斯德哥尔摩公约》（简称《斯德哥尔摩公约》）附件中已发布的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本项目污染物为颗粒物、非甲烷总烃、二甲苯、臭气浓度，不涉及重点管控新污染物清单中新污染物</w:t>
            </w:r>
            <w:r>
              <w:rPr>
                <w:rFonts w:hint="eastAsia" w:cs="Times New Roman"/>
                <w:color w:val="auto"/>
                <w:sz w:val="24"/>
                <w:lang w:eastAsia="zh-CN"/>
              </w:rPr>
              <w:t>，</w:t>
            </w:r>
            <w:r>
              <w:rPr>
                <w:rFonts w:hint="eastAsia" w:cs="Times New Roman"/>
                <w:color w:val="auto"/>
                <w:sz w:val="24"/>
                <w:lang w:val="en-US" w:eastAsia="zh-CN"/>
              </w:rPr>
              <w:t>且本项目已取得江苏省船舶工业行业协会出具的不可替代证明</w:t>
            </w:r>
            <w:r>
              <w:rPr>
                <w:rFonts w:ascii="Times New Roman" w:hAnsi="Times New Roman" w:eastAsia="宋体" w:cs="Times New Roman"/>
                <w:color w:val="auto"/>
                <w:sz w:val="24"/>
              </w:rPr>
              <w:t>。本项目为</w:t>
            </w:r>
            <w:r>
              <w:rPr>
                <w:rFonts w:hint="eastAsia" w:ascii="Times New Roman" w:hAnsi="Times New Roman" w:eastAsia="宋体" w:cs="Times New Roman"/>
                <w:color w:val="auto"/>
                <w:sz w:val="24"/>
                <w:lang w:eastAsia="zh-CN"/>
              </w:rPr>
              <w:t>机械零部件加工</w:t>
            </w:r>
            <w:r>
              <w:rPr>
                <w:rFonts w:ascii="Times New Roman" w:hAnsi="Times New Roman" w:eastAsia="宋体" w:cs="Times New Roman"/>
                <w:color w:val="auto"/>
                <w:sz w:val="24"/>
              </w:rPr>
              <w:t>，不属于重点行业，无需开展相关工作。</w:t>
            </w:r>
          </w:p>
          <w:p>
            <w:pPr>
              <w:rPr>
                <w:rFonts w:ascii="Times New Roman" w:hAnsi="Times New Roman" w:eastAsia="宋体"/>
                <w:color w:val="auto"/>
                <w:szCs w:val="21"/>
              </w:rPr>
            </w:pPr>
          </w:p>
          <w:p>
            <w:pPr>
              <w:rPr>
                <w:rFonts w:ascii="Times New Roman" w:hAnsi="Times New Roman" w:eastAsia="宋体"/>
                <w:color w:val="auto"/>
                <w:szCs w:val="21"/>
              </w:rPr>
            </w:pPr>
          </w:p>
          <w:p>
            <w:pPr>
              <w:rPr>
                <w:rFonts w:ascii="Times New Roman" w:hAnsi="Times New Roman" w:eastAsia="宋体"/>
                <w:color w:val="auto"/>
                <w:szCs w:val="21"/>
              </w:rPr>
            </w:pPr>
          </w:p>
          <w:p>
            <w:pPr>
              <w:rPr>
                <w:rFonts w:ascii="Times New Roman" w:hAnsi="Times New Roman" w:eastAsia="宋体"/>
                <w:color w:val="auto"/>
                <w:szCs w:val="21"/>
              </w:rPr>
            </w:pPr>
          </w:p>
          <w:p>
            <w:pPr>
              <w:rPr>
                <w:rFonts w:ascii="Times New Roman" w:hAnsi="Times New Roman" w:eastAsia="宋体"/>
                <w:color w:val="auto"/>
                <w:szCs w:val="21"/>
              </w:rPr>
            </w:pPr>
          </w:p>
        </w:tc>
      </w:tr>
    </w:tbl>
    <w:p/>
    <w:p>
      <w:pPr>
        <w:pStyle w:val="7"/>
        <w:sectPr>
          <w:footerReference r:id="rId5" w:type="default"/>
          <w:pgSz w:w="11906" w:h="16838"/>
          <w:pgMar w:top="1440" w:right="1800" w:bottom="1417"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pStyle w:val="2"/>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Times New Roman" w:hAnsi="Times New Roman" w:eastAsia="宋体" w:cs="Times New Roman"/>
                <w:b/>
                <w:bCs w:val="0"/>
                <w:color w:val="000000" w:themeColor="text1"/>
                <w:kern w:val="0"/>
                <w:sz w:val="24"/>
                <w:szCs w:val="24"/>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vertAlign w:val="baseline"/>
                <w:lang w:val="en-US" w:eastAsia="zh-CN"/>
                <w14:textFill>
                  <w14:solidFill>
                    <w14:schemeClr w14:val="tx1"/>
                  </w14:solidFill>
                </w14:textFill>
              </w:rPr>
              <w:t>13、与《涂装行业清洁生产评价指标体系》的相符性分析</w:t>
            </w:r>
          </w:p>
          <w:p>
            <w:pPr>
              <w:jc w:val="center"/>
              <w:rPr>
                <w:rFonts w:hint="eastAsia"/>
                <w:b/>
                <w:bCs/>
                <w:lang w:val="en-US" w:eastAsia="zh-CN"/>
              </w:rPr>
            </w:pPr>
            <w:r>
              <w:rPr>
                <w:rFonts w:hint="eastAsia"/>
                <w:b/>
                <w:bCs/>
                <w:lang w:val="en-US" w:eastAsia="zh-CN"/>
              </w:rPr>
              <w:t>表1-9《涂装行业清洁生产评价指标体系》</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2"/>
              <w:gridCol w:w="602"/>
              <w:gridCol w:w="1232"/>
              <w:gridCol w:w="430"/>
              <w:gridCol w:w="175"/>
              <w:gridCol w:w="83"/>
              <w:gridCol w:w="518"/>
              <w:gridCol w:w="878"/>
              <w:gridCol w:w="1969"/>
              <w:gridCol w:w="1970"/>
              <w:gridCol w:w="1908"/>
              <w:gridCol w:w="1984"/>
              <w:gridCol w:w="1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序号</w:t>
                  </w:r>
                </w:p>
              </w:tc>
              <w:tc>
                <w:tcPr>
                  <w:tcW w:w="226"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一级</w:t>
                  </w:r>
                </w:p>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指标</w:t>
                  </w:r>
                </w:p>
              </w:tc>
              <w:tc>
                <w:tcPr>
                  <w:tcW w:w="452"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一级指标权重</w:t>
                  </w:r>
                </w:p>
              </w:tc>
              <w:tc>
                <w:tcPr>
                  <w:tcW w:w="473" w:type="pct"/>
                  <w:gridSpan w:val="4"/>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二级指标</w:t>
                  </w:r>
                </w:p>
              </w:tc>
              <w:tc>
                <w:tcPr>
                  <w:tcW w:w="278"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单位</w:t>
                  </w:r>
                </w:p>
              </w:tc>
              <w:tc>
                <w:tcPr>
                  <w:tcW w:w="716"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二级指标权重</w:t>
                  </w:r>
                </w:p>
              </w:tc>
              <w:tc>
                <w:tcPr>
                  <w:tcW w:w="716"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I级基准值</w:t>
                  </w:r>
                </w:p>
              </w:tc>
              <w:tc>
                <w:tcPr>
                  <w:tcW w:w="693"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II级基准值</w:t>
                  </w:r>
                </w:p>
              </w:tc>
              <w:tc>
                <w:tcPr>
                  <w:tcW w:w="721"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III级基准值</w:t>
                  </w:r>
                </w:p>
              </w:tc>
              <w:tc>
                <w:tcPr>
                  <w:tcW w:w="606" w:type="pct"/>
                  <w:vAlign w:val="center"/>
                </w:tcPr>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74" w:hRule="atLeast"/>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26"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生产工艺及设备要求</w:t>
                  </w:r>
                </w:p>
              </w:tc>
              <w:tc>
                <w:tcPr>
                  <w:tcW w:w="452"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0.6</w:t>
                  </w:r>
                </w:p>
              </w:tc>
              <w:tc>
                <w:tcPr>
                  <w:tcW w:w="159"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底漆</w:t>
                  </w:r>
                </w:p>
              </w:tc>
              <w:tc>
                <w:tcPr>
                  <w:tcW w:w="314" w:type="pct"/>
                  <w:gridSpan w:val="3"/>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电泳漆</w:t>
                  </w:r>
                </w:p>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自泳漆</w:t>
                  </w:r>
                </w:p>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喷漆（涂覆）</w:t>
                  </w:r>
                </w:p>
              </w:tc>
              <w:tc>
                <w:tcPr>
                  <w:tcW w:w="278"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hint="eastAsia" w:ascii="Times New Roman" w:hAnsi="Times New Roman" w:cs="Times New Roman" w:eastAsiaTheme="minorEastAsia"/>
                      <w:sz w:val="21"/>
                      <w:szCs w:val="21"/>
                      <w:lang w:eastAsia="zh-CN"/>
                    </w:rPr>
                  </w:pPr>
                  <w:r>
                    <w:rPr>
                      <w:rFonts w:ascii="Times New Roman" w:hAnsi="Times New Roman" w:cs="Times New Roman"/>
                      <w:sz w:val="21"/>
                      <w:szCs w:val="21"/>
                    </w:rPr>
                    <w:t>0</w:t>
                  </w:r>
                  <w:r>
                    <w:rPr>
                      <w:rFonts w:ascii="Times New Roman" w:hAnsi="Times New Roman" w:cs="Times New Roman"/>
                      <w:b/>
                      <w:sz w:val="21"/>
                      <w:szCs w:val="21"/>
                    </w:rPr>
                    <w:t>.</w:t>
                  </w:r>
                  <w:r>
                    <w:rPr>
                      <w:rFonts w:ascii="Times New Roman" w:hAnsi="Times New Roman" w:cs="Times New Roman"/>
                      <w:sz w:val="21"/>
                      <w:szCs w:val="21"/>
                    </w:rPr>
                    <w:t>12</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应满足以下条件之一</w:t>
                  </w:r>
                  <w:r>
                    <w:rPr>
                      <w:rFonts w:ascii="Times New Roman" w:hAnsi="Times New Roman" w:cs="Times New Roman"/>
                      <w:spacing w:val="-24"/>
                      <w:sz w:val="21"/>
                      <w:szCs w:val="21"/>
                    </w:rPr>
                    <w:t>：</w:t>
                  </w:r>
                  <w:r>
                    <w:rPr>
                      <w:rFonts w:hint="eastAsia"/>
                      <w:spacing w:val="2"/>
                      <w:sz w:val="21"/>
                      <w:szCs w:val="21"/>
                    </w:rPr>
                    <w:t>①</w:t>
                  </w:r>
                  <w:r>
                    <w:rPr>
                      <w:rFonts w:ascii="Times New Roman" w:hAnsi="Times New Roman" w:cs="Times New Roman"/>
                      <w:sz w:val="21"/>
                      <w:szCs w:val="21"/>
                    </w:rPr>
                    <w:t>电</w:t>
                  </w:r>
                  <w:r>
                    <w:rPr>
                      <w:rFonts w:ascii="Times New Roman" w:hAnsi="Times New Roman" w:cs="Times New Roman"/>
                      <w:spacing w:val="-3"/>
                      <w:sz w:val="21"/>
                      <w:szCs w:val="21"/>
                    </w:rPr>
                    <w:t>泳</w:t>
                  </w:r>
                  <w:r>
                    <w:rPr>
                      <w:rFonts w:ascii="Times New Roman" w:hAnsi="Times New Roman" w:cs="Times New Roman"/>
                      <w:sz w:val="21"/>
                      <w:szCs w:val="21"/>
                    </w:rPr>
                    <w:t>漆工艺</w:t>
                  </w:r>
                  <w:r>
                    <w:rPr>
                      <w:rFonts w:ascii="Times New Roman" w:hAnsi="Times New Roman" w:cs="Times New Roman"/>
                      <w:spacing w:val="-12"/>
                      <w:sz w:val="21"/>
                      <w:szCs w:val="21"/>
                    </w:rPr>
                    <w:t>；</w:t>
                  </w:r>
                  <w:r>
                    <w:rPr>
                      <w:rFonts w:hint="eastAsia"/>
                      <w:spacing w:val="2"/>
                      <w:sz w:val="21"/>
                      <w:szCs w:val="21"/>
                    </w:rPr>
                    <w:t>②</w:t>
                  </w:r>
                  <w:r>
                    <w:rPr>
                      <w:rFonts w:ascii="Times New Roman" w:hAnsi="Times New Roman" w:cs="Times New Roman"/>
                      <w:sz w:val="21"/>
                      <w:szCs w:val="21"/>
                    </w:rPr>
                    <w:t>自泳漆工艺</w:t>
                  </w:r>
                  <w:r>
                    <w:rPr>
                      <w:rFonts w:ascii="Times New Roman" w:hAnsi="Times New Roman" w:cs="Times New Roman"/>
                      <w:spacing w:val="-15"/>
                      <w:sz w:val="21"/>
                      <w:szCs w:val="21"/>
                    </w:rPr>
                    <w:t>；</w:t>
                  </w:r>
                  <w:r>
                    <w:rPr>
                      <w:rFonts w:hint="eastAsia"/>
                      <w:spacing w:val="2"/>
                      <w:sz w:val="21"/>
                      <w:szCs w:val="21"/>
                    </w:rPr>
                    <w:t>③</w:t>
                  </w:r>
                  <w:r>
                    <w:rPr>
                      <w:rFonts w:ascii="Times New Roman" w:hAnsi="Times New Roman" w:cs="Times New Roman"/>
                      <w:sz w:val="21"/>
                      <w:szCs w:val="21"/>
                    </w:rPr>
                    <w:t>使用</w:t>
                  </w:r>
                  <w:r>
                    <w:rPr>
                      <w:rFonts w:hint="eastAsia" w:ascii="Times New Roman" w:hAnsi="Times New Roman" w:cs="Times New Roman"/>
                      <w:spacing w:val="-3"/>
                      <w:sz w:val="21"/>
                      <w:szCs w:val="21"/>
                      <w:lang w:eastAsia="zh-CN"/>
                    </w:rPr>
                    <w:t>高固份漆</w:t>
                  </w:r>
                  <w:r>
                    <w:rPr>
                      <w:rFonts w:ascii="Times New Roman" w:hAnsi="Times New Roman" w:cs="Times New Roman"/>
                      <w:sz w:val="21"/>
                      <w:szCs w:val="21"/>
                    </w:rPr>
                    <w:t>喷涂；</w:t>
                  </w:r>
                  <w:r>
                    <w:rPr>
                      <w:rFonts w:hint="eastAsia"/>
                      <w:spacing w:val="2"/>
                      <w:sz w:val="21"/>
                      <w:szCs w:val="21"/>
                    </w:rPr>
                    <w:t>④</w:t>
                  </w:r>
                  <w:r>
                    <w:rPr>
                      <w:rFonts w:ascii="Times New Roman" w:hAnsi="Times New Roman" w:cs="Times New Roman"/>
                      <w:sz w:val="21"/>
                      <w:szCs w:val="21"/>
                    </w:rPr>
                    <w:t>使用粉末涂料</w:t>
                  </w:r>
                </w:p>
              </w:tc>
              <w:tc>
                <w:tcPr>
                  <w:tcW w:w="1415"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节水</w:t>
                  </w:r>
                  <w:r>
                    <w:rPr>
                      <w:rFonts w:ascii="Times New Roman" w:hAnsi="Times New Roman" w:cs="Times New Roman"/>
                      <w:sz w:val="21"/>
                      <w:szCs w:val="21"/>
                      <w:vertAlign w:val="superscript"/>
                    </w:rPr>
                    <w:t>b</w:t>
                  </w:r>
                  <w:r>
                    <w:rPr>
                      <w:rFonts w:ascii="Times New Roman" w:hAnsi="Times New Roman" w:cs="Times New Roman"/>
                      <w:sz w:val="21"/>
                      <w:szCs w:val="21"/>
                    </w:rPr>
                    <w:t>、技术应用</w:t>
                  </w:r>
                </w:p>
              </w:tc>
              <w:tc>
                <w:tcPr>
                  <w:tcW w:w="606" w:type="pct"/>
                  <w:vMerge w:val="restart"/>
                  <w:vAlign w:val="center"/>
                </w:tcPr>
                <w:p>
                  <w:pPr>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本项目使用高固份漆，喷漆设置漆雾处理，本项目喷漆后为晾干，</w:t>
                  </w:r>
                  <w:r>
                    <w:rPr>
                      <w:rFonts w:ascii="Times New Roman" w:hAnsi="Times New Roman" w:eastAsia="宋体" w:cs="Times New Roman"/>
                      <w:b w:val="0"/>
                      <w:bCs/>
                      <w:color w:val="auto"/>
                      <w:kern w:val="0"/>
                      <w:sz w:val="21"/>
                      <w:szCs w:val="21"/>
                    </w:rPr>
                    <w:t>漆雾</w:t>
                  </w:r>
                  <w:r>
                    <w:rPr>
                      <w:rFonts w:hint="eastAsia" w:ascii="Times New Roman" w:hAnsi="Times New Roman" w:eastAsia="宋体" w:cs="Times New Roman"/>
                      <w:b w:val="0"/>
                      <w:bCs/>
                      <w:color w:val="auto"/>
                      <w:kern w:val="0"/>
                      <w:sz w:val="21"/>
                      <w:szCs w:val="21"/>
                      <w:lang w:val="en-US" w:eastAsia="zh-CN"/>
                    </w:rPr>
                    <w:t>采用多级过滤器处理，</w:t>
                  </w:r>
                  <w:r>
                    <w:rPr>
                      <w:rFonts w:ascii="Times New Roman" w:hAnsi="Times New Roman" w:eastAsia="宋体" w:cs="Times New Roman"/>
                      <w:b w:val="0"/>
                      <w:bCs/>
                      <w:color w:val="auto"/>
                      <w:kern w:val="0"/>
                      <w:sz w:val="21"/>
                      <w:szCs w:val="21"/>
                    </w:rPr>
                    <w:t>处理效率≥95%</w:t>
                  </w:r>
                  <w:r>
                    <w:rPr>
                      <w:rFonts w:hint="eastAsia" w:ascii="Times New Roman" w:hAnsi="Times New Roman" w:eastAsia="宋体" w:cs="Times New Roman"/>
                      <w:b w:val="0"/>
                      <w:bCs/>
                      <w:color w:val="auto"/>
                      <w:kern w:val="0"/>
                      <w:sz w:val="21"/>
                      <w:szCs w:val="21"/>
                      <w:lang w:eastAsia="zh-CN"/>
                    </w:rPr>
                    <w:t>；</w:t>
                  </w:r>
                  <w:r>
                    <w:rPr>
                      <w:rFonts w:hint="eastAsia" w:ascii="Times New Roman" w:hAnsi="Times New Roman" w:eastAsia="宋体" w:cs="Times New Roman"/>
                      <w:b w:val="0"/>
                      <w:bCs/>
                      <w:color w:val="auto"/>
                      <w:kern w:val="0"/>
                      <w:sz w:val="21"/>
                      <w:szCs w:val="21"/>
                      <w:lang w:val="en-US" w:eastAsia="zh-CN"/>
                    </w:rPr>
                    <w:t>本项目免中涂工艺；喷漆晾干废气密闭收集后</w:t>
                  </w:r>
                  <w:r>
                    <w:rPr>
                      <w:rFonts w:hint="eastAsia" w:ascii="Times New Roman" w:hAnsi="Times New Roman" w:eastAsia="宋体"/>
                      <w:caps w:val="0"/>
                      <w:color w:val="auto"/>
                      <w:szCs w:val="21"/>
                    </w:rPr>
                    <w:t>由</w:t>
                  </w:r>
                  <w:r>
                    <w:rPr>
                      <w:rFonts w:hint="eastAsia" w:ascii="Times New Roman" w:hAnsi="Times New Roman"/>
                      <w:caps w:val="0"/>
                      <w:color w:val="auto"/>
                      <w:szCs w:val="21"/>
                      <w:lang w:val="en-US" w:eastAsia="zh-CN"/>
                    </w:rPr>
                    <w:t>多级过滤器</w:t>
                  </w:r>
                  <w:r>
                    <w:rPr>
                      <w:rFonts w:hint="eastAsia" w:ascii="Times New Roman" w:hAnsi="Times New Roman" w:eastAsia="宋体"/>
                      <w:caps w:val="0"/>
                      <w:color w:val="auto"/>
                      <w:szCs w:val="21"/>
                      <w:lang w:val="en-US" w:eastAsia="zh-CN"/>
                    </w:rPr>
                    <w:t>+三级活性炭</w:t>
                  </w:r>
                  <w:r>
                    <w:rPr>
                      <w:rFonts w:hint="eastAsia" w:ascii="Times New Roman" w:hAnsi="Times New Roman" w:eastAsia="宋体"/>
                      <w:caps w:val="0"/>
                      <w:color w:val="auto"/>
                      <w:szCs w:val="21"/>
                    </w:rPr>
                    <w:t>吸附装置处理后通过15 m排气筒排放</w:t>
                  </w:r>
                  <w:r>
                    <w:rPr>
                      <w:rFonts w:hint="eastAsia" w:ascii="Times New Roman" w:hAnsi="Times New Roman" w:eastAsia="宋体"/>
                      <w:caps w:val="0"/>
                      <w:color w:val="auto"/>
                      <w:szCs w:val="21"/>
                      <w:lang w:eastAsia="zh-CN"/>
                    </w:rPr>
                    <w:t>，</w:t>
                  </w:r>
                  <w:r>
                    <w:rPr>
                      <w:rFonts w:hint="eastAsia" w:ascii="Times New Roman" w:hAnsi="Times New Roman" w:eastAsia="宋体"/>
                      <w:caps w:val="0"/>
                      <w:color w:val="auto"/>
                      <w:szCs w:val="21"/>
                      <w:lang w:val="en-US" w:eastAsia="zh-CN"/>
                    </w:rPr>
                    <w:t>三级活性炭处理效率为95%；本项目取值为56.4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Merge w:val="continue"/>
                  <w:vAlign w:val="center"/>
                </w:tcPr>
                <w:p>
                  <w:pPr>
                    <w:adjustRightInd w:val="0"/>
                    <w:snapToGrid w:val="0"/>
                    <w:jc w:val="center"/>
                    <w:rPr>
                      <w:rFonts w:ascii="Times New Roman" w:hAnsi="Times New Roman" w:cs="Times New Roman"/>
                      <w:sz w:val="21"/>
                      <w:szCs w:val="21"/>
                    </w:rPr>
                  </w:pPr>
                </w:p>
              </w:tc>
              <w:tc>
                <w:tcPr>
                  <w:tcW w:w="278" w:type="pct"/>
                  <w:vMerge w:val="continue"/>
                  <w:vAlign w:val="center"/>
                </w:tcPr>
                <w:p>
                  <w:pPr>
                    <w:adjustRightInd w:val="0"/>
                    <w:snapToGrid w:val="0"/>
                    <w:jc w:val="center"/>
                    <w:rPr>
                      <w:rFonts w:ascii="Times New Roman" w:hAnsi="Times New Roman" w:cs="Times New Roman"/>
                      <w:sz w:val="21"/>
                      <w:szCs w:val="21"/>
                    </w:rPr>
                  </w:pP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0.11</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节能技术应用</w:t>
                  </w:r>
                  <w:r>
                    <w:rPr>
                      <w:rFonts w:ascii="Times New Roman" w:hAnsi="Times New Roman" w:cs="Times New Roman"/>
                      <w:sz w:val="21"/>
                      <w:szCs w:val="21"/>
                      <w:vertAlign w:val="superscript"/>
                    </w:rPr>
                    <w:t>c</w:t>
                  </w:r>
                  <w:r>
                    <w:rPr>
                      <w:rFonts w:ascii="Times New Roman" w:hAnsi="Times New Roman" w:cs="Times New Roman"/>
                      <w:sz w:val="21"/>
                      <w:szCs w:val="21"/>
                    </w:rPr>
                    <w:t>；电泳漆、自泳漆设置备用槽；喷漆设置漆雾处理</w:t>
                  </w:r>
                </w:p>
              </w:tc>
              <w:tc>
                <w:tcPr>
                  <w:tcW w:w="1415"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节能技术应用；喷漆设置漆雾处理</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烘干</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0.04</w:t>
                  </w:r>
                </w:p>
              </w:tc>
              <w:tc>
                <w:tcPr>
                  <w:tcW w:w="1410"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节能技术应用</w:t>
                  </w:r>
                  <w:r>
                    <w:rPr>
                      <w:rFonts w:ascii="Times New Roman" w:hAnsi="Times New Roman" w:cs="Times New Roman"/>
                      <w:sz w:val="21"/>
                      <w:szCs w:val="21"/>
                      <w:vertAlign w:val="superscript"/>
                    </w:rPr>
                    <w:t>c</w:t>
                  </w:r>
                  <w:r>
                    <w:rPr>
                      <w:rFonts w:ascii="Times New Roman" w:hAnsi="Times New Roman" w:cs="Times New Roman"/>
                      <w:sz w:val="21"/>
                      <w:szCs w:val="21"/>
                    </w:rPr>
                    <w:t>；加热装置多级调节</w:t>
                  </w:r>
                  <w:r>
                    <w:rPr>
                      <w:rFonts w:ascii="Times New Roman" w:hAnsi="Times New Roman" w:cs="Times New Roman"/>
                      <w:sz w:val="21"/>
                      <w:szCs w:val="21"/>
                      <w:vertAlign w:val="superscript"/>
                    </w:rPr>
                    <w:t>j</w:t>
                  </w:r>
                  <w:r>
                    <w:rPr>
                      <w:rFonts w:ascii="Times New Roman" w:hAnsi="Times New Roman" w:cs="Times New Roman"/>
                      <w:sz w:val="21"/>
                      <w:szCs w:val="21"/>
                    </w:rPr>
                    <w:t>，使用清洁能源</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加热装置多级调节</w:t>
                  </w:r>
                  <w:r>
                    <w:rPr>
                      <w:rFonts w:ascii="Times New Roman" w:hAnsi="Times New Roman" w:cs="Times New Roman"/>
                      <w:sz w:val="21"/>
                      <w:szCs w:val="21"/>
                      <w:vertAlign w:val="superscript"/>
                    </w:rPr>
                    <w:t>f</w:t>
                  </w:r>
                  <w:r>
                    <w:rPr>
                      <w:rFonts w:ascii="Times New Roman" w:hAnsi="Times New Roman" w:cs="Times New Roman"/>
                      <w:sz w:val="21"/>
                      <w:szCs w:val="21"/>
                    </w:rPr>
                    <w:t>，使用清洁能源</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中涂、面漆</w:t>
                  </w: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漆雾处理</w:t>
                  </w:r>
                </w:p>
              </w:tc>
              <w:tc>
                <w:tcPr>
                  <w:tcW w:w="278"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0.09</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有自动漆雾处理系统，漆雾处理效率≥95%</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有自动漆雾处理系统，漆雾处理效率≥85%</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有自动漆雾处理系统，漆雾处理效率≥80%</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喷漆（涂覆）（包括流平）</w:t>
                  </w:r>
                </w:p>
              </w:tc>
              <w:tc>
                <w:tcPr>
                  <w:tcW w:w="278" w:type="pct"/>
                  <w:vMerge w:val="continue"/>
                  <w:vAlign w:val="center"/>
                </w:tcPr>
                <w:p>
                  <w:pPr>
                    <w:adjustRightInd w:val="0"/>
                    <w:snapToGrid w:val="0"/>
                    <w:jc w:val="center"/>
                    <w:rPr>
                      <w:rFonts w:ascii="Times New Roman" w:hAnsi="Times New Roman" w:cs="Times New Roman"/>
                      <w:sz w:val="21"/>
                      <w:szCs w:val="21"/>
                    </w:rPr>
                  </w:pP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0.15</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应满足以下条件之一</w:t>
                  </w:r>
                  <w:r>
                    <w:rPr>
                      <w:rFonts w:ascii="Times New Roman" w:hAnsi="Times New Roman" w:cs="Times New Roman"/>
                      <w:spacing w:val="-24"/>
                      <w:sz w:val="21"/>
                      <w:szCs w:val="21"/>
                    </w:rPr>
                    <w:t>：</w:t>
                  </w:r>
                  <w:r>
                    <w:rPr>
                      <w:rFonts w:hint="eastAsia"/>
                      <w:spacing w:val="2"/>
                      <w:sz w:val="21"/>
                      <w:szCs w:val="21"/>
                    </w:rPr>
                    <w:t>①</w:t>
                  </w:r>
                  <w:r>
                    <w:rPr>
                      <w:rFonts w:ascii="Times New Roman" w:hAnsi="Times New Roman" w:cs="Times New Roman"/>
                      <w:sz w:val="21"/>
                      <w:szCs w:val="21"/>
                    </w:rPr>
                    <w:t>使</w:t>
                  </w:r>
                  <w:r>
                    <w:rPr>
                      <w:rFonts w:ascii="Times New Roman" w:hAnsi="Times New Roman" w:cs="Times New Roman"/>
                      <w:spacing w:val="-3"/>
                      <w:sz w:val="21"/>
                      <w:szCs w:val="21"/>
                    </w:rPr>
                    <w:t>用</w:t>
                  </w:r>
                  <w:r>
                    <w:rPr>
                      <w:rFonts w:hint="eastAsia" w:ascii="Times New Roman" w:hAnsi="Times New Roman" w:cs="Times New Roman"/>
                      <w:sz w:val="21"/>
                      <w:szCs w:val="21"/>
                      <w:lang w:eastAsia="zh-CN"/>
                    </w:rPr>
                    <w:t>高固份漆</w:t>
                  </w:r>
                  <w:r>
                    <w:rPr>
                      <w:rFonts w:ascii="Times New Roman" w:hAnsi="Times New Roman" w:cs="Times New Roman"/>
                      <w:sz w:val="21"/>
                      <w:szCs w:val="21"/>
                    </w:rPr>
                    <w:t>；</w:t>
                  </w:r>
                  <w:r>
                    <w:rPr>
                      <w:rFonts w:hint="eastAsia"/>
                      <w:spacing w:val="2"/>
                      <w:sz w:val="21"/>
                      <w:szCs w:val="21"/>
                    </w:rPr>
                    <w:t>②</w:t>
                  </w:r>
                  <w:r>
                    <w:rPr>
                      <w:rFonts w:ascii="Times New Roman" w:hAnsi="Times New Roman" w:cs="Times New Roman"/>
                      <w:sz w:val="21"/>
                      <w:szCs w:val="21"/>
                    </w:rPr>
                    <w:t>使用光固化（</w:t>
                  </w:r>
                  <w:r>
                    <w:rPr>
                      <w:rFonts w:ascii="Times New Roman" w:hAnsi="Times New Roman" w:cs="Times New Roman"/>
                      <w:spacing w:val="-3"/>
                      <w:sz w:val="21"/>
                      <w:szCs w:val="21"/>
                    </w:rPr>
                    <w:t>U</w:t>
                  </w:r>
                  <w:r>
                    <w:rPr>
                      <w:rFonts w:ascii="Times New Roman" w:hAnsi="Times New Roman" w:cs="Times New Roman"/>
                      <w:spacing w:val="2"/>
                      <w:sz w:val="21"/>
                      <w:szCs w:val="21"/>
                    </w:rPr>
                    <w:t>V</w:t>
                  </w:r>
                  <w:r>
                    <w:rPr>
                      <w:rFonts w:ascii="Times New Roman" w:hAnsi="Times New Roman" w:cs="Times New Roman"/>
                      <w:sz w:val="21"/>
                      <w:szCs w:val="21"/>
                    </w:rPr>
                    <w:t>）漆</w:t>
                  </w:r>
                  <w:r>
                    <w:rPr>
                      <w:rFonts w:ascii="Times New Roman" w:hAnsi="Times New Roman" w:cs="Times New Roman"/>
                      <w:spacing w:val="-3"/>
                      <w:sz w:val="21"/>
                      <w:szCs w:val="21"/>
                    </w:rPr>
                    <w:t>；</w:t>
                  </w:r>
                  <w:r>
                    <w:rPr>
                      <w:rFonts w:hint="eastAsia"/>
                      <w:sz w:val="21"/>
                      <w:szCs w:val="21"/>
                    </w:rPr>
                    <w:t>③</w:t>
                  </w:r>
                  <w:r>
                    <w:rPr>
                      <w:rFonts w:ascii="Times New Roman" w:hAnsi="Times New Roman" w:cs="Times New Roman"/>
                      <w:sz w:val="21"/>
                      <w:szCs w:val="21"/>
                    </w:rPr>
                    <w:t>使用粉末涂料；</w:t>
                  </w:r>
                  <w:r>
                    <w:rPr>
                      <w:rFonts w:hint="eastAsia"/>
                      <w:sz w:val="21"/>
                      <w:szCs w:val="21"/>
                    </w:rPr>
                    <w:t>④</w:t>
                  </w:r>
                  <w:r>
                    <w:rPr>
                      <w:rFonts w:ascii="Times New Roman" w:hAnsi="Times New Roman" w:cs="Times New Roman"/>
                      <w:sz w:val="21"/>
                      <w:szCs w:val="21"/>
                    </w:rPr>
                    <w:t>免中涂工艺</w:t>
                  </w:r>
                </w:p>
              </w:tc>
              <w:tc>
                <w:tcPr>
                  <w:tcW w:w="1415"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节水</w:t>
                  </w:r>
                  <w:r>
                    <w:rPr>
                      <w:rFonts w:ascii="Times New Roman" w:hAnsi="Times New Roman" w:cs="Times New Roman"/>
                      <w:sz w:val="21"/>
                      <w:szCs w:val="21"/>
                      <w:vertAlign w:val="superscript"/>
                    </w:rPr>
                    <w:t>b</w:t>
                  </w:r>
                  <w:r>
                    <w:rPr>
                      <w:rFonts w:ascii="Times New Roman" w:hAnsi="Times New Roman" w:cs="Times New Roman"/>
                      <w:sz w:val="21"/>
                      <w:szCs w:val="21"/>
                    </w:rPr>
                    <w:t>、节能</w:t>
                  </w:r>
                  <w:r>
                    <w:rPr>
                      <w:rFonts w:ascii="Times New Roman" w:hAnsi="Times New Roman" w:cs="Times New Roman"/>
                      <w:sz w:val="21"/>
                      <w:szCs w:val="21"/>
                      <w:vertAlign w:val="superscript"/>
                    </w:rPr>
                    <w:t>c</w:t>
                  </w:r>
                  <w:r>
                    <w:rPr>
                      <w:rFonts w:ascii="Times New Roman" w:hAnsi="Times New Roman" w:cs="Times New Roman"/>
                      <w:sz w:val="21"/>
                      <w:szCs w:val="21"/>
                    </w:rPr>
                    <w:t>技术应用</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Merge w:val="continue"/>
                  <w:vAlign w:val="center"/>
                </w:tcPr>
                <w:p>
                  <w:pPr>
                    <w:adjustRightInd w:val="0"/>
                    <w:snapToGrid w:val="0"/>
                    <w:jc w:val="center"/>
                    <w:rPr>
                      <w:rFonts w:ascii="Times New Roman" w:hAnsi="Times New Roman" w:cs="Times New Roman"/>
                      <w:sz w:val="21"/>
                      <w:szCs w:val="21"/>
                    </w:rPr>
                  </w:pPr>
                </w:p>
              </w:tc>
              <w:tc>
                <w:tcPr>
                  <w:tcW w:w="278" w:type="pct"/>
                  <w:vMerge w:val="continue"/>
                  <w:vAlign w:val="center"/>
                </w:tcPr>
                <w:p>
                  <w:pPr>
                    <w:adjustRightInd w:val="0"/>
                    <w:snapToGrid w:val="0"/>
                    <w:jc w:val="center"/>
                    <w:rPr>
                      <w:rFonts w:ascii="Times New Roman" w:hAnsi="Times New Roman" w:cs="Times New Roman"/>
                      <w:sz w:val="21"/>
                      <w:szCs w:val="21"/>
                    </w:rPr>
                  </w:pP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0.06</w:t>
                  </w:r>
                </w:p>
              </w:tc>
              <w:tc>
                <w:tcPr>
                  <w:tcW w:w="2131"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废溶剂收集、处理</w:t>
                  </w:r>
                  <w:r>
                    <w:rPr>
                      <w:rFonts w:ascii="Times New Roman" w:hAnsi="Times New Roman" w:cs="Times New Roman"/>
                      <w:sz w:val="21"/>
                      <w:szCs w:val="21"/>
                      <w:vertAlign w:val="superscript"/>
                    </w:rPr>
                    <w:t>e</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烘干室</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0.04</w:t>
                  </w:r>
                </w:p>
              </w:tc>
              <w:tc>
                <w:tcPr>
                  <w:tcW w:w="1410"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节能技术应用</w:t>
                  </w:r>
                  <w:r>
                    <w:rPr>
                      <w:rFonts w:ascii="Times New Roman" w:hAnsi="Times New Roman" w:cs="Times New Roman"/>
                      <w:sz w:val="21"/>
                      <w:szCs w:val="21"/>
                      <w:vertAlign w:val="superscript"/>
                    </w:rPr>
                    <w:t>c</w:t>
                  </w:r>
                  <w:r>
                    <w:rPr>
                      <w:rFonts w:ascii="Times New Roman" w:hAnsi="Times New Roman" w:cs="Times New Roman"/>
                      <w:sz w:val="21"/>
                      <w:szCs w:val="21"/>
                    </w:rPr>
                    <w:t>；加热装置多级调节</w:t>
                  </w:r>
                  <w:r>
                    <w:rPr>
                      <w:rFonts w:ascii="Times New Roman" w:hAnsi="Times New Roman" w:cs="Times New Roman"/>
                      <w:sz w:val="21"/>
                      <w:szCs w:val="21"/>
                      <w:vertAlign w:val="superscript"/>
                    </w:rPr>
                    <w:t>j</w:t>
                  </w:r>
                  <w:r>
                    <w:rPr>
                      <w:rFonts w:ascii="Times New Roman" w:hAnsi="Times New Roman" w:cs="Times New Roman"/>
                      <w:sz w:val="21"/>
                      <w:szCs w:val="21"/>
                    </w:rPr>
                    <w:t>，使用清洁能源</w:t>
                  </w:r>
                </w:p>
              </w:tc>
              <w:tc>
                <w:tcPr>
                  <w:tcW w:w="721" w:type="pct"/>
                  <w:vAlign w:val="center"/>
                </w:tcPr>
                <w:p>
                  <w:pPr>
                    <w:adjustRightInd w:val="0"/>
                    <w:snapToGrid w:val="0"/>
                    <w:rPr>
                      <w:rFonts w:ascii="Times New Roman" w:hAnsi="Times New Roman" w:cs="Times New Roman"/>
                      <w:sz w:val="21"/>
                      <w:szCs w:val="21"/>
                    </w:rPr>
                  </w:pPr>
                  <w:r>
                    <w:rPr>
                      <w:rFonts w:ascii="Times New Roman" w:hAnsi="Times New Roman" w:cs="Times New Roman"/>
                      <w:sz w:val="21"/>
                      <w:szCs w:val="21"/>
                    </w:rPr>
                    <w:t>加热装置多级调节</w:t>
                  </w:r>
                  <w:r>
                    <w:rPr>
                      <w:rFonts w:ascii="Times New Roman" w:hAnsi="Times New Roman" w:cs="Times New Roman"/>
                      <w:sz w:val="21"/>
                      <w:szCs w:val="21"/>
                      <w:vertAlign w:val="superscript"/>
                    </w:rPr>
                    <w:t>j</w:t>
                  </w:r>
                  <w:r>
                    <w:rPr>
                      <w:rFonts w:ascii="Times New Roman" w:hAnsi="Times New Roman" w:cs="Times New Roman"/>
                      <w:sz w:val="21"/>
                      <w:szCs w:val="21"/>
                    </w:rPr>
                    <w:t>，使用清洁能源</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废气处理设施</w:t>
                  </w: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喷漆废气</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0.11</w:t>
                  </w:r>
                </w:p>
              </w:tc>
              <w:tc>
                <w:tcPr>
                  <w:tcW w:w="1410" w:type="pct"/>
                  <w:gridSpan w:val="2"/>
                  <w:vAlign w:val="center"/>
                </w:tcPr>
                <w:p>
                  <w:pPr>
                    <w:adjustRightInd w:val="0"/>
                    <w:snapToGrid w:val="0"/>
                    <w:rPr>
                      <w:rFonts w:ascii="Times New Roman" w:hAnsi="Times New Roman" w:cs="Times New Roman"/>
                      <w:sz w:val="21"/>
                      <w:szCs w:val="21"/>
                    </w:rPr>
                  </w:pPr>
                  <w:r>
                    <w:rPr>
                      <w:rFonts w:ascii="Times New Roman" w:hAnsi="Times New Roman" w:cs="Times New Roman"/>
                      <w:sz w:val="21"/>
                      <w:szCs w:val="21"/>
                    </w:rPr>
                    <w:t>溶剂工艺段有VOCs处理设施，处理效率≥85%；有VOCs处理设备运行监控装置</w:t>
                  </w:r>
                </w:p>
              </w:tc>
              <w:tc>
                <w:tcPr>
                  <w:tcW w:w="721" w:type="pct"/>
                  <w:vAlign w:val="center"/>
                </w:tcPr>
                <w:p>
                  <w:pPr>
                    <w:autoSpaceDE w:val="0"/>
                    <w:autoSpaceDN w:val="0"/>
                    <w:adjustRightInd w:val="0"/>
                    <w:snapToGrid w:val="0"/>
                    <w:rPr>
                      <w:rFonts w:ascii="Times New Roman" w:hAnsi="Times New Roman" w:cs="Times New Roman"/>
                      <w:sz w:val="21"/>
                      <w:szCs w:val="21"/>
                    </w:rPr>
                  </w:pPr>
                  <w:r>
                    <w:rPr>
                      <w:rFonts w:ascii="Times New Roman" w:hAnsi="Times New Roman" w:cs="Times New Roman"/>
                      <w:sz w:val="21"/>
                      <w:szCs w:val="21"/>
                    </w:rPr>
                    <w:t>溶剂型喷漆有VOCs处理设施，处理效率≥75%；有VOCs处理设备运行监控装置</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涂层烘干废气</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0.11</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有</w:t>
                  </w:r>
                  <w:r>
                    <w:rPr>
                      <w:rFonts w:ascii="Times New Roman" w:hAnsi="Times New Roman" w:cs="Times New Roman"/>
                      <w:spacing w:val="1"/>
                      <w:sz w:val="21"/>
                      <w:szCs w:val="21"/>
                    </w:rPr>
                    <w:t>V</w:t>
                  </w:r>
                  <w:r>
                    <w:rPr>
                      <w:rFonts w:ascii="Times New Roman" w:hAnsi="Times New Roman" w:cs="Times New Roman"/>
                      <w:sz w:val="21"/>
                      <w:szCs w:val="21"/>
                    </w:rPr>
                    <w:t>OCs处理设施，处理效率≥9</w:t>
                  </w:r>
                  <w:r>
                    <w:rPr>
                      <w:rFonts w:ascii="Times New Roman" w:hAnsi="Times New Roman" w:cs="Times New Roman"/>
                      <w:spacing w:val="1"/>
                      <w:sz w:val="21"/>
                      <w:szCs w:val="21"/>
                    </w:rPr>
                    <w:t>8</w:t>
                  </w:r>
                  <w:r>
                    <w:rPr>
                      <w:rFonts w:ascii="Times New Roman" w:hAnsi="Times New Roman" w:cs="Times New Roman"/>
                      <w:spacing w:val="-1"/>
                      <w:sz w:val="21"/>
                      <w:szCs w:val="21"/>
                    </w:rPr>
                    <w:t>%</w:t>
                  </w:r>
                  <w:r>
                    <w:rPr>
                      <w:rFonts w:ascii="Times New Roman" w:hAnsi="Times New Roman" w:cs="Times New Roman"/>
                      <w:sz w:val="21"/>
                      <w:szCs w:val="21"/>
                    </w:rPr>
                    <w:t>；有</w:t>
                  </w:r>
                  <w:r>
                    <w:rPr>
                      <w:rFonts w:ascii="Times New Roman" w:hAnsi="Times New Roman" w:cs="Times New Roman"/>
                      <w:spacing w:val="1"/>
                      <w:sz w:val="21"/>
                      <w:szCs w:val="21"/>
                    </w:rPr>
                    <w:t>V</w:t>
                  </w:r>
                  <w:r>
                    <w:rPr>
                      <w:rFonts w:ascii="Times New Roman" w:hAnsi="Times New Roman" w:cs="Times New Roman"/>
                      <w:sz w:val="21"/>
                      <w:szCs w:val="21"/>
                    </w:rPr>
                    <w:t>OCs处理设备运</w:t>
                  </w:r>
                  <w:r>
                    <w:rPr>
                      <w:rFonts w:ascii="Times New Roman" w:hAnsi="Times New Roman" w:cs="Times New Roman"/>
                      <w:spacing w:val="-3"/>
                      <w:sz w:val="21"/>
                      <w:szCs w:val="21"/>
                    </w:rPr>
                    <w:t>行</w:t>
                  </w:r>
                  <w:r>
                    <w:rPr>
                      <w:rFonts w:ascii="Times New Roman" w:hAnsi="Times New Roman" w:cs="Times New Roman"/>
                      <w:sz w:val="21"/>
                      <w:szCs w:val="21"/>
                    </w:rPr>
                    <w:t>监控装置</w:t>
                  </w:r>
                </w:p>
              </w:tc>
              <w:tc>
                <w:tcPr>
                  <w:tcW w:w="693" w:type="pct"/>
                  <w:vAlign w:val="center"/>
                </w:tcPr>
                <w:p>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有</w:t>
                  </w:r>
                  <w:r>
                    <w:rPr>
                      <w:rFonts w:ascii="Times New Roman" w:hAnsi="Times New Roman" w:cs="Times New Roman"/>
                      <w:spacing w:val="1"/>
                      <w:sz w:val="21"/>
                      <w:szCs w:val="21"/>
                    </w:rPr>
                    <w:t>V</w:t>
                  </w:r>
                  <w:r>
                    <w:rPr>
                      <w:rFonts w:ascii="Times New Roman" w:hAnsi="Times New Roman" w:cs="Times New Roman"/>
                      <w:sz w:val="21"/>
                      <w:szCs w:val="21"/>
                    </w:rPr>
                    <w:t>OCs处理设施</w:t>
                  </w:r>
                  <w:r>
                    <w:rPr>
                      <w:rFonts w:ascii="Times New Roman" w:hAnsi="Times New Roman" w:cs="Times New Roman"/>
                      <w:spacing w:val="-58"/>
                      <w:sz w:val="21"/>
                      <w:szCs w:val="21"/>
                    </w:rPr>
                    <w:t>，</w:t>
                  </w:r>
                  <w:r>
                    <w:rPr>
                      <w:rFonts w:ascii="Times New Roman" w:hAnsi="Times New Roman" w:cs="Times New Roman"/>
                      <w:sz w:val="21"/>
                      <w:szCs w:val="21"/>
                    </w:rPr>
                    <w:t>处理效率≥9</w:t>
                  </w:r>
                  <w:r>
                    <w:rPr>
                      <w:rFonts w:ascii="Times New Roman" w:hAnsi="Times New Roman" w:cs="Times New Roman"/>
                      <w:spacing w:val="1"/>
                      <w:sz w:val="21"/>
                      <w:szCs w:val="21"/>
                    </w:rPr>
                    <w:t>5</w:t>
                  </w:r>
                  <w:r>
                    <w:rPr>
                      <w:rFonts w:ascii="Times New Roman" w:hAnsi="Times New Roman" w:cs="Times New Roman"/>
                      <w:sz w:val="21"/>
                      <w:szCs w:val="21"/>
                    </w:rPr>
                    <w:t>%</w:t>
                  </w:r>
                  <w:r>
                    <w:rPr>
                      <w:rFonts w:ascii="Times New Roman" w:hAnsi="Times New Roman" w:cs="Times New Roman"/>
                      <w:spacing w:val="-36"/>
                      <w:sz w:val="21"/>
                      <w:szCs w:val="21"/>
                    </w:rPr>
                    <w:t>；</w:t>
                  </w:r>
                  <w:r>
                    <w:rPr>
                      <w:rFonts w:ascii="Times New Roman" w:hAnsi="Times New Roman" w:cs="Times New Roman"/>
                      <w:sz w:val="21"/>
                      <w:szCs w:val="21"/>
                    </w:rPr>
                    <w:t>有</w:t>
                  </w:r>
                  <w:r>
                    <w:rPr>
                      <w:rFonts w:ascii="Times New Roman" w:hAnsi="Times New Roman" w:cs="Times New Roman"/>
                      <w:spacing w:val="1"/>
                      <w:sz w:val="21"/>
                      <w:szCs w:val="21"/>
                    </w:rPr>
                    <w:t>V</w:t>
                  </w:r>
                  <w:r>
                    <w:rPr>
                      <w:rFonts w:ascii="Times New Roman" w:hAnsi="Times New Roman" w:cs="Times New Roman"/>
                      <w:sz w:val="21"/>
                      <w:szCs w:val="21"/>
                    </w:rPr>
                    <w:t>OCs处理设备运行监控装置</w:t>
                  </w:r>
                </w:p>
              </w:tc>
              <w:tc>
                <w:tcPr>
                  <w:tcW w:w="721" w:type="pct"/>
                  <w:vAlign w:val="center"/>
                </w:tcPr>
                <w:p>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有</w:t>
                  </w:r>
                  <w:r>
                    <w:rPr>
                      <w:rFonts w:ascii="Times New Roman" w:hAnsi="Times New Roman" w:cs="Times New Roman"/>
                      <w:spacing w:val="1"/>
                      <w:sz w:val="21"/>
                      <w:szCs w:val="21"/>
                    </w:rPr>
                    <w:t>V</w:t>
                  </w:r>
                  <w:r>
                    <w:rPr>
                      <w:rFonts w:ascii="Times New Roman" w:hAnsi="Times New Roman" w:cs="Times New Roman"/>
                      <w:sz w:val="21"/>
                      <w:szCs w:val="21"/>
                    </w:rPr>
                    <w:t>OCs处理设施</w:t>
                  </w:r>
                  <w:r>
                    <w:rPr>
                      <w:rFonts w:ascii="Times New Roman" w:hAnsi="Times New Roman" w:cs="Times New Roman"/>
                      <w:spacing w:val="-68"/>
                      <w:sz w:val="21"/>
                      <w:szCs w:val="21"/>
                    </w:rPr>
                    <w:t>，</w:t>
                  </w:r>
                  <w:r>
                    <w:rPr>
                      <w:rFonts w:ascii="Times New Roman" w:hAnsi="Times New Roman" w:cs="Times New Roman"/>
                      <w:sz w:val="21"/>
                      <w:szCs w:val="21"/>
                    </w:rPr>
                    <w:t>处理效率≥9</w:t>
                  </w:r>
                  <w:r>
                    <w:rPr>
                      <w:rFonts w:ascii="Times New Roman" w:hAnsi="Times New Roman" w:cs="Times New Roman"/>
                      <w:spacing w:val="1"/>
                      <w:sz w:val="21"/>
                      <w:szCs w:val="21"/>
                    </w:rPr>
                    <w:t>0</w:t>
                  </w:r>
                  <w:r>
                    <w:rPr>
                      <w:rFonts w:ascii="Times New Roman" w:hAnsi="Times New Roman" w:cs="Times New Roman"/>
                      <w:sz w:val="21"/>
                      <w:szCs w:val="21"/>
                    </w:rPr>
                    <w:t>%</w:t>
                  </w:r>
                  <w:r>
                    <w:rPr>
                      <w:rFonts w:ascii="Times New Roman" w:hAnsi="Times New Roman" w:cs="Times New Roman"/>
                      <w:spacing w:val="-46"/>
                      <w:sz w:val="21"/>
                      <w:szCs w:val="21"/>
                    </w:rPr>
                    <w:t>；</w:t>
                  </w:r>
                  <w:r>
                    <w:rPr>
                      <w:rFonts w:ascii="Times New Roman" w:hAnsi="Times New Roman" w:cs="Times New Roman"/>
                      <w:sz w:val="21"/>
                      <w:szCs w:val="21"/>
                    </w:rPr>
                    <w:t>有</w:t>
                  </w:r>
                  <w:r>
                    <w:rPr>
                      <w:rFonts w:ascii="Times New Roman" w:hAnsi="Times New Roman" w:cs="Times New Roman"/>
                      <w:spacing w:val="1"/>
                      <w:sz w:val="21"/>
                      <w:szCs w:val="21"/>
                    </w:rPr>
                    <w:t>V</w:t>
                  </w:r>
                  <w:r>
                    <w:rPr>
                      <w:rFonts w:ascii="Times New Roman" w:hAnsi="Times New Roman" w:cs="Times New Roman"/>
                      <w:sz w:val="21"/>
                      <w:szCs w:val="21"/>
                    </w:rPr>
                    <w:t>OCs处理设备运行监控装置</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原辅材料</w:t>
                  </w: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底漆</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0.05</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VOCs≤30%</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VOCs≤35%</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VOCs≤45%</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中漆</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0.05</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VOCs≤30%</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VOCs≤40%</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VOCs≤55%</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314" w:type="pct"/>
                  <w:gridSpan w:val="3"/>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面漆</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0.05</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VOCs≤50%</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VOCs≤60%</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VOCs≤70%</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159" w:type="pct"/>
                  <w:vMerge w:val="continue"/>
                  <w:vAlign w:val="center"/>
                </w:tcPr>
                <w:p>
                  <w:pPr>
                    <w:adjustRightInd w:val="0"/>
                    <w:snapToGrid w:val="0"/>
                    <w:jc w:val="center"/>
                    <w:rPr>
                      <w:rFonts w:ascii="Times New Roman" w:hAnsi="Times New Roman" w:cs="Times New Roman"/>
                      <w:sz w:val="21"/>
                      <w:szCs w:val="21"/>
                    </w:rPr>
                  </w:pPr>
                </w:p>
              </w:tc>
              <w:tc>
                <w:tcPr>
                  <w:tcW w:w="118"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喷枪清洗液</w:t>
                  </w:r>
                </w:p>
              </w:tc>
              <w:tc>
                <w:tcPr>
                  <w:tcW w:w="196" w:type="pct"/>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高固份漆</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0.02</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VOCs含量≤5%</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VOCs含量≤20%</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VOCs含量≤30%</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14</w:t>
                  </w:r>
                </w:p>
              </w:tc>
              <w:tc>
                <w:tcPr>
                  <w:tcW w:w="226"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资源和能耗消耗指标</w:t>
                  </w:r>
                </w:p>
              </w:tc>
              <w:tc>
                <w:tcPr>
                  <w:tcW w:w="452"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0.1</w:t>
                  </w:r>
                </w:p>
              </w:tc>
              <w:tc>
                <w:tcPr>
                  <w:tcW w:w="473" w:type="pct"/>
                  <w:gridSpan w:val="4"/>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单位面积取水量*</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L/m</w:t>
                  </w:r>
                  <w:r>
                    <w:rPr>
                      <w:rFonts w:ascii="Times New Roman" w:hAnsi="Times New Roman" w:cs="Times New Roman"/>
                      <w:sz w:val="21"/>
                      <w:szCs w:val="21"/>
                      <w:vertAlign w:val="superscript"/>
                    </w:rPr>
                    <w:t>2</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≤2.5</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≤3.2</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606" w:type="pct"/>
                  <w:vMerge w:val="restart"/>
                  <w:vAlign w:val="center"/>
                </w:tcPr>
                <w:p>
                  <w:pPr>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本项目不涉及单位面积取水量，单位面积综合能耗0.0018</w:t>
                  </w:r>
                  <w:r>
                    <w:rPr>
                      <w:rFonts w:ascii="Times New Roman" w:hAnsi="Times New Roman" w:cs="Times New Roman"/>
                      <w:sz w:val="21"/>
                      <w:szCs w:val="21"/>
                    </w:rPr>
                    <w:t>kgce/m</w:t>
                  </w:r>
                  <w:r>
                    <w:rPr>
                      <w:rFonts w:ascii="Times New Roman" w:hAnsi="Times New Roman" w:cs="Times New Roman"/>
                      <w:sz w:val="21"/>
                      <w:szCs w:val="21"/>
                      <w:vertAlign w:val="superscript"/>
                    </w:rPr>
                    <w:t>2</w:t>
                  </w:r>
                  <w:r>
                    <w:rPr>
                      <w:rFonts w:hint="eastAsia" w:ascii="Times New Roman" w:hAnsi="Times New Roman" w:cs="Times New Roman"/>
                      <w:sz w:val="21"/>
                      <w:szCs w:val="21"/>
                      <w:lang w:val="en-US" w:eastAsia="zh-CN"/>
                    </w:rPr>
                    <w:t>，单位重量综合能耗0.00003</w:t>
                  </w:r>
                  <w:r>
                    <w:rPr>
                      <w:rFonts w:ascii="Times New Roman" w:hAnsi="Times New Roman" w:cs="Times New Roman"/>
                      <w:sz w:val="21"/>
                      <w:szCs w:val="21"/>
                    </w:rPr>
                    <w:t>kgce/kg</w:t>
                  </w:r>
                  <w:r>
                    <w:rPr>
                      <w:rFonts w:hint="eastAsia" w:ascii="Times New Roman" w:hAnsi="Times New Roman" w:cs="Times New Roman"/>
                      <w:sz w:val="21"/>
                      <w:szCs w:val="21"/>
                      <w:lang w:eastAsia="zh-CN"/>
                    </w:rPr>
                    <w:t>，</w:t>
                  </w:r>
                  <w:r>
                    <w:rPr>
                      <w:rFonts w:hint="eastAsia" w:ascii="Times New Roman" w:hAnsi="Times New Roman" w:eastAsia="宋体"/>
                      <w:caps w:val="0"/>
                      <w:color w:val="auto"/>
                      <w:szCs w:val="21"/>
                      <w:lang w:val="en-US" w:eastAsia="zh-CN"/>
                    </w:rPr>
                    <w:t>本项目取值为10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473" w:type="pct"/>
                  <w:gridSpan w:val="4"/>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单位面积综合能耗*</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kgce/m</w:t>
                  </w:r>
                  <w:r>
                    <w:rPr>
                      <w:rFonts w:ascii="Times New Roman" w:hAnsi="Times New Roman" w:cs="Times New Roman"/>
                      <w:sz w:val="21"/>
                      <w:szCs w:val="21"/>
                      <w:vertAlign w:val="superscript"/>
                    </w:rPr>
                    <w:t>2</w:t>
                  </w:r>
                </w:p>
              </w:tc>
              <w:tc>
                <w:tcPr>
                  <w:tcW w:w="716"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0.7</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≤1.26</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≤1.32</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≤1.43</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473" w:type="pct"/>
                  <w:gridSpan w:val="4"/>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单位重量综合能耗*</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kgce/kg</w:t>
                  </w:r>
                </w:p>
              </w:tc>
              <w:tc>
                <w:tcPr>
                  <w:tcW w:w="716" w:type="pct"/>
                  <w:vMerge w:val="continue"/>
                  <w:vAlign w:val="center"/>
                </w:tcPr>
                <w:p>
                  <w:pPr>
                    <w:adjustRightInd w:val="0"/>
                    <w:snapToGrid w:val="0"/>
                    <w:jc w:val="center"/>
                    <w:rPr>
                      <w:rFonts w:ascii="Times New Roman" w:hAnsi="Times New Roman" w:cs="Times New Roman"/>
                      <w:sz w:val="21"/>
                      <w:szCs w:val="21"/>
                    </w:rPr>
                  </w:pP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≤0.23</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≤0.26</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≤0.31</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17</w:t>
                  </w:r>
                </w:p>
              </w:tc>
              <w:tc>
                <w:tcPr>
                  <w:tcW w:w="226"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污染物产生指标</w:t>
                  </w:r>
                </w:p>
              </w:tc>
              <w:tc>
                <w:tcPr>
                  <w:tcW w:w="452"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237" w:type="pct"/>
                  <w:gridSpan w:val="2"/>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单位面积VOCs产生量*</w:t>
                  </w:r>
                </w:p>
              </w:tc>
              <w:tc>
                <w:tcPr>
                  <w:tcW w:w="236"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客车、大型机械</w:t>
                  </w:r>
                </w:p>
              </w:tc>
              <w:tc>
                <w:tcPr>
                  <w:tcW w:w="278"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g/m</w:t>
                  </w:r>
                  <w:r>
                    <w:rPr>
                      <w:rFonts w:ascii="Times New Roman" w:hAnsi="Times New Roman" w:cs="Times New Roman"/>
                      <w:sz w:val="21"/>
                      <w:szCs w:val="21"/>
                      <w:vertAlign w:val="superscript"/>
                    </w:rPr>
                    <w:t>2</w:t>
                  </w:r>
                </w:p>
              </w:tc>
              <w:tc>
                <w:tcPr>
                  <w:tcW w:w="716" w:type="pct"/>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0.35</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≤150</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≤210</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≤280</w:t>
                  </w:r>
                </w:p>
              </w:tc>
              <w:tc>
                <w:tcPr>
                  <w:tcW w:w="606" w:type="pct"/>
                  <w:vMerge w:val="restart"/>
                  <w:vAlign w:val="center"/>
                </w:tcPr>
                <w:p>
                  <w:pPr>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本项目单位面积</w:t>
                  </w:r>
                  <w:r>
                    <w:rPr>
                      <w:rFonts w:ascii="Times New Roman" w:hAnsi="Times New Roman" w:cs="Times New Roman"/>
                      <w:sz w:val="21"/>
                      <w:szCs w:val="21"/>
                    </w:rPr>
                    <w:t>VOCs</w:t>
                  </w:r>
                  <w:r>
                    <w:rPr>
                      <w:rFonts w:hint="eastAsia" w:ascii="Times New Roman" w:hAnsi="Times New Roman" w:cs="Times New Roman"/>
                      <w:sz w:val="21"/>
                      <w:szCs w:val="21"/>
                      <w:lang w:val="en-US" w:eastAsia="zh-CN"/>
                    </w:rPr>
                    <w:t>产生量</w:t>
                  </w:r>
                  <w:r>
                    <w:rPr>
                      <w:rFonts w:hint="eastAsia" w:cs="Times New Roman"/>
                      <w:sz w:val="21"/>
                      <w:szCs w:val="21"/>
                      <w:lang w:val="en-US" w:eastAsia="zh-CN"/>
                    </w:rPr>
                    <w:t>61.7</w:t>
                  </w:r>
                  <w:r>
                    <w:rPr>
                      <w:rFonts w:ascii="Times New Roman" w:hAnsi="Times New Roman" w:cs="Times New Roman"/>
                      <w:sz w:val="21"/>
                      <w:szCs w:val="21"/>
                    </w:rPr>
                    <w:t>g/m</w:t>
                  </w:r>
                  <w:r>
                    <w:rPr>
                      <w:rFonts w:ascii="Times New Roman" w:hAnsi="Times New Roman" w:cs="Times New Roman"/>
                      <w:sz w:val="21"/>
                      <w:szCs w:val="21"/>
                      <w:vertAlign w:val="superscript"/>
                    </w:rPr>
                    <w:t>2</w:t>
                  </w:r>
                  <w:r>
                    <w:rPr>
                      <w:rFonts w:hint="eastAsia" w:ascii="Times New Roman" w:hAnsi="Times New Roman" w:cs="Times New Roman"/>
                      <w:sz w:val="21"/>
                      <w:szCs w:val="21"/>
                      <w:lang w:val="en-US" w:eastAsia="zh-CN"/>
                    </w:rPr>
                    <w:t>＜150，</w:t>
                  </w:r>
                  <w:r>
                    <w:rPr>
                      <w:rFonts w:ascii="Times New Roman" w:hAnsi="Times New Roman" w:cs="Times New Roman"/>
                    </w:rPr>
                    <w:t>单位面积</w:t>
                  </w:r>
                  <w:r>
                    <w:rPr>
                      <w:rFonts w:ascii="Times New Roman" w:hAnsi="Times New Roman" w:cs="Times New Roman"/>
                      <w:sz w:val="21"/>
                      <w:szCs w:val="21"/>
                    </w:rPr>
                    <w:t>CODcr</w:t>
                  </w:r>
                  <w:r>
                    <w:rPr>
                      <w:rFonts w:ascii="Times New Roman" w:hAnsi="Times New Roman" w:cs="Times New Roman"/>
                    </w:rPr>
                    <w:t>产生量</w:t>
                  </w:r>
                  <w:r>
                    <w:rPr>
                      <w:rFonts w:hint="eastAsia" w:ascii="Times New Roman" w:hAnsi="Times New Roman" w:cs="Times New Roman"/>
                      <w:lang w:val="en-US" w:eastAsia="zh-CN"/>
                    </w:rPr>
                    <w:t>为0，</w:t>
                  </w:r>
                  <w:r>
                    <w:rPr>
                      <w:rFonts w:ascii="Times New Roman" w:hAnsi="Times New Roman" w:cs="Times New Roman"/>
                      <w:sz w:val="21"/>
                      <w:szCs w:val="21"/>
                    </w:rPr>
                    <w:t>单位面积的危险废物产生量</w:t>
                  </w:r>
                  <w:r>
                    <w:rPr>
                      <w:rFonts w:hint="eastAsia" w:ascii="Times New Roman" w:hAnsi="Times New Roman" w:cs="Times New Roman"/>
                      <w:sz w:val="21"/>
                      <w:szCs w:val="21"/>
                      <w:lang w:val="en-US" w:eastAsia="zh-CN"/>
                    </w:rPr>
                    <w:t>69.1</w:t>
                  </w:r>
                  <w:r>
                    <w:rPr>
                      <w:rFonts w:ascii="Times New Roman" w:hAnsi="Times New Roman" w:cs="Times New Roman"/>
                      <w:sz w:val="21"/>
                      <w:szCs w:val="21"/>
                    </w:rPr>
                    <w:t>g/m</w:t>
                  </w:r>
                  <w:r>
                    <w:rPr>
                      <w:rFonts w:ascii="Times New Roman" w:hAnsi="Times New Roman" w:cs="Times New Roman"/>
                      <w:sz w:val="21"/>
                      <w:szCs w:val="21"/>
                      <w:vertAlign w:val="superscript"/>
                    </w:rPr>
                    <w:t>2</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本项目取值21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18</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237" w:type="pct"/>
                  <w:gridSpan w:val="2"/>
                  <w:vMerge w:val="continue"/>
                  <w:vAlign w:val="center"/>
                </w:tcPr>
                <w:p>
                  <w:pPr>
                    <w:adjustRightInd w:val="0"/>
                    <w:snapToGrid w:val="0"/>
                    <w:jc w:val="center"/>
                    <w:rPr>
                      <w:rFonts w:ascii="Times New Roman" w:hAnsi="Times New Roman" w:cs="Times New Roman"/>
                      <w:sz w:val="21"/>
                      <w:szCs w:val="21"/>
                    </w:rPr>
                  </w:pPr>
                </w:p>
              </w:tc>
              <w:tc>
                <w:tcPr>
                  <w:tcW w:w="236" w:type="pct"/>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其他</w:t>
                  </w:r>
                </w:p>
              </w:tc>
              <w:tc>
                <w:tcPr>
                  <w:tcW w:w="278" w:type="pct"/>
                  <w:vMerge w:val="continue"/>
                  <w:vAlign w:val="center"/>
                </w:tcPr>
                <w:p>
                  <w:pPr>
                    <w:adjustRightInd w:val="0"/>
                    <w:snapToGrid w:val="0"/>
                    <w:jc w:val="center"/>
                    <w:rPr>
                      <w:rFonts w:ascii="Times New Roman" w:hAnsi="Times New Roman" w:cs="Times New Roman"/>
                      <w:sz w:val="21"/>
                      <w:szCs w:val="21"/>
                    </w:rPr>
                  </w:pPr>
                </w:p>
              </w:tc>
              <w:tc>
                <w:tcPr>
                  <w:tcW w:w="716" w:type="pct"/>
                  <w:vMerge w:val="continue"/>
                  <w:vAlign w:val="center"/>
                </w:tcPr>
                <w:p>
                  <w:pPr>
                    <w:adjustRightInd w:val="0"/>
                    <w:snapToGrid w:val="0"/>
                    <w:jc w:val="center"/>
                    <w:rPr>
                      <w:rFonts w:ascii="Times New Roman" w:hAnsi="Times New Roman" w:cs="Times New Roman"/>
                      <w:sz w:val="21"/>
                      <w:szCs w:val="21"/>
                    </w:rPr>
                  </w:pP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≤60</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≤80</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19</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473" w:type="pct"/>
                  <w:gridSpan w:val="4"/>
                  <w:vAlign w:val="center"/>
                </w:tcPr>
                <w:p>
                  <w:pPr>
                    <w:adjustRightInd w:val="0"/>
                    <w:snapToGrid w:val="0"/>
                    <w:jc w:val="center"/>
                    <w:rPr>
                      <w:rFonts w:ascii="Times New Roman" w:hAnsi="Times New Roman" w:cs="Times New Roman"/>
                      <w:sz w:val="21"/>
                      <w:szCs w:val="21"/>
                    </w:rPr>
                  </w:pPr>
                  <w:r>
                    <w:rPr>
                      <w:rFonts w:ascii="Times New Roman" w:hAnsi="Times New Roman" w:cs="Times New Roman"/>
                    </w:rPr>
                    <w:t>单位面积</w:t>
                  </w:r>
                  <w:r>
                    <w:rPr>
                      <w:rFonts w:ascii="Times New Roman" w:hAnsi="Times New Roman" w:cs="Times New Roman"/>
                      <w:sz w:val="21"/>
                      <w:szCs w:val="21"/>
                    </w:rPr>
                    <w:t>CODcr</w:t>
                  </w:r>
                  <w:r>
                    <w:rPr>
                      <w:rFonts w:ascii="Times New Roman" w:hAnsi="Times New Roman" w:cs="Times New Roman"/>
                    </w:rPr>
                    <w:t>产生量*</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g/m</w:t>
                  </w:r>
                  <w:r>
                    <w:rPr>
                      <w:rFonts w:ascii="Times New Roman" w:hAnsi="Times New Roman" w:cs="Times New Roman"/>
                      <w:sz w:val="21"/>
                      <w:szCs w:val="21"/>
                      <w:vertAlign w:val="superscript"/>
                    </w:rPr>
                    <w:t>2</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0.35</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≤2.5</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≤3.5</w:t>
                  </w:r>
                </w:p>
              </w:tc>
              <w:tc>
                <w:tcPr>
                  <w:tcW w:w="606" w:type="pct"/>
                  <w:vMerge w:val="continue"/>
                  <w:vAlign w:val="center"/>
                </w:tcPr>
                <w:p>
                  <w:pPr>
                    <w:adjustRightInd w:val="0"/>
                    <w:snapToGrid w:val="0"/>
                    <w:jc w:val="center"/>
                    <w:rPr>
                      <w:rFonts w:hint="eastAsia" w:ascii="Times New Roman" w:hAnsi="Times New Roman" w:cs="Times New Roman" w:eastAsiaTheme="minorEastAsia"/>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w:t>
                  </w:r>
                </w:p>
              </w:tc>
              <w:tc>
                <w:tcPr>
                  <w:tcW w:w="226" w:type="pct"/>
                  <w:vMerge w:val="continue"/>
                  <w:vAlign w:val="center"/>
                </w:tcPr>
                <w:p>
                  <w:pPr>
                    <w:adjustRightInd w:val="0"/>
                    <w:snapToGrid w:val="0"/>
                    <w:jc w:val="center"/>
                    <w:rPr>
                      <w:rFonts w:ascii="Times New Roman" w:hAnsi="Times New Roman" w:cs="Times New Roman"/>
                      <w:sz w:val="21"/>
                      <w:szCs w:val="21"/>
                    </w:rPr>
                  </w:pPr>
                </w:p>
              </w:tc>
              <w:tc>
                <w:tcPr>
                  <w:tcW w:w="452" w:type="pct"/>
                  <w:vMerge w:val="continue"/>
                  <w:vAlign w:val="center"/>
                </w:tcPr>
                <w:p>
                  <w:pPr>
                    <w:adjustRightInd w:val="0"/>
                    <w:snapToGrid w:val="0"/>
                    <w:jc w:val="center"/>
                    <w:rPr>
                      <w:rFonts w:ascii="Times New Roman" w:hAnsi="Times New Roman" w:cs="Times New Roman"/>
                      <w:sz w:val="21"/>
                      <w:szCs w:val="21"/>
                    </w:rPr>
                  </w:pPr>
                </w:p>
              </w:tc>
              <w:tc>
                <w:tcPr>
                  <w:tcW w:w="473" w:type="pct"/>
                  <w:gridSpan w:val="4"/>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单位面积的危险废物产生量*</w:t>
                  </w:r>
                </w:p>
              </w:tc>
              <w:tc>
                <w:tcPr>
                  <w:tcW w:w="278"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g/m</w:t>
                  </w:r>
                  <w:r>
                    <w:rPr>
                      <w:rFonts w:ascii="Times New Roman" w:hAnsi="Times New Roman" w:cs="Times New Roman"/>
                      <w:sz w:val="21"/>
                      <w:szCs w:val="21"/>
                      <w:vertAlign w:val="superscript"/>
                    </w:rPr>
                    <w:t>2</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716"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≤90</w:t>
                  </w:r>
                </w:p>
              </w:tc>
              <w:tc>
                <w:tcPr>
                  <w:tcW w:w="693"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≤110</w:t>
                  </w:r>
                </w:p>
              </w:tc>
              <w:tc>
                <w:tcPr>
                  <w:tcW w:w="721"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≤160</w:t>
                  </w:r>
                </w:p>
              </w:tc>
              <w:tc>
                <w:tcPr>
                  <w:tcW w:w="606" w:type="pct"/>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13"/>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综上所述，本项目综合评价分数为87.4分，限定性指标全部满足I级基准值要求及以上，故清洁生产水平为国际清洁生产先进水平。</w:t>
                  </w:r>
                </w:p>
              </w:tc>
            </w:tr>
          </w:tbl>
          <w:p>
            <w:pPr>
              <w:pStyle w:val="3"/>
              <w:rPr>
                <w:rFonts w:hint="eastAsia"/>
                <w:lang w:val="en-US" w:eastAsia="zh-CN"/>
              </w:rPr>
            </w:pPr>
          </w:p>
          <w:p>
            <w:pPr>
              <w:rPr>
                <w:rFonts w:hint="default" w:eastAsia="宋体"/>
                <w:sz w:val="24"/>
                <w:vertAlign w:val="baseline"/>
                <w:lang w:val="en-US" w:eastAsia="zh-CN"/>
              </w:rPr>
            </w:pPr>
          </w:p>
        </w:tc>
      </w:tr>
    </w:tbl>
    <w:p>
      <w:pPr>
        <w:rPr>
          <w:rFonts w:hint="default" w:eastAsia="宋体"/>
          <w:sz w:val="24"/>
          <w:lang w:val="en-US" w:eastAsia="zh-CN"/>
        </w:rPr>
      </w:pPr>
    </w:p>
    <w:p/>
    <w:p>
      <w:pPr>
        <w:pStyle w:val="7"/>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16"/>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85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7" w:hRule="atLeast"/>
          <w:jc w:val="center"/>
        </w:trPr>
        <w:tc>
          <w:tcPr>
            <w:tcW w:w="705" w:type="dxa"/>
            <w:vAlign w:val="center"/>
          </w:tcPr>
          <w:p>
            <w:pPr>
              <w:pStyle w:val="16"/>
              <w:adjustRightInd w:val="0"/>
              <w:snapToGrid w:val="0"/>
              <w:spacing w:before="0" w:beforeAutospacing="0" w:after="0" w:afterAutospacing="0"/>
              <w:jc w:val="center"/>
              <w:rPr>
                <w:rFonts w:hint="eastAsia" w:ascii="Times New Roman" w:hAnsi="Times New Roman" w:eastAsia="宋体" w:cs="宋体"/>
                <w:caps w:val="0"/>
                <w:color w:val="auto"/>
                <w:sz w:val="21"/>
                <w:szCs w:val="21"/>
              </w:rPr>
            </w:pPr>
            <w:r>
              <w:rPr>
                <w:rFonts w:hint="eastAsia" w:ascii="Times New Roman" w:hAnsi="Times New Roman" w:eastAsia="宋体" w:cs="宋体"/>
                <w:caps w:val="0"/>
                <w:color w:val="auto"/>
                <w:sz w:val="21"/>
                <w:szCs w:val="21"/>
              </w:rPr>
              <w:t>建设内容</w:t>
            </w:r>
          </w:p>
        </w:tc>
        <w:tc>
          <w:tcPr>
            <w:tcW w:w="8355" w:type="dxa"/>
          </w:tcPr>
          <w:p>
            <w:pPr>
              <w:adjustRightInd w:val="0"/>
              <w:snapToGrid w:val="0"/>
              <w:spacing w:line="360" w:lineRule="auto"/>
              <w:ind w:firstLine="482" w:firstLineChars="200"/>
              <w:rPr>
                <w:rFonts w:ascii="Times New Roman" w:hAnsi="Times New Roman" w:eastAsia="宋体"/>
                <w:b/>
                <w:caps w:val="0"/>
                <w:color w:val="auto"/>
                <w:kern w:val="0"/>
                <w:sz w:val="24"/>
              </w:rPr>
            </w:pPr>
            <w:r>
              <w:rPr>
                <w:rFonts w:hint="eastAsia" w:ascii="Times New Roman" w:hAnsi="Times New Roman" w:eastAsia="宋体"/>
                <w:b/>
                <w:caps w:val="0"/>
                <w:color w:val="auto"/>
                <w:kern w:val="0"/>
                <w:sz w:val="24"/>
              </w:rPr>
              <w:t>1、项目</w:t>
            </w:r>
            <w:r>
              <w:rPr>
                <w:rFonts w:ascii="Times New Roman" w:hAnsi="Times New Roman" w:eastAsia="宋体"/>
                <w:b/>
                <w:caps w:val="0"/>
                <w:color w:val="auto"/>
                <w:kern w:val="0"/>
                <w:sz w:val="24"/>
              </w:rPr>
              <w:t>由来</w:t>
            </w:r>
          </w:p>
          <w:p>
            <w:pPr>
              <w:adjustRightInd w:val="0"/>
              <w:snapToGrid w:val="0"/>
              <w:spacing w:line="360" w:lineRule="auto"/>
              <w:ind w:firstLine="480" w:firstLineChars="200"/>
              <w:rPr>
                <w:rFonts w:ascii="Times New Roman" w:hAnsi="Times New Roman" w:eastAsia="宋体"/>
                <w:caps w:val="0"/>
                <w:color w:val="auto"/>
                <w:sz w:val="24"/>
              </w:rPr>
            </w:pPr>
            <w:r>
              <w:rPr>
                <w:rFonts w:hint="eastAsia" w:ascii="Times New Roman" w:hAnsi="Times New Roman" w:eastAsia="宋体"/>
                <w:caps w:val="0"/>
                <w:color w:val="auto"/>
                <w:sz w:val="24"/>
                <w:lang w:eastAsia="zh-CN"/>
              </w:rPr>
              <w:t>南通浩正机械设备有限公司</w:t>
            </w:r>
            <w:r>
              <w:rPr>
                <w:rFonts w:ascii="Times New Roman" w:hAnsi="Times New Roman" w:eastAsia="宋体"/>
                <w:caps w:val="0"/>
                <w:color w:val="auto"/>
                <w:sz w:val="24"/>
              </w:rPr>
              <w:t>位于</w:t>
            </w:r>
            <w:r>
              <w:rPr>
                <w:rFonts w:hint="eastAsia" w:ascii="Times New Roman" w:hAnsi="Times New Roman" w:eastAsia="宋体"/>
                <w:caps w:val="0"/>
                <w:color w:val="auto"/>
                <w:sz w:val="24"/>
                <w:lang w:eastAsia="zh-CN"/>
              </w:rPr>
              <w:t>如皋市下原镇兴原路58-7号</w:t>
            </w:r>
            <w:r>
              <w:rPr>
                <w:rFonts w:ascii="Times New Roman" w:hAnsi="Times New Roman" w:eastAsia="宋体"/>
                <w:caps w:val="0"/>
                <w:color w:val="auto"/>
                <w:sz w:val="24"/>
              </w:rPr>
              <w:t>，经营范围包括从事通用设备制造（不含特种设备制造）；港口设施设备和机械租赁维修业务；海洋工程装备制造；船用配套设备制造；机械电气设备制造</w:t>
            </w:r>
            <w:r>
              <w:rPr>
                <w:rFonts w:hint="eastAsia" w:ascii="Times New Roman" w:hAnsi="Times New Roman" w:eastAsia="宋体"/>
                <w:caps w:val="0"/>
                <w:color w:val="auto"/>
                <w:sz w:val="24"/>
                <w:lang w:val="en-US" w:eastAsia="zh-CN"/>
              </w:rPr>
              <w:t>等</w:t>
            </w:r>
            <w:r>
              <w:rPr>
                <w:rFonts w:ascii="Times New Roman" w:hAnsi="Times New Roman" w:eastAsia="宋体"/>
                <w:caps w:val="0"/>
                <w:color w:val="auto"/>
                <w:sz w:val="24"/>
              </w:rPr>
              <w:t>。</w:t>
            </w:r>
          </w:p>
          <w:p>
            <w:pPr>
              <w:adjustRightInd w:val="0"/>
              <w:snapToGrid w:val="0"/>
              <w:spacing w:line="360" w:lineRule="auto"/>
              <w:ind w:firstLine="480" w:firstLineChars="200"/>
              <w:rPr>
                <w:rFonts w:ascii="Times New Roman" w:hAnsi="Times New Roman" w:eastAsia="宋体"/>
                <w:caps w:val="0"/>
                <w:color w:val="auto"/>
                <w:sz w:val="24"/>
              </w:rPr>
            </w:pPr>
            <w:r>
              <w:rPr>
                <w:rFonts w:hint="eastAsia" w:ascii="Times New Roman" w:hAnsi="Times New Roman" w:eastAsia="宋体"/>
                <w:caps w:val="0"/>
                <w:color w:val="auto"/>
                <w:sz w:val="24"/>
              </w:rPr>
              <w:t>20</w:t>
            </w:r>
            <w:r>
              <w:rPr>
                <w:rFonts w:hint="eastAsia" w:ascii="Times New Roman" w:hAnsi="Times New Roman" w:eastAsia="宋体"/>
                <w:caps w:val="0"/>
                <w:color w:val="auto"/>
                <w:sz w:val="24"/>
                <w:lang w:val="en-US" w:eastAsia="zh-CN"/>
              </w:rPr>
              <w:t>20</w:t>
            </w:r>
            <w:r>
              <w:rPr>
                <w:rFonts w:hint="eastAsia" w:ascii="Times New Roman" w:hAnsi="Times New Roman" w:eastAsia="宋体"/>
                <w:caps w:val="0"/>
                <w:color w:val="auto"/>
                <w:sz w:val="24"/>
              </w:rPr>
              <w:t>年</w:t>
            </w:r>
            <w:r>
              <w:rPr>
                <w:rFonts w:hint="eastAsia" w:ascii="Times New Roman" w:hAnsi="Times New Roman" w:eastAsia="宋体"/>
                <w:caps w:val="0"/>
                <w:color w:val="auto"/>
                <w:sz w:val="24"/>
                <w:lang w:val="en-US" w:eastAsia="zh-CN"/>
              </w:rPr>
              <w:t>8</w:t>
            </w:r>
            <w:r>
              <w:rPr>
                <w:rFonts w:hint="eastAsia" w:ascii="Times New Roman" w:hAnsi="Times New Roman" w:eastAsia="宋体"/>
                <w:caps w:val="0"/>
                <w:color w:val="auto"/>
                <w:sz w:val="24"/>
              </w:rPr>
              <w:t>月</w:t>
            </w:r>
            <w:r>
              <w:rPr>
                <w:rFonts w:hint="eastAsia" w:ascii="Times New Roman" w:hAnsi="Times New Roman" w:eastAsia="宋体"/>
                <w:caps w:val="0"/>
                <w:color w:val="auto"/>
                <w:sz w:val="24"/>
                <w:lang w:eastAsia="zh-CN"/>
              </w:rPr>
              <w:t>南通浩正机械设备有限公司</w:t>
            </w:r>
            <w:r>
              <w:rPr>
                <w:rFonts w:hint="eastAsia" w:ascii="Times New Roman" w:hAnsi="Times New Roman" w:eastAsia="宋体"/>
                <w:caps w:val="0"/>
                <w:color w:val="auto"/>
                <w:sz w:val="24"/>
              </w:rPr>
              <w:t>委托</w:t>
            </w:r>
            <w:r>
              <w:rPr>
                <w:rFonts w:hint="eastAsia" w:ascii="Times New Roman" w:hAnsi="Times New Roman" w:eastAsia="宋体"/>
                <w:caps w:val="0"/>
                <w:color w:val="auto"/>
                <w:sz w:val="24"/>
                <w:lang w:eastAsia="zh-CN"/>
              </w:rPr>
              <w:t>贵州鼎科环保科技有限公司</w:t>
            </w:r>
            <w:r>
              <w:rPr>
                <w:rFonts w:hint="eastAsia" w:ascii="Times New Roman" w:hAnsi="Times New Roman" w:eastAsia="宋体"/>
                <w:caps w:val="0"/>
                <w:color w:val="auto"/>
                <w:sz w:val="24"/>
              </w:rPr>
              <w:t>编制《</w:t>
            </w:r>
            <w:r>
              <w:rPr>
                <w:rFonts w:hint="eastAsia" w:ascii="Times New Roman" w:hAnsi="Times New Roman" w:eastAsia="宋体"/>
                <w:caps w:val="0"/>
                <w:color w:val="auto"/>
                <w:sz w:val="24"/>
                <w:lang w:eastAsia="zh-CN"/>
              </w:rPr>
              <w:t>新建1200吨港口自动化机械配套件项目</w:t>
            </w:r>
            <w:r>
              <w:rPr>
                <w:rFonts w:hint="eastAsia" w:ascii="Times New Roman" w:hAnsi="Times New Roman" w:eastAsia="宋体"/>
                <w:caps w:val="0"/>
                <w:color w:val="auto"/>
                <w:sz w:val="24"/>
              </w:rPr>
              <w:t>》环境影响报告表，项目于20</w:t>
            </w:r>
            <w:r>
              <w:rPr>
                <w:rFonts w:hint="eastAsia" w:ascii="Times New Roman" w:hAnsi="Times New Roman" w:eastAsia="宋体"/>
                <w:caps w:val="0"/>
                <w:color w:val="auto"/>
                <w:sz w:val="24"/>
                <w:lang w:val="en-US" w:eastAsia="zh-CN"/>
              </w:rPr>
              <w:t>20</w:t>
            </w:r>
            <w:r>
              <w:rPr>
                <w:rFonts w:hint="eastAsia" w:ascii="Times New Roman" w:hAnsi="Times New Roman" w:eastAsia="宋体"/>
                <w:caps w:val="0"/>
                <w:color w:val="auto"/>
                <w:sz w:val="24"/>
              </w:rPr>
              <w:t>年</w:t>
            </w:r>
            <w:r>
              <w:rPr>
                <w:rFonts w:hint="eastAsia" w:ascii="Times New Roman" w:hAnsi="Times New Roman" w:eastAsia="宋体"/>
                <w:caps w:val="0"/>
                <w:color w:val="auto"/>
                <w:sz w:val="24"/>
                <w:lang w:val="en-US" w:eastAsia="zh-CN"/>
              </w:rPr>
              <w:t>9</w:t>
            </w:r>
            <w:r>
              <w:rPr>
                <w:rFonts w:hint="eastAsia" w:ascii="Times New Roman" w:hAnsi="Times New Roman" w:eastAsia="宋体"/>
                <w:caps w:val="0"/>
                <w:color w:val="auto"/>
                <w:sz w:val="24"/>
              </w:rPr>
              <w:t>月</w:t>
            </w:r>
            <w:r>
              <w:rPr>
                <w:rFonts w:hint="eastAsia" w:ascii="Times New Roman" w:hAnsi="Times New Roman" w:eastAsia="宋体"/>
                <w:caps w:val="0"/>
                <w:color w:val="auto"/>
                <w:sz w:val="24"/>
                <w:lang w:val="en-US" w:eastAsia="zh-CN"/>
              </w:rPr>
              <w:t>8</w:t>
            </w:r>
            <w:r>
              <w:rPr>
                <w:rFonts w:hint="eastAsia" w:ascii="Times New Roman" w:hAnsi="Times New Roman" w:eastAsia="宋体"/>
                <w:caps w:val="0"/>
                <w:color w:val="auto"/>
                <w:sz w:val="24"/>
              </w:rPr>
              <w:t>日取得</w:t>
            </w:r>
            <w:r>
              <w:rPr>
                <w:rFonts w:hint="eastAsia" w:ascii="Times New Roman" w:hAnsi="Times New Roman" w:eastAsia="宋体"/>
                <w:caps w:val="0"/>
                <w:color w:val="auto"/>
                <w:sz w:val="24"/>
                <w:lang w:eastAsia="zh-CN"/>
              </w:rPr>
              <w:t>如皋市行政审批局</w:t>
            </w:r>
            <w:r>
              <w:rPr>
                <w:rFonts w:ascii="Times New Roman" w:hAnsi="Times New Roman" w:eastAsia="宋体"/>
                <w:caps w:val="0"/>
                <w:color w:val="auto"/>
                <w:sz w:val="24"/>
              </w:rPr>
              <w:t>批复（</w:t>
            </w:r>
            <w:r>
              <w:rPr>
                <w:rFonts w:hint="eastAsia" w:ascii="Times New Roman" w:hAnsi="Times New Roman" w:eastAsia="宋体"/>
                <w:caps w:val="0"/>
                <w:color w:val="auto"/>
                <w:sz w:val="24"/>
                <w:lang w:eastAsia="zh-CN"/>
              </w:rPr>
              <w:t>皋行审环表复</w:t>
            </w:r>
            <w:r>
              <w:rPr>
                <w:rFonts w:hint="eastAsia" w:ascii="Times New Roman" w:hAnsi="Times New Roman" w:eastAsia="宋体"/>
                <w:caps w:val="0"/>
                <w:color w:val="auto"/>
                <w:sz w:val="24"/>
              </w:rPr>
              <w:t>〔</w:t>
            </w:r>
            <w:r>
              <w:rPr>
                <w:rFonts w:ascii="Times New Roman" w:hAnsi="Times New Roman" w:eastAsia="宋体"/>
                <w:caps w:val="0"/>
                <w:color w:val="auto"/>
                <w:sz w:val="24"/>
              </w:rPr>
              <w:t>20</w:t>
            </w:r>
            <w:r>
              <w:rPr>
                <w:rFonts w:hint="eastAsia" w:ascii="Times New Roman" w:hAnsi="Times New Roman" w:eastAsia="宋体"/>
                <w:caps w:val="0"/>
                <w:color w:val="auto"/>
                <w:sz w:val="24"/>
                <w:lang w:val="en-US" w:eastAsia="zh-CN"/>
              </w:rPr>
              <w:t>20</w:t>
            </w:r>
            <w:r>
              <w:rPr>
                <w:rFonts w:hint="eastAsia" w:ascii="Times New Roman" w:hAnsi="Times New Roman" w:eastAsia="宋体"/>
                <w:caps w:val="0"/>
                <w:color w:val="auto"/>
                <w:sz w:val="24"/>
              </w:rPr>
              <w:t>〕</w:t>
            </w:r>
            <w:r>
              <w:rPr>
                <w:rFonts w:hint="eastAsia" w:ascii="Times New Roman" w:hAnsi="Times New Roman" w:eastAsia="宋体"/>
                <w:caps w:val="0"/>
                <w:color w:val="auto"/>
                <w:sz w:val="24"/>
                <w:lang w:val="en-US" w:eastAsia="zh-CN"/>
              </w:rPr>
              <w:t>193</w:t>
            </w:r>
            <w:r>
              <w:rPr>
                <w:rFonts w:ascii="Times New Roman" w:hAnsi="Times New Roman" w:eastAsia="宋体"/>
                <w:caps w:val="0"/>
                <w:color w:val="auto"/>
                <w:sz w:val="24"/>
              </w:rPr>
              <w:t>号）</w:t>
            </w:r>
            <w:r>
              <w:rPr>
                <w:rFonts w:hint="eastAsia" w:ascii="Times New Roman" w:hAnsi="Times New Roman" w:eastAsia="宋体"/>
                <w:caps w:val="0"/>
                <w:color w:val="auto"/>
                <w:sz w:val="24"/>
              </w:rPr>
              <w:t>，项目于20</w:t>
            </w:r>
            <w:r>
              <w:rPr>
                <w:rFonts w:hint="eastAsia" w:ascii="Times New Roman" w:hAnsi="Times New Roman" w:eastAsia="宋体"/>
                <w:caps w:val="0"/>
                <w:color w:val="auto"/>
                <w:sz w:val="24"/>
                <w:lang w:val="en-US" w:eastAsia="zh-CN"/>
              </w:rPr>
              <w:t>21</w:t>
            </w:r>
            <w:r>
              <w:rPr>
                <w:rFonts w:hint="eastAsia" w:ascii="Times New Roman" w:hAnsi="Times New Roman" w:eastAsia="宋体"/>
                <w:caps w:val="0"/>
                <w:color w:val="auto"/>
                <w:sz w:val="24"/>
              </w:rPr>
              <w:t>年</w:t>
            </w:r>
            <w:r>
              <w:rPr>
                <w:rFonts w:hint="eastAsia" w:ascii="Times New Roman" w:hAnsi="Times New Roman" w:eastAsia="宋体"/>
                <w:caps w:val="0"/>
                <w:color w:val="auto"/>
                <w:sz w:val="24"/>
                <w:lang w:val="en-US" w:eastAsia="zh-CN"/>
              </w:rPr>
              <w:t>12</w:t>
            </w:r>
            <w:r>
              <w:rPr>
                <w:rFonts w:hint="eastAsia" w:ascii="Times New Roman" w:hAnsi="Times New Roman" w:eastAsia="宋体"/>
                <w:caps w:val="0"/>
                <w:color w:val="auto"/>
                <w:sz w:val="24"/>
              </w:rPr>
              <w:t>月</w:t>
            </w:r>
            <w:r>
              <w:rPr>
                <w:rFonts w:hint="eastAsia" w:ascii="Times New Roman" w:hAnsi="Times New Roman" w:eastAsia="宋体"/>
                <w:caps w:val="0"/>
                <w:color w:val="auto"/>
                <w:sz w:val="24"/>
                <w:lang w:val="en-US" w:eastAsia="zh-CN"/>
              </w:rPr>
              <w:t>完成</w:t>
            </w:r>
            <w:r>
              <w:rPr>
                <w:rFonts w:hint="eastAsia" w:ascii="Times New Roman" w:hAnsi="Times New Roman" w:eastAsia="宋体"/>
                <w:caps w:val="0"/>
                <w:color w:val="auto"/>
                <w:sz w:val="24"/>
              </w:rPr>
              <w:t>竣工环境保护自主验收。</w:t>
            </w:r>
          </w:p>
          <w:p>
            <w:pPr>
              <w:adjustRightInd w:val="0"/>
              <w:snapToGrid w:val="0"/>
              <w:spacing w:line="360" w:lineRule="auto"/>
              <w:ind w:firstLine="480" w:firstLineChars="200"/>
              <w:rPr>
                <w:rFonts w:ascii="Times New Roman" w:hAnsi="Times New Roman" w:eastAsia="宋体"/>
                <w:caps w:val="0"/>
                <w:color w:val="auto"/>
                <w:sz w:val="24"/>
              </w:rPr>
            </w:pPr>
            <w:r>
              <w:rPr>
                <w:rFonts w:hint="eastAsia" w:ascii="Times New Roman" w:hAnsi="Times New Roman" w:eastAsia="宋体"/>
                <w:caps w:val="0"/>
                <w:color w:val="auto"/>
                <w:sz w:val="24"/>
              </w:rPr>
              <w:t>结合现阶段产业发展前景，</w:t>
            </w:r>
            <w:r>
              <w:rPr>
                <w:rFonts w:hint="eastAsia" w:ascii="Times New Roman" w:hAnsi="Times New Roman" w:eastAsia="宋体"/>
                <w:caps w:val="0"/>
                <w:color w:val="auto"/>
                <w:sz w:val="24"/>
                <w:lang w:eastAsia="zh-CN"/>
              </w:rPr>
              <w:t>南通浩正机械设备有限公司</w:t>
            </w:r>
            <w:r>
              <w:rPr>
                <w:rFonts w:hint="eastAsia" w:ascii="Times New Roman" w:hAnsi="Times New Roman" w:eastAsia="宋体"/>
                <w:caps w:val="0"/>
                <w:color w:val="auto"/>
                <w:sz w:val="24"/>
              </w:rPr>
              <w:t>拟完善自身产业链，</w:t>
            </w:r>
            <w:r>
              <w:rPr>
                <w:rFonts w:hint="eastAsia" w:ascii="Times New Roman" w:hAnsi="Times New Roman" w:eastAsia="宋体"/>
                <w:caps w:val="0"/>
                <w:color w:val="auto"/>
                <w:sz w:val="24"/>
                <w:lang w:val="en-US" w:eastAsia="zh-CN"/>
              </w:rPr>
              <w:t>且客户要求产品能防锈、耐腐蚀，企业为降低成本，不委外加工，因此利用现有厂房，增加喷漆房进行喷涂加工。</w:t>
            </w:r>
            <w:r>
              <w:rPr>
                <w:rFonts w:hint="eastAsia" w:ascii="Times New Roman" w:hAnsi="Times New Roman" w:eastAsia="宋体"/>
                <w:caps w:val="0"/>
                <w:color w:val="auto"/>
                <w:sz w:val="24"/>
              </w:rPr>
              <w:t>项目实施过程中不使用国家限制、淘汰类工艺设备，不生产国家限制、淘汰类产品，同步落实节能、环保、安全、消防、职业病危害防治措施，并办理相关手续，达到国家相关标准。项目建成后保持年产1200吨港口自动化机械配套件的量不变</w:t>
            </w:r>
            <w:r>
              <w:rPr>
                <w:rFonts w:ascii="Times New Roman" w:hAnsi="Times New Roman" w:eastAsia="宋体"/>
                <w:caps w:val="0"/>
                <w:color w:val="auto"/>
                <w:sz w:val="24"/>
              </w:rPr>
              <w:t>。</w:t>
            </w:r>
          </w:p>
          <w:p>
            <w:pPr>
              <w:adjustRightInd w:val="0"/>
              <w:snapToGrid w:val="0"/>
              <w:spacing w:line="360" w:lineRule="auto"/>
              <w:ind w:firstLine="480" w:firstLineChars="200"/>
              <w:rPr>
                <w:rFonts w:ascii="Times New Roman" w:hAnsi="Times New Roman" w:eastAsia="宋体"/>
                <w:caps w:val="0"/>
                <w:color w:val="auto"/>
                <w:sz w:val="24"/>
              </w:rPr>
            </w:pPr>
            <w:r>
              <w:rPr>
                <w:rFonts w:ascii="Times New Roman" w:hAnsi="Times New Roman" w:eastAsia="宋体"/>
                <w:caps w:val="0"/>
                <w:color w:val="auto"/>
                <w:sz w:val="24"/>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w:t>
            </w:r>
            <w:r>
              <w:rPr>
                <w:rFonts w:hint="eastAsia" w:ascii="Times New Roman" w:hAnsi="Times New Roman" w:eastAsia="宋体"/>
                <w:caps w:val="0"/>
                <w:color w:val="auto"/>
                <w:sz w:val="24"/>
              </w:rPr>
              <w:t>《国民经济行业分类》，本项目属于C</w:t>
            </w:r>
            <w:r>
              <w:rPr>
                <w:rFonts w:hint="eastAsia" w:ascii="Times New Roman" w:hAnsi="Times New Roman" w:eastAsia="宋体"/>
                <w:caps w:val="0"/>
                <w:color w:val="auto"/>
                <w:sz w:val="24"/>
                <w:lang w:eastAsia="zh-CN"/>
              </w:rPr>
              <w:t>3484</w:t>
            </w:r>
            <w:r>
              <w:rPr>
                <w:rFonts w:hint="eastAsia" w:ascii="Times New Roman" w:hAnsi="Times New Roman" w:eastAsia="宋体"/>
                <w:caps w:val="0"/>
                <w:color w:val="auto"/>
                <w:sz w:val="24"/>
              </w:rPr>
              <w:t xml:space="preserve"> </w:t>
            </w:r>
            <w:r>
              <w:rPr>
                <w:rFonts w:hint="eastAsia" w:ascii="Times New Roman" w:hAnsi="Times New Roman" w:eastAsia="宋体"/>
                <w:caps w:val="0"/>
                <w:color w:val="auto"/>
                <w:sz w:val="24"/>
                <w:lang w:eastAsia="zh-CN"/>
              </w:rPr>
              <w:t>机械零部件加工</w:t>
            </w:r>
            <w:r>
              <w:rPr>
                <w:rFonts w:hint="eastAsia" w:ascii="Times New Roman" w:hAnsi="Times New Roman" w:eastAsia="宋体"/>
                <w:caps w:val="0"/>
                <w:color w:val="auto"/>
                <w:sz w:val="24"/>
              </w:rPr>
              <w:t>，对照</w:t>
            </w:r>
            <w:r>
              <w:rPr>
                <w:rFonts w:ascii="Times New Roman" w:hAnsi="Times New Roman" w:eastAsia="宋体"/>
                <w:caps w:val="0"/>
                <w:color w:val="auto"/>
                <w:sz w:val="24"/>
              </w:rPr>
              <w:t>《建设项目环境影响评价分类管理名录》（2021年版），本项目</w:t>
            </w:r>
            <w:r>
              <w:rPr>
                <w:rFonts w:hint="eastAsia" w:ascii="Times New Roman" w:hAnsi="Times New Roman" w:eastAsia="宋体"/>
                <w:caps w:val="0"/>
                <w:color w:val="auto"/>
                <w:sz w:val="24"/>
                <w:lang w:val="en-US" w:eastAsia="zh-CN"/>
              </w:rPr>
              <w:t>使用高固份油性漆，油漆用量为5.65t/a</w:t>
            </w:r>
            <w:r>
              <w:rPr>
                <w:rFonts w:hint="eastAsia"/>
                <w:caps w:val="0"/>
                <w:color w:val="auto"/>
                <w:sz w:val="24"/>
                <w:lang w:val="en-US" w:eastAsia="zh-CN"/>
              </w:rPr>
              <w:t>＜10t/a</w:t>
            </w:r>
            <w:r>
              <w:rPr>
                <w:rFonts w:hint="eastAsia" w:ascii="Times New Roman" w:hAnsi="Times New Roman" w:eastAsia="宋体"/>
                <w:caps w:val="0"/>
                <w:color w:val="auto"/>
                <w:sz w:val="24"/>
                <w:lang w:eastAsia="zh-CN"/>
              </w:rPr>
              <w:t>，</w:t>
            </w:r>
            <w:r>
              <w:rPr>
                <w:rFonts w:ascii="Times New Roman" w:hAnsi="Times New Roman" w:eastAsia="宋体"/>
                <w:caps w:val="0"/>
                <w:color w:val="auto"/>
                <w:sz w:val="24"/>
              </w:rPr>
              <w:t>属于</w:t>
            </w:r>
            <w:r>
              <w:rPr>
                <w:rFonts w:hint="eastAsia" w:ascii="Times New Roman" w:hAnsi="Times New Roman" w:eastAsia="宋体"/>
                <w:caps w:val="0"/>
                <w:color w:val="auto"/>
                <w:sz w:val="24"/>
                <w:u w:val="single"/>
              </w:rPr>
              <w:t>“三十一、通用设备制造业 34；</w:t>
            </w:r>
            <w:r>
              <w:rPr>
                <w:rFonts w:hint="eastAsia" w:ascii="Times New Roman" w:hAnsi="Times New Roman" w:eastAsia="宋体"/>
                <w:caps w:val="0"/>
                <w:color w:val="auto"/>
                <w:sz w:val="24"/>
                <w:u w:val="single"/>
                <w:lang w:val="en-US" w:eastAsia="zh-CN"/>
              </w:rPr>
              <w:t>69通用零部件制造 348其他（仅分割、焊接、组装的除外；年用非溶剂型低VOCs含量涂料10吨以下的除外）</w:t>
            </w:r>
            <w:r>
              <w:rPr>
                <w:rFonts w:hint="eastAsia" w:ascii="Times New Roman" w:hAnsi="Times New Roman" w:eastAsia="宋体"/>
                <w:caps w:val="0"/>
                <w:color w:val="auto"/>
                <w:sz w:val="24"/>
                <w:u w:val="single"/>
              </w:rPr>
              <w:t>”</w:t>
            </w:r>
            <w:r>
              <w:rPr>
                <w:rFonts w:ascii="Times New Roman" w:hAnsi="Times New Roman" w:eastAsia="宋体"/>
                <w:caps w:val="0"/>
                <w:color w:val="auto"/>
                <w:sz w:val="24"/>
              </w:rPr>
              <w:t>类项目，故本项目应该编制环境影响报告表。</w:t>
            </w:r>
          </w:p>
          <w:p>
            <w:pPr>
              <w:adjustRightInd w:val="0"/>
              <w:snapToGrid w:val="0"/>
              <w:spacing w:line="360" w:lineRule="auto"/>
              <w:ind w:firstLine="480" w:firstLineChars="200"/>
              <w:rPr>
                <w:rFonts w:ascii="Times New Roman" w:hAnsi="Times New Roman" w:eastAsia="宋体"/>
                <w:bCs/>
                <w:caps w:val="0"/>
                <w:color w:val="auto"/>
                <w:sz w:val="24"/>
              </w:rPr>
            </w:pPr>
            <w:r>
              <w:rPr>
                <w:rFonts w:hint="eastAsia" w:ascii="Times New Roman" w:hAnsi="Times New Roman" w:eastAsia="宋体"/>
                <w:caps w:val="0"/>
                <w:color w:val="auto"/>
                <w:sz w:val="24"/>
                <w:lang w:eastAsia="zh-CN"/>
              </w:rPr>
              <w:t>南通浩正机械设备有限公司</w:t>
            </w:r>
            <w:r>
              <w:rPr>
                <w:rFonts w:ascii="Times New Roman" w:hAnsi="Times New Roman" w:eastAsia="宋体"/>
                <w:caps w:val="0"/>
                <w:color w:val="auto"/>
                <w:kern w:val="0"/>
                <w:sz w:val="24"/>
              </w:rPr>
              <w:t>委托我公司开展该项目环境影响评价工作。我公司接受委托后，环评工作组进行了实地踏勘和资料收集，在工程分析的基础上，编制了本环境影响报告表。</w:t>
            </w:r>
          </w:p>
          <w:p>
            <w:pPr>
              <w:adjustRightInd w:val="0"/>
              <w:snapToGrid w:val="0"/>
              <w:spacing w:line="360" w:lineRule="auto"/>
              <w:ind w:firstLine="482" w:firstLineChars="200"/>
              <w:rPr>
                <w:rFonts w:ascii="Times New Roman" w:hAnsi="Times New Roman" w:eastAsia="宋体"/>
                <w:b/>
                <w:caps w:val="0"/>
                <w:color w:val="auto"/>
                <w:kern w:val="0"/>
                <w:sz w:val="24"/>
              </w:rPr>
            </w:pPr>
            <w:r>
              <w:rPr>
                <w:rFonts w:hint="eastAsia" w:ascii="Times New Roman" w:hAnsi="Times New Roman" w:eastAsia="宋体"/>
                <w:b/>
                <w:caps w:val="0"/>
                <w:color w:val="auto"/>
                <w:kern w:val="0"/>
                <w:sz w:val="24"/>
              </w:rPr>
              <w:t xml:space="preserve">2、项目组成 </w:t>
            </w:r>
          </w:p>
          <w:p>
            <w:pPr>
              <w:adjustRightInd w:val="0"/>
              <w:snapToGrid w:val="0"/>
              <w:spacing w:line="360" w:lineRule="auto"/>
              <w:ind w:firstLine="482" w:firstLineChars="200"/>
              <w:rPr>
                <w:rFonts w:ascii="Times New Roman" w:hAnsi="Times New Roman" w:eastAsia="宋体"/>
                <w:caps w:val="0"/>
                <w:color w:val="auto"/>
                <w:sz w:val="24"/>
              </w:rPr>
            </w:pPr>
            <w:r>
              <w:rPr>
                <w:rFonts w:hint="eastAsia" w:ascii="Times New Roman" w:hAnsi="Times New Roman" w:eastAsia="宋体"/>
                <w:b/>
                <w:caps w:val="0"/>
                <w:color w:val="auto"/>
                <w:kern w:val="0"/>
                <w:sz w:val="24"/>
              </w:rPr>
              <w:t>（</w:t>
            </w:r>
            <w:r>
              <w:rPr>
                <w:rFonts w:hint="eastAsia" w:ascii="Times New Roman" w:hAnsi="Times New Roman" w:eastAsia="宋体"/>
                <w:b/>
                <w:caps w:val="0"/>
                <w:color w:val="auto"/>
                <w:kern w:val="0"/>
                <w:sz w:val="24"/>
                <w:lang w:val="en-US" w:eastAsia="zh-CN"/>
              </w:rPr>
              <w:t>1</w:t>
            </w:r>
            <w:r>
              <w:rPr>
                <w:rFonts w:hint="eastAsia" w:ascii="Times New Roman" w:hAnsi="Times New Roman" w:eastAsia="宋体"/>
                <w:b/>
                <w:caps w:val="0"/>
                <w:color w:val="auto"/>
                <w:kern w:val="0"/>
                <w:sz w:val="24"/>
              </w:rPr>
              <w:t>）</w:t>
            </w:r>
            <w:r>
              <w:rPr>
                <w:rFonts w:ascii="Times New Roman" w:hAnsi="Times New Roman" w:eastAsia="宋体"/>
                <w:b/>
                <w:caps w:val="0"/>
                <w:color w:val="auto"/>
                <w:kern w:val="0"/>
                <w:sz w:val="24"/>
              </w:rPr>
              <w:t>公用及辅助工程</w:t>
            </w:r>
          </w:p>
          <w:p>
            <w:pPr>
              <w:adjustRightInd w:val="0"/>
              <w:snapToGrid w:val="0"/>
              <w:spacing w:line="360" w:lineRule="auto"/>
              <w:ind w:firstLine="480" w:firstLineChars="200"/>
              <w:rPr>
                <w:rFonts w:ascii="Times New Roman" w:hAnsi="Times New Roman" w:eastAsia="宋体"/>
                <w:b/>
                <w:caps w:val="0"/>
                <w:color w:val="auto"/>
                <w:sz w:val="24"/>
              </w:rPr>
            </w:pPr>
            <w:r>
              <w:rPr>
                <w:rFonts w:ascii="Times New Roman" w:hAnsi="Times New Roman" w:eastAsia="宋体"/>
                <w:caps w:val="0"/>
                <w:color w:val="auto"/>
                <w:sz w:val="24"/>
              </w:rPr>
              <w:t>建设项目公用辅助工程见表</w:t>
            </w:r>
            <w:r>
              <w:rPr>
                <w:rFonts w:hint="eastAsia" w:ascii="Times New Roman" w:hAnsi="Times New Roman" w:eastAsia="宋体"/>
                <w:caps w:val="0"/>
                <w:color w:val="auto"/>
                <w:sz w:val="24"/>
              </w:rPr>
              <w:t>2</w:t>
            </w:r>
            <w:r>
              <w:rPr>
                <w:rFonts w:ascii="Times New Roman" w:hAnsi="Times New Roman" w:eastAsia="宋体"/>
                <w:caps w:val="0"/>
                <w:color w:val="auto"/>
                <w:sz w:val="24"/>
              </w:rPr>
              <w:t>-</w:t>
            </w:r>
            <w:r>
              <w:rPr>
                <w:rFonts w:hint="eastAsia" w:ascii="Times New Roman" w:hAnsi="Times New Roman" w:eastAsia="宋体"/>
                <w:caps w:val="0"/>
                <w:color w:val="auto"/>
                <w:sz w:val="24"/>
                <w:lang w:val="en-US" w:eastAsia="zh-CN"/>
              </w:rPr>
              <w:t>1</w:t>
            </w:r>
            <w:r>
              <w:rPr>
                <w:rFonts w:ascii="Times New Roman" w:hAnsi="Times New Roman" w:eastAsia="宋体"/>
                <w:caps w:val="0"/>
                <w:color w:val="auto"/>
                <w:sz w:val="24"/>
              </w:rPr>
              <w:t>。</w:t>
            </w:r>
          </w:p>
          <w:p>
            <w:pPr>
              <w:jc w:val="center"/>
              <w:rPr>
                <w:rFonts w:ascii="Times New Roman" w:hAnsi="Times New Roman" w:eastAsia="宋体"/>
                <w:b/>
                <w:caps w:val="0"/>
                <w:color w:val="auto"/>
                <w:szCs w:val="21"/>
              </w:rPr>
            </w:pPr>
            <w:r>
              <w:rPr>
                <w:rFonts w:hint="eastAsia" w:ascii="Times New Roman" w:hAnsi="Times New Roman" w:eastAsia="宋体"/>
                <w:b/>
                <w:caps w:val="0"/>
                <w:color w:val="auto"/>
                <w:szCs w:val="21"/>
              </w:rPr>
              <w:t>表2-</w:t>
            </w:r>
            <w:r>
              <w:rPr>
                <w:rFonts w:hint="eastAsia" w:ascii="Times New Roman" w:hAnsi="Times New Roman" w:eastAsia="宋体"/>
                <w:b/>
                <w:caps w:val="0"/>
                <w:color w:val="auto"/>
                <w:szCs w:val="21"/>
                <w:lang w:val="en-US" w:eastAsia="zh-CN"/>
              </w:rPr>
              <w:t>1</w:t>
            </w:r>
            <w:r>
              <w:rPr>
                <w:rFonts w:hint="eastAsia" w:ascii="Times New Roman" w:hAnsi="Times New Roman" w:eastAsia="宋体"/>
                <w:b/>
                <w:caps w:val="0"/>
                <w:color w:val="auto"/>
                <w:szCs w:val="21"/>
              </w:rPr>
              <w:t xml:space="preserve"> 建设项目公用及辅助工程一览表</w:t>
            </w:r>
          </w:p>
          <w:tbl>
            <w:tblPr>
              <w:tblStyle w:val="21"/>
              <w:tblW w:w="499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Layout w:type="autofit"/>
              <w:tblCellMar>
                <w:top w:w="0" w:type="dxa"/>
                <w:left w:w="108" w:type="dxa"/>
                <w:bottom w:w="0" w:type="dxa"/>
                <w:right w:w="108" w:type="dxa"/>
              </w:tblCellMar>
            </w:tblPr>
            <w:tblGrid>
              <w:gridCol w:w="612"/>
              <w:gridCol w:w="561"/>
              <w:gridCol w:w="1016"/>
              <w:gridCol w:w="1499"/>
              <w:gridCol w:w="1808"/>
              <w:gridCol w:w="1540"/>
              <w:gridCol w:w="127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56" w:hRule="atLeast"/>
                <w:jc w:val="center"/>
              </w:trPr>
              <w:tc>
                <w:tcPr>
                  <w:tcW w:w="368" w:type="pct"/>
                  <w:vMerge w:val="restart"/>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工程类别</w:t>
                  </w:r>
                </w:p>
              </w:tc>
              <w:tc>
                <w:tcPr>
                  <w:tcW w:w="948" w:type="pct"/>
                  <w:gridSpan w:val="2"/>
                  <w:vMerge w:val="restart"/>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工程名称</w:t>
                  </w:r>
                </w:p>
              </w:tc>
              <w:tc>
                <w:tcPr>
                  <w:tcW w:w="2914" w:type="pct"/>
                  <w:gridSpan w:val="3"/>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设计能力</w:t>
                  </w:r>
                </w:p>
              </w:tc>
              <w:tc>
                <w:tcPr>
                  <w:tcW w:w="768" w:type="pct"/>
                  <w:vMerge w:val="restart"/>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56"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p>
              </w:tc>
              <w:tc>
                <w:tcPr>
                  <w:tcW w:w="948" w:type="pct"/>
                  <w:gridSpan w:val="2"/>
                  <w:vMerge w:val="continue"/>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p>
              </w:tc>
              <w:tc>
                <w:tcPr>
                  <w:tcW w:w="901" w:type="pct"/>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现有项目</w:t>
                  </w:r>
                </w:p>
              </w:tc>
              <w:tc>
                <w:tcPr>
                  <w:tcW w:w="1087" w:type="pct"/>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ascii="Times New Roman" w:hAnsi="Times New Roman" w:eastAsia="宋体"/>
                      <w:b/>
                      <w:bCs/>
                      <w:caps w:val="0"/>
                      <w:color w:val="auto"/>
                      <w:szCs w:val="21"/>
                    </w:rPr>
                    <w:t>项目</w:t>
                  </w:r>
                </w:p>
              </w:tc>
              <w:tc>
                <w:tcPr>
                  <w:tcW w:w="926" w:type="pct"/>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hint="eastAsia" w:ascii="Times New Roman" w:hAnsi="Times New Roman" w:eastAsia="宋体"/>
                      <w:b/>
                      <w:bCs/>
                      <w:caps w:val="0"/>
                      <w:color w:val="auto"/>
                      <w:szCs w:val="21"/>
                    </w:rPr>
                    <w:t xml:space="preserve">后全厂 </w:t>
                  </w:r>
                </w:p>
              </w:tc>
              <w:tc>
                <w:tcPr>
                  <w:tcW w:w="768" w:type="pct"/>
                  <w:vMerge w:val="continue"/>
                  <w:tcBorders>
                    <w:tl2br w:val="nil"/>
                    <w:tr2bl w:val="nil"/>
                  </w:tcBorders>
                  <w:vAlign w:val="center"/>
                </w:tcPr>
                <w:p>
                  <w:pPr>
                    <w:pStyle w:val="9"/>
                    <w:adjustRightInd w:val="0"/>
                    <w:snapToGrid w:val="0"/>
                    <w:jc w:val="center"/>
                    <w:rPr>
                      <w:rFonts w:ascii="Times New Roman" w:hAnsi="Times New Roman" w:eastAsia="宋体"/>
                      <w:b/>
                      <w:bCs/>
                      <w:caps w:val="0"/>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515" w:hRule="atLeast"/>
                <w:jc w:val="center"/>
              </w:trPr>
              <w:tc>
                <w:tcPr>
                  <w:tcW w:w="368" w:type="pct"/>
                  <w:vMerge w:val="restar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主体工程</w:t>
                  </w:r>
                </w:p>
              </w:tc>
              <w:tc>
                <w:tcPr>
                  <w:tcW w:w="948" w:type="pct"/>
                  <w:gridSpan w:val="2"/>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生产车间一</w:t>
                  </w:r>
                </w:p>
              </w:tc>
              <w:tc>
                <w:tcPr>
                  <w:tcW w:w="901"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3850m</w:t>
                  </w:r>
                  <w:r>
                    <w:rPr>
                      <w:rFonts w:hint="eastAsia" w:ascii="Times New Roman" w:hAnsi="Times New Roman" w:eastAsia="宋体"/>
                      <w:caps w:val="0"/>
                      <w:color w:val="auto"/>
                      <w:szCs w:val="21"/>
                      <w:vertAlign w:val="superscript"/>
                      <w:lang w:val="en-US" w:eastAsia="zh-CN"/>
                    </w:rPr>
                    <w:t>2</w:t>
                  </w:r>
                </w:p>
              </w:tc>
              <w:tc>
                <w:tcPr>
                  <w:tcW w:w="1087" w:type="pct"/>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0</w:t>
                  </w:r>
                </w:p>
              </w:tc>
              <w:tc>
                <w:tcPr>
                  <w:tcW w:w="926" w:type="pct"/>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rPr>
                  </w:pPr>
                  <w:r>
                    <w:rPr>
                      <w:rFonts w:hint="eastAsia" w:ascii="Times New Roman" w:hAnsi="Times New Roman" w:eastAsia="宋体"/>
                      <w:caps w:val="0"/>
                      <w:color w:val="auto"/>
                      <w:szCs w:val="21"/>
                      <w:lang w:val="en-US" w:eastAsia="zh-CN"/>
                    </w:rPr>
                    <w:t>3850m</w:t>
                  </w:r>
                  <w:r>
                    <w:rPr>
                      <w:rFonts w:hint="eastAsia" w:ascii="Times New Roman" w:hAnsi="Times New Roman" w:eastAsia="宋体"/>
                      <w:caps w:val="0"/>
                      <w:color w:val="auto"/>
                      <w:szCs w:val="21"/>
                      <w:vertAlign w:val="superscript"/>
                      <w:lang w:val="en-US" w:eastAsia="zh-CN"/>
                    </w:rPr>
                    <w:t>2</w:t>
                  </w:r>
                </w:p>
              </w:tc>
              <w:tc>
                <w:tcPr>
                  <w:tcW w:w="768" w:type="pct"/>
                  <w:vMerge w:val="restar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生产，依托现有，喷漆房位于车间一；喷漆房面积为112m</w:t>
                  </w:r>
                  <w:r>
                    <w:rPr>
                      <w:rFonts w:hint="eastAsia" w:ascii="Times New Roman" w:hAnsi="Times New Roman" w:eastAsia="宋体"/>
                      <w:caps w:val="0"/>
                      <w:color w:val="auto"/>
                      <w:sz w:val="21"/>
                      <w:szCs w:val="21"/>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515" w:hRule="atLeast"/>
                <w:jc w:val="center"/>
              </w:trPr>
              <w:tc>
                <w:tcPr>
                  <w:tcW w:w="368" w:type="pct"/>
                  <w:vMerge w:val="continue"/>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lang w:val="en-US" w:eastAsia="zh-CN"/>
                    </w:rPr>
                  </w:pPr>
                </w:p>
              </w:tc>
              <w:tc>
                <w:tcPr>
                  <w:tcW w:w="948" w:type="pct"/>
                  <w:gridSpan w:val="2"/>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生产车间二</w:t>
                  </w:r>
                </w:p>
              </w:tc>
              <w:tc>
                <w:tcPr>
                  <w:tcW w:w="901"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864m</w:t>
                  </w:r>
                  <w:r>
                    <w:rPr>
                      <w:rFonts w:hint="eastAsia" w:ascii="Times New Roman" w:hAnsi="Times New Roman" w:eastAsia="宋体"/>
                      <w:caps w:val="0"/>
                      <w:color w:val="auto"/>
                      <w:szCs w:val="21"/>
                      <w:vertAlign w:val="superscript"/>
                      <w:lang w:val="en-US" w:eastAsia="zh-CN"/>
                    </w:rPr>
                    <w:t>2</w:t>
                  </w:r>
                </w:p>
              </w:tc>
              <w:tc>
                <w:tcPr>
                  <w:tcW w:w="1087"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0</w:t>
                  </w:r>
                </w:p>
              </w:tc>
              <w:tc>
                <w:tcPr>
                  <w:tcW w:w="926" w:type="pct"/>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864m</w:t>
                  </w:r>
                  <w:r>
                    <w:rPr>
                      <w:rFonts w:hint="eastAsia" w:ascii="Times New Roman" w:hAnsi="Times New Roman" w:eastAsia="宋体"/>
                      <w:caps w:val="0"/>
                      <w:color w:val="auto"/>
                      <w:szCs w:val="21"/>
                      <w:vertAlign w:val="superscript"/>
                      <w:lang w:val="en-US" w:eastAsia="zh-CN"/>
                    </w:rPr>
                    <w:t>2</w:t>
                  </w:r>
                </w:p>
              </w:tc>
              <w:tc>
                <w:tcPr>
                  <w:tcW w:w="768" w:type="pct"/>
                  <w:vMerge w:val="continue"/>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贮运工程</w:t>
                  </w: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原料</w:t>
                  </w:r>
                  <w:r>
                    <w:rPr>
                      <w:rFonts w:hint="eastAsia" w:ascii="Times New Roman" w:hAnsi="Times New Roman" w:eastAsia="宋体"/>
                      <w:caps w:val="0"/>
                      <w:color w:val="auto"/>
                      <w:szCs w:val="21"/>
                    </w:rPr>
                    <w:t>仓库</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216</w:t>
                  </w:r>
                  <w:r>
                    <w:rPr>
                      <w:rFonts w:hint="eastAsia" w:ascii="Times New Roman" w:hAnsi="Times New Roman" w:eastAsia="宋体"/>
                      <w:caps w:val="0"/>
                      <w:color w:val="auto"/>
                      <w:szCs w:val="21"/>
                    </w:rPr>
                    <w:t>m</w:t>
                  </w:r>
                  <w:r>
                    <w:rPr>
                      <w:rFonts w:hint="eastAsia" w:ascii="Times New Roman" w:hAnsi="Times New Roman" w:eastAsia="宋体"/>
                      <w:caps w:val="0"/>
                      <w:color w:val="auto"/>
                      <w:szCs w:val="21"/>
                      <w:vertAlign w:val="superscript"/>
                    </w:rPr>
                    <w:t>2</w:t>
                  </w:r>
                </w:p>
              </w:tc>
              <w:tc>
                <w:tcPr>
                  <w:tcW w:w="1087" w:type="pct"/>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0</w:t>
                  </w:r>
                </w:p>
              </w:tc>
              <w:tc>
                <w:tcPr>
                  <w:tcW w:w="926" w:type="pct"/>
                  <w:tcBorders>
                    <w:tl2br w:val="nil"/>
                    <w:tr2bl w:val="nil"/>
                  </w:tcBorders>
                  <w:vAlign w:val="center"/>
                </w:tcPr>
                <w:p>
                  <w:pPr>
                    <w:pStyle w:val="9"/>
                    <w:adjustRightInd w:val="0"/>
                    <w:snapToGrid w:val="0"/>
                    <w:jc w:val="center"/>
                    <w:rPr>
                      <w:rFonts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216</w:t>
                  </w:r>
                  <w:r>
                    <w:rPr>
                      <w:rFonts w:hint="eastAsia" w:ascii="Times New Roman" w:hAnsi="Times New Roman" w:eastAsia="宋体"/>
                      <w:caps w:val="0"/>
                      <w:color w:val="auto"/>
                      <w:szCs w:val="21"/>
                    </w:rPr>
                    <w:t>m</w:t>
                  </w:r>
                  <w:r>
                    <w:rPr>
                      <w:rFonts w:hint="eastAsia" w:ascii="Times New Roman" w:hAnsi="Times New Roman" w:eastAsia="宋体"/>
                      <w:caps w:val="0"/>
                      <w:color w:val="auto"/>
                      <w:szCs w:val="21"/>
                      <w:vertAlign w:val="superscript"/>
                    </w:rPr>
                    <w:t>2</w:t>
                  </w:r>
                </w:p>
              </w:tc>
              <w:tc>
                <w:tcPr>
                  <w:tcW w:w="768"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rPr>
                    <w:t>原料暂存</w:t>
                  </w:r>
                  <w:r>
                    <w:rPr>
                      <w:rFonts w:hint="eastAsia" w:ascii="Times New Roman" w:hAnsi="Times New Roman" w:eastAsia="宋体"/>
                      <w:caps w:val="0"/>
                      <w:color w:val="auto"/>
                      <w:szCs w:val="21"/>
                      <w:lang w:eastAsia="zh-CN"/>
                    </w:rPr>
                    <w:t>，</w:t>
                  </w:r>
                  <w:r>
                    <w:rPr>
                      <w:rFonts w:hint="eastAsia" w:ascii="Times New Roman" w:hAnsi="Times New Roman" w:eastAsia="宋体"/>
                      <w:caps w:val="0"/>
                      <w:color w:val="auto"/>
                      <w:szCs w:val="21"/>
                      <w:lang w:val="en-US" w:eastAsia="zh-CN"/>
                    </w:rPr>
                    <w:t>在车间一内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成品仓库</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300</w:t>
                  </w:r>
                  <w:r>
                    <w:rPr>
                      <w:rFonts w:hint="eastAsia" w:ascii="Times New Roman" w:hAnsi="Times New Roman" w:eastAsia="宋体"/>
                      <w:caps w:val="0"/>
                      <w:color w:val="auto"/>
                      <w:szCs w:val="21"/>
                    </w:rPr>
                    <w:t>m</w:t>
                  </w:r>
                  <w:r>
                    <w:rPr>
                      <w:rFonts w:hint="eastAsia" w:ascii="Times New Roman" w:hAnsi="Times New Roman" w:eastAsia="宋体"/>
                      <w:caps w:val="0"/>
                      <w:color w:val="auto"/>
                      <w:szCs w:val="21"/>
                      <w:vertAlign w:val="superscript"/>
                    </w:rPr>
                    <w:t>2</w:t>
                  </w:r>
                </w:p>
              </w:tc>
              <w:tc>
                <w:tcPr>
                  <w:tcW w:w="1087" w:type="pct"/>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0</w:t>
                  </w:r>
                </w:p>
              </w:tc>
              <w:tc>
                <w:tcPr>
                  <w:tcW w:w="926" w:type="pct"/>
                  <w:tcBorders>
                    <w:tl2br w:val="nil"/>
                    <w:tr2bl w:val="nil"/>
                  </w:tcBorders>
                  <w:vAlign w:val="center"/>
                </w:tcPr>
                <w:p>
                  <w:pPr>
                    <w:pStyle w:val="9"/>
                    <w:adjustRightInd w:val="0"/>
                    <w:snapToGrid w:val="0"/>
                    <w:jc w:val="center"/>
                    <w:rPr>
                      <w:rFonts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300</w:t>
                  </w:r>
                  <w:r>
                    <w:rPr>
                      <w:rFonts w:hint="eastAsia" w:ascii="Times New Roman" w:hAnsi="Times New Roman" w:eastAsia="宋体"/>
                      <w:caps w:val="0"/>
                      <w:color w:val="auto"/>
                      <w:szCs w:val="21"/>
                    </w:rPr>
                    <w:t>m</w:t>
                  </w:r>
                  <w:r>
                    <w:rPr>
                      <w:rFonts w:hint="eastAsia" w:ascii="Times New Roman" w:hAnsi="Times New Roman" w:eastAsia="宋体"/>
                      <w:caps w:val="0"/>
                      <w:color w:val="auto"/>
                      <w:szCs w:val="21"/>
                      <w:vertAlign w:val="superscript"/>
                    </w:rPr>
                    <w:t>2</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成品暂存</w:t>
                  </w:r>
                  <w:r>
                    <w:rPr>
                      <w:rFonts w:hint="eastAsia" w:ascii="Times New Roman" w:hAnsi="Times New Roman" w:eastAsia="宋体"/>
                      <w:caps w:val="0"/>
                      <w:color w:val="auto"/>
                      <w:szCs w:val="21"/>
                      <w:lang w:val="en-US" w:eastAsia="zh-CN"/>
                    </w:rPr>
                    <w:t>在车间一内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公用工程</w:t>
                  </w: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给水系统</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81</w:t>
                  </w:r>
                  <w:r>
                    <w:rPr>
                      <w:rFonts w:hint="eastAsia" w:ascii="Times New Roman" w:hAnsi="Times New Roman"/>
                      <w:caps w:val="0"/>
                      <w:color w:val="auto"/>
                      <w:szCs w:val="21"/>
                      <w:lang w:val="en-US" w:eastAsia="zh-CN"/>
                    </w:rPr>
                    <w:t>4</w:t>
                  </w:r>
                  <w:r>
                    <w:rPr>
                      <w:rFonts w:ascii="Times New Roman" w:hAnsi="Times New Roman" w:eastAsia="宋体"/>
                      <w:caps w:val="0"/>
                      <w:color w:val="auto"/>
                      <w:szCs w:val="21"/>
                    </w:rPr>
                    <w:t>t/a</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15</w:t>
                  </w:r>
                  <w:r>
                    <w:rPr>
                      <w:rFonts w:hint="eastAsia" w:ascii="Times New Roman" w:hAnsi="Times New Roman"/>
                      <w:caps w:val="0"/>
                      <w:color w:val="auto"/>
                      <w:szCs w:val="21"/>
                      <w:lang w:val="en-US" w:eastAsia="zh-CN"/>
                    </w:rPr>
                    <w:t>3.5</w:t>
                  </w:r>
                  <w:r>
                    <w:rPr>
                      <w:rFonts w:ascii="Times New Roman" w:hAnsi="Times New Roman" w:eastAsia="宋体"/>
                      <w:caps w:val="0"/>
                      <w:color w:val="auto"/>
                      <w:szCs w:val="21"/>
                    </w:rPr>
                    <w:t>t/a</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96</w:t>
                  </w:r>
                  <w:r>
                    <w:rPr>
                      <w:rFonts w:hint="eastAsia" w:ascii="Times New Roman" w:hAnsi="Times New Roman"/>
                      <w:caps w:val="0"/>
                      <w:color w:val="auto"/>
                      <w:szCs w:val="21"/>
                      <w:lang w:val="en-US" w:eastAsia="zh-CN"/>
                    </w:rPr>
                    <w:t>7.5</w:t>
                  </w:r>
                  <w:r>
                    <w:rPr>
                      <w:rFonts w:hint="eastAsia" w:ascii="Times New Roman" w:hAnsi="Times New Roman" w:eastAsia="宋体"/>
                      <w:caps w:val="0"/>
                      <w:color w:val="auto"/>
                      <w:szCs w:val="21"/>
                    </w:rPr>
                    <w:t>t/a</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市政供水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排水系统</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731</w:t>
                  </w:r>
                  <w:r>
                    <w:rPr>
                      <w:rFonts w:ascii="Times New Roman" w:hAnsi="Times New Roman" w:eastAsia="宋体"/>
                      <w:caps w:val="0"/>
                      <w:color w:val="auto"/>
                      <w:szCs w:val="21"/>
                    </w:rPr>
                    <w:t>t/a</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120</w:t>
                  </w:r>
                  <w:r>
                    <w:rPr>
                      <w:rFonts w:ascii="Times New Roman" w:hAnsi="Times New Roman" w:eastAsia="宋体"/>
                      <w:caps w:val="0"/>
                      <w:color w:val="auto"/>
                      <w:szCs w:val="21"/>
                    </w:rPr>
                    <w:t>t/a</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851</w:t>
                  </w:r>
                  <w:r>
                    <w:rPr>
                      <w:rFonts w:hint="eastAsia" w:ascii="Times New Roman" w:hAnsi="Times New Roman" w:eastAsia="宋体"/>
                      <w:caps w:val="0"/>
                      <w:color w:val="auto"/>
                      <w:szCs w:val="21"/>
                    </w:rPr>
                    <w:t>t/a</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雨污分流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供电系统</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26.4</w:t>
                  </w:r>
                  <w:r>
                    <w:rPr>
                      <w:rFonts w:ascii="Times New Roman" w:hAnsi="Times New Roman" w:eastAsia="宋体"/>
                      <w:caps w:val="0"/>
                      <w:color w:val="auto"/>
                      <w:szCs w:val="21"/>
                    </w:rPr>
                    <w:t>万kwh</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0</w:t>
                  </w:r>
                  <w:r>
                    <w:rPr>
                      <w:rFonts w:ascii="Times New Roman" w:hAnsi="Times New Roman" w:eastAsia="宋体"/>
                      <w:caps w:val="0"/>
                      <w:color w:val="auto"/>
                      <w:szCs w:val="21"/>
                    </w:rPr>
                    <w:t>万kwh</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26.4</w:t>
                  </w:r>
                  <w:r>
                    <w:rPr>
                      <w:rFonts w:ascii="Times New Roman" w:hAnsi="Times New Roman" w:eastAsia="宋体"/>
                      <w:caps w:val="0"/>
                      <w:color w:val="auto"/>
                      <w:szCs w:val="21"/>
                    </w:rPr>
                    <w:t>万kwh</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市政供电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277" w:hRule="atLeast"/>
                <w:jc w:val="center"/>
              </w:trPr>
              <w:tc>
                <w:tcPr>
                  <w:tcW w:w="368" w:type="pct"/>
                  <w:vMerge w:val="restar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环保工程</w:t>
                  </w:r>
                </w:p>
              </w:tc>
              <w:tc>
                <w:tcPr>
                  <w:tcW w:w="337" w:type="pct"/>
                  <w:vMerge w:val="restar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废气处理</w:t>
                  </w:r>
                </w:p>
              </w:tc>
              <w:tc>
                <w:tcPr>
                  <w:tcW w:w="610"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切割粉尘</w:t>
                  </w:r>
                </w:p>
              </w:tc>
              <w:tc>
                <w:tcPr>
                  <w:tcW w:w="901"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经移动式工业除尘器处理后无组织排放</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经移动式工业除尘器处理后无组织排放</w:t>
                  </w:r>
                </w:p>
              </w:tc>
              <w:tc>
                <w:tcPr>
                  <w:tcW w:w="768" w:type="pct"/>
                  <w:vMerge w:val="restar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厂界达标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337"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610"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焊接粉尘</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经移动式工业除尘器处理后无组织排放</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经移动式工业除尘器处理后无组织排放</w:t>
                  </w:r>
                </w:p>
              </w:tc>
              <w:tc>
                <w:tcPr>
                  <w:tcW w:w="7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337"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610"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打磨粉尘</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经移动式工业除尘器处理后无组织排放</w:t>
                  </w:r>
                </w:p>
              </w:tc>
              <w:tc>
                <w:tcPr>
                  <w:tcW w:w="1087"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经移动式工业除尘器处理后无组织排放</w:t>
                  </w:r>
                </w:p>
              </w:tc>
              <w:tc>
                <w:tcPr>
                  <w:tcW w:w="768" w:type="pct"/>
                  <w:vMerge w:val="continue"/>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337"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610"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喷漆晾干</w:t>
                  </w:r>
                  <w:r>
                    <w:rPr>
                      <w:rFonts w:hint="eastAsia" w:ascii="Times New Roman" w:hAnsi="Times New Roman" w:eastAsia="宋体"/>
                      <w:caps w:val="0"/>
                      <w:color w:val="auto"/>
                      <w:szCs w:val="21"/>
                    </w:rPr>
                    <w:t>废气</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bookmarkStart w:id="12" w:name="OLE_LINK1"/>
                  <w:r>
                    <w:rPr>
                      <w:rFonts w:hint="eastAsia" w:ascii="Times New Roman" w:hAnsi="Times New Roman" w:eastAsia="宋体"/>
                      <w:caps w:val="0"/>
                      <w:color w:val="auto"/>
                      <w:szCs w:val="21"/>
                      <w:lang w:val="en-US" w:eastAsia="zh-CN"/>
                    </w:rPr>
                    <w:t>密闭收集</w:t>
                  </w:r>
                  <w:r>
                    <w:rPr>
                      <w:rFonts w:hint="eastAsia" w:ascii="Times New Roman" w:hAnsi="Times New Roman" w:eastAsia="宋体"/>
                      <w:caps w:val="0"/>
                      <w:color w:val="auto"/>
                      <w:szCs w:val="21"/>
                    </w:rPr>
                    <w:t>后由</w:t>
                  </w:r>
                  <w:r>
                    <w:rPr>
                      <w:rFonts w:hint="eastAsia" w:ascii="Times New Roman" w:hAnsi="Times New Roman" w:eastAsia="宋体"/>
                      <w:caps w:val="0"/>
                      <w:color w:val="auto"/>
                      <w:szCs w:val="21"/>
                      <w:lang w:val="en-US" w:eastAsia="zh-CN"/>
                    </w:rPr>
                    <w:t>多级过滤器+三级活性炭</w:t>
                  </w:r>
                  <w:r>
                    <w:rPr>
                      <w:rFonts w:hint="eastAsia" w:ascii="Times New Roman" w:hAnsi="Times New Roman" w:eastAsia="宋体"/>
                      <w:caps w:val="0"/>
                      <w:color w:val="auto"/>
                      <w:szCs w:val="21"/>
                    </w:rPr>
                    <w:t>吸附装置处理后通过15 m排气筒（DA001）排放</w:t>
                  </w:r>
                  <w:bookmarkEnd w:id="12"/>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密闭收集</w:t>
                  </w:r>
                  <w:r>
                    <w:rPr>
                      <w:rFonts w:hint="eastAsia" w:ascii="Times New Roman" w:hAnsi="Times New Roman" w:eastAsia="宋体"/>
                      <w:caps w:val="0"/>
                      <w:color w:val="auto"/>
                      <w:szCs w:val="21"/>
                    </w:rPr>
                    <w:t>后</w:t>
                  </w:r>
                  <w:r>
                    <w:rPr>
                      <w:rFonts w:hint="eastAsia" w:ascii="Times New Roman" w:hAnsi="Times New Roman" w:eastAsia="宋体"/>
                      <w:caps w:val="0"/>
                      <w:color w:val="auto"/>
                      <w:szCs w:val="21"/>
                      <w:lang w:val="en-US" w:eastAsia="zh-CN"/>
                    </w:rPr>
                    <w:t>二级</w:t>
                  </w:r>
                  <w:r>
                    <w:rPr>
                      <w:rFonts w:hint="eastAsia" w:ascii="Times New Roman" w:hAnsi="Times New Roman" w:eastAsia="宋体"/>
                      <w:caps w:val="0"/>
                      <w:color w:val="auto"/>
                      <w:szCs w:val="21"/>
                    </w:rPr>
                    <w:t>由</w:t>
                  </w:r>
                  <w:r>
                    <w:rPr>
                      <w:rFonts w:hint="eastAsia" w:ascii="Times New Roman" w:hAnsi="Times New Roman" w:eastAsia="宋体"/>
                      <w:caps w:val="0"/>
                      <w:color w:val="auto"/>
                      <w:szCs w:val="21"/>
                      <w:lang w:val="en-US" w:eastAsia="zh-CN"/>
                    </w:rPr>
                    <w:t>多级过滤器+三级活性炭</w:t>
                  </w:r>
                  <w:r>
                    <w:rPr>
                      <w:rFonts w:hint="eastAsia" w:ascii="Times New Roman" w:hAnsi="Times New Roman" w:eastAsia="宋体"/>
                      <w:caps w:val="0"/>
                      <w:color w:val="auto"/>
                      <w:szCs w:val="21"/>
                    </w:rPr>
                    <w:t>吸附装置处理后通过15 m排气筒（DA001）排放</w:t>
                  </w:r>
                </w:p>
              </w:tc>
              <w:tc>
                <w:tcPr>
                  <w:tcW w:w="768" w:type="pct"/>
                  <w:tcBorders>
                    <w:tl2br w:val="nil"/>
                    <w:tr2bl w:val="nil"/>
                  </w:tcBorders>
                  <w:vAlign w:val="center"/>
                </w:tcPr>
                <w:p>
                  <w:pPr>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本次新增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33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废水处理</w:t>
                  </w:r>
                </w:p>
              </w:tc>
              <w:tc>
                <w:tcPr>
                  <w:tcW w:w="610"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生活污水</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化粪池</w:t>
                  </w:r>
                </w:p>
              </w:tc>
              <w:tc>
                <w:tcPr>
                  <w:tcW w:w="1087" w:type="pct"/>
                  <w:tcBorders>
                    <w:tl2br w:val="nil"/>
                    <w:tr2bl w:val="nil"/>
                  </w:tcBorders>
                  <w:vAlign w:val="center"/>
                </w:tcPr>
                <w:p>
                  <w:pPr>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依托现有</w:t>
                  </w:r>
                </w:p>
              </w:tc>
              <w:tc>
                <w:tcPr>
                  <w:tcW w:w="926" w:type="pct"/>
                  <w:tcBorders>
                    <w:tl2br w:val="nil"/>
                    <w:tr2bl w:val="nil"/>
                  </w:tcBorders>
                  <w:vAlign w:val="center"/>
                </w:tcPr>
                <w:p>
                  <w:pPr>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化粪池</w:t>
                  </w:r>
                </w:p>
              </w:tc>
              <w:tc>
                <w:tcPr>
                  <w:tcW w:w="768"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ascii="Times New Roman" w:hAnsi="Times New Roman" w:eastAsia="宋体"/>
                      <w:caps w:val="0"/>
                      <w:color w:val="auto"/>
                      <w:szCs w:val="21"/>
                    </w:rPr>
                    <w:t>接管至</w:t>
                  </w:r>
                  <w:r>
                    <w:rPr>
                      <w:rFonts w:hint="eastAsia" w:ascii="Times New Roman" w:hAnsi="Times New Roman" w:eastAsia="宋体"/>
                      <w:caps w:val="0"/>
                      <w:color w:val="auto"/>
                      <w:szCs w:val="21"/>
                      <w:lang w:val="en-US" w:eastAsia="zh-CN"/>
                    </w:rPr>
                    <w:t>如皋市下原镇污水处理厂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风险防范</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设置1座</w:t>
                  </w:r>
                  <w:r>
                    <w:rPr>
                      <w:rFonts w:hint="eastAsia" w:ascii="Times New Roman" w:hAnsi="Times New Roman" w:eastAsia="宋体"/>
                      <w:caps w:val="0"/>
                      <w:color w:val="auto"/>
                      <w:szCs w:val="21"/>
                      <w:lang w:val="en-US" w:eastAsia="zh-CN"/>
                    </w:rPr>
                    <w:t>180m</w:t>
                  </w:r>
                  <w:r>
                    <w:rPr>
                      <w:rFonts w:hint="eastAsia" w:ascii="Times New Roman" w:hAnsi="Times New Roman" w:eastAsia="宋体"/>
                      <w:caps w:val="0"/>
                      <w:color w:val="auto"/>
                      <w:sz w:val="21"/>
                      <w:szCs w:val="21"/>
                      <w:vertAlign w:val="superscript"/>
                      <w:lang w:val="en-US" w:eastAsia="zh-CN"/>
                    </w:rPr>
                    <w:t>3</w:t>
                  </w:r>
                  <w:r>
                    <w:rPr>
                      <w:rFonts w:hint="eastAsia" w:ascii="Times New Roman" w:hAnsi="Times New Roman" w:eastAsia="宋体"/>
                      <w:caps w:val="0"/>
                      <w:color w:val="auto"/>
                      <w:szCs w:val="21"/>
                    </w:rPr>
                    <w:t>事故应急池</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设置1座</w:t>
                  </w:r>
                  <w:r>
                    <w:rPr>
                      <w:rFonts w:hint="eastAsia" w:ascii="Times New Roman" w:hAnsi="Times New Roman" w:eastAsia="宋体"/>
                      <w:caps w:val="0"/>
                      <w:color w:val="auto"/>
                      <w:szCs w:val="21"/>
                      <w:lang w:val="en-US" w:eastAsia="zh-CN"/>
                    </w:rPr>
                    <w:t>180m</w:t>
                  </w:r>
                  <w:r>
                    <w:rPr>
                      <w:rFonts w:hint="eastAsia" w:ascii="Times New Roman" w:hAnsi="Times New Roman" w:eastAsia="宋体"/>
                      <w:caps w:val="0"/>
                      <w:color w:val="auto"/>
                      <w:sz w:val="21"/>
                      <w:szCs w:val="21"/>
                      <w:vertAlign w:val="superscript"/>
                      <w:lang w:val="en-US" w:eastAsia="zh-CN"/>
                    </w:rPr>
                    <w:t>3</w:t>
                  </w:r>
                  <w:r>
                    <w:rPr>
                      <w:rFonts w:hint="eastAsia" w:ascii="Times New Roman" w:hAnsi="Times New Roman" w:eastAsia="宋体"/>
                      <w:caps w:val="0"/>
                      <w:color w:val="auto"/>
                      <w:szCs w:val="21"/>
                    </w:rPr>
                    <w:t>事故应急池</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事故应急废水收集，本次新增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57"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948" w:type="pct"/>
                  <w:gridSpan w:val="2"/>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噪声治理</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隔声、减噪</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隔声、减噪</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隔声、减噪</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厂界达标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16"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337" w:type="pct"/>
                  <w:vMerge w:val="restar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固废处理</w:t>
                  </w:r>
                </w:p>
              </w:tc>
              <w:tc>
                <w:tcPr>
                  <w:tcW w:w="610"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一般固废库</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15</w:t>
                  </w:r>
                  <w:r>
                    <w:rPr>
                      <w:rFonts w:ascii="Times New Roman" w:hAnsi="Times New Roman" w:eastAsia="宋体"/>
                      <w:caps w:val="0"/>
                      <w:color w:val="auto"/>
                      <w:szCs w:val="21"/>
                    </w:rPr>
                    <w:t>m</w:t>
                  </w:r>
                  <w:r>
                    <w:rPr>
                      <w:rFonts w:ascii="Times New Roman" w:hAnsi="Times New Roman" w:eastAsia="宋体"/>
                      <w:caps w:val="0"/>
                      <w:color w:val="auto"/>
                      <w:szCs w:val="21"/>
                      <w:vertAlign w:val="superscript"/>
                    </w:rPr>
                    <w:t>2</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依托现有</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15</w:t>
                  </w:r>
                  <w:r>
                    <w:rPr>
                      <w:rFonts w:ascii="Times New Roman" w:hAnsi="Times New Roman" w:eastAsia="宋体"/>
                      <w:caps w:val="0"/>
                      <w:color w:val="auto"/>
                      <w:szCs w:val="21"/>
                    </w:rPr>
                    <w:t>m</w:t>
                  </w:r>
                  <w:r>
                    <w:rPr>
                      <w:rFonts w:ascii="Times New Roman" w:hAnsi="Times New Roman" w:eastAsia="宋体"/>
                      <w:caps w:val="0"/>
                      <w:color w:val="auto"/>
                      <w:szCs w:val="21"/>
                      <w:vertAlign w:val="superscript"/>
                    </w:rPr>
                    <w:t>2</w:t>
                  </w:r>
                </w:p>
              </w:tc>
              <w:tc>
                <w:tcPr>
                  <w:tcW w:w="768"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安全处置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108" w:type="dxa"/>
                  <w:bottom w:w="0" w:type="dxa"/>
                  <w:right w:w="108" w:type="dxa"/>
                </w:tblCellMar>
              </w:tblPrEx>
              <w:trPr>
                <w:trHeight w:val="322" w:hRule="atLeast"/>
                <w:jc w:val="center"/>
              </w:trPr>
              <w:tc>
                <w:tcPr>
                  <w:tcW w:w="368"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337" w:type="pct"/>
                  <w:vMerge w:val="continue"/>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p>
              </w:tc>
              <w:tc>
                <w:tcPr>
                  <w:tcW w:w="610"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highlight w:val="none"/>
                    </w:rPr>
                    <w:t>危废仓库</w:t>
                  </w:r>
                </w:p>
              </w:tc>
              <w:tc>
                <w:tcPr>
                  <w:tcW w:w="901"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3</w:t>
                  </w:r>
                  <w:r>
                    <w:rPr>
                      <w:rFonts w:ascii="Times New Roman" w:hAnsi="Times New Roman" w:eastAsia="宋体"/>
                      <w:caps w:val="0"/>
                      <w:color w:val="auto"/>
                      <w:szCs w:val="21"/>
                    </w:rPr>
                    <w:t>m</w:t>
                  </w:r>
                  <w:r>
                    <w:rPr>
                      <w:rFonts w:ascii="Times New Roman" w:hAnsi="Times New Roman" w:eastAsia="宋体"/>
                      <w:caps w:val="0"/>
                      <w:color w:val="auto"/>
                      <w:szCs w:val="21"/>
                      <w:vertAlign w:val="superscript"/>
                    </w:rPr>
                    <w:t>2</w:t>
                  </w:r>
                </w:p>
              </w:tc>
              <w:tc>
                <w:tcPr>
                  <w:tcW w:w="1087"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27</w:t>
                  </w:r>
                  <w:r>
                    <w:rPr>
                      <w:rFonts w:ascii="Times New Roman" w:hAnsi="Times New Roman" w:eastAsia="宋体"/>
                      <w:caps w:val="0"/>
                      <w:color w:val="auto"/>
                      <w:szCs w:val="21"/>
                    </w:rPr>
                    <w:t>m</w:t>
                  </w:r>
                  <w:r>
                    <w:rPr>
                      <w:rFonts w:ascii="Times New Roman" w:hAnsi="Times New Roman" w:eastAsia="宋体"/>
                      <w:caps w:val="0"/>
                      <w:color w:val="auto"/>
                      <w:szCs w:val="21"/>
                      <w:vertAlign w:val="superscript"/>
                    </w:rPr>
                    <w:t>2</w:t>
                  </w:r>
                  <w:r>
                    <w:rPr>
                      <w:rFonts w:hint="eastAsia" w:ascii="Times New Roman" w:hAnsi="Times New Roman" w:eastAsia="宋体"/>
                      <w:caps w:val="0"/>
                      <w:color w:val="auto"/>
                      <w:szCs w:val="21"/>
                    </w:rPr>
                    <w:t xml:space="preserve"> </w:t>
                  </w:r>
                </w:p>
              </w:tc>
              <w:tc>
                <w:tcPr>
                  <w:tcW w:w="926" w:type="pct"/>
                  <w:tcBorders>
                    <w:tl2br w:val="nil"/>
                    <w:tr2bl w:val="nil"/>
                  </w:tcBorders>
                  <w:vAlign w:val="center"/>
                </w:tcPr>
                <w:p>
                  <w:pPr>
                    <w:pStyle w:val="9"/>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30</w:t>
                  </w:r>
                  <w:r>
                    <w:rPr>
                      <w:rFonts w:ascii="Times New Roman" w:hAnsi="Times New Roman" w:eastAsia="宋体"/>
                      <w:caps w:val="0"/>
                      <w:color w:val="auto"/>
                      <w:szCs w:val="21"/>
                    </w:rPr>
                    <w:t>m</w:t>
                  </w:r>
                  <w:r>
                    <w:rPr>
                      <w:rFonts w:ascii="Times New Roman" w:hAnsi="Times New Roman" w:eastAsia="宋体"/>
                      <w:caps w:val="0"/>
                      <w:color w:val="auto"/>
                      <w:szCs w:val="21"/>
                      <w:vertAlign w:val="superscript"/>
                    </w:rPr>
                    <w:t>2</w:t>
                  </w:r>
                </w:p>
              </w:tc>
              <w:tc>
                <w:tcPr>
                  <w:tcW w:w="768" w:type="pct"/>
                  <w:tcBorders>
                    <w:tl2br w:val="nil"/>
                    <w:tr2bl w:val="nil"/>
                  </w:tcBorders>
                  <w:vAlign w:val="center"/>
                </w:tcPr>
                <w:p>
                  <w:pPr>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全厂建设一间危废库，</w:t>
                  </w:r>
                  <w:r>
                    <w:rPr>
                      <w:rFonts w:ascii="Times New Roman" w:hAnsi="Times New Roman" w:eastAsia="宋体"/>
                      <w:caps w:val="0"/>
                      <w:color w:val="auto"/>
                      <w:szCs w:val="21"/>
                    </w:rPr>
                    <w:t>安全处置</w:t>
                  </w:r>
                </w:p>
              </w:tc>
            </w:tr>
          </w:tbl>
          <w:p>
            <w:pPr>
              <w:adjustRightInd w:val="0"/>
              <w:snapToGrid w:val="0"/>
              <w:spacing w:line="360" w:lineRule="auto"/>
              <w:ind w:firstLine="482" w:firstLineChars="200"/>
              <w:rPr>
                <w:rFonts w:hint="eastAsia" w:ascii="Times New Roman" w:hAnsi="Times New Roman" w:eastAsia="宋体"/>
                <w:b/>
                <w:bCs/>
                <w:caps w:val="0"/>
                <w:color w:val="auto"/>
                <w:kern w:val="0"/>
                <w:sz w:val="24"/>
                <w:lang w:val="en-US" w:eastAsia="zh-CN"/>
              </w:rPr>
            </w:pPr>
            <w:r>
              <w:rPr>
                <w:rFonts w:hint="eastAsia" w:ascii="Times New Roman" w:hAnsi="Times New Roman" w:eastAsia="宋体"/>
                <w:b/>
                <w:bCs/>
                <w:caps w:val="0"/>
                <w:color w:val="auto"/>
                <w:kern w:val="0"/>
                <w:sz w:val="24"/>
                <w:lang w:val="en-US" w:eastAsia="zh-CN"/>
              </w:rPr>
              <w:t>注：本项目在生产车间一内增设喷漆房，喷漆房墙体需采用防火材料，门为甲级防火门，同时设置可燃气体报警装置，油漆等危化品不单独设置库房，存放于专用防爆柜，少量储存，即取即用。</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Cs/>
                <w:color w:val="auto"/>
                <w:kern w:val="0"/>
                <w:sz w:val="24"/>
                <w:szCs w:val="24"/>
                <w:lang w:val="en-US" w:eastAsia="zh-CN"/>
              </w:rPr>
            </w:pPr>
            <w:r>
              <w:rPr>
                <w:rFonts w:hint="eastAsia" w:ascii="Times New Roman" w:hAnsi="Times New Roman" w:eastAsia="宋体" w:cs="Times New Roman"/>
                <w:bCs/>
                <w:color w:val="auto"/>
                <w:kern w:val="0"/>
                <w:sz w:val="24"/>
                <w:szCs w:val="24"/>
                <w:lang w:eastAsia="zh-CN"/>
              </w:rPr>
              <w:t>本项目属于技改项目，主要依托工程见下表</w:t>
            </w:r>
            <w:r>
              <w:rPr>
                <w:rFonts w:hint="eastAsia" w:ascii="Times New Roman" w:hAnsi="Times New Roman" w:eastAsia="宋体" w:cs="Times New Roman"/>
                <w:bCs/>
                <w:color w:val="auto"/>
                <w:kern w:val="0"/>
                <w:sz w:val="24"/>
                <w:szCs w:val="24"/>
                <w:lang w:val="en-US" w:eastAsia="zh-CN"/>
              </w:rPr>
              <w:t>2-2</w:t>
            </w:r>
          </w:p>
          <w:p>
            <w:pPr>
              <w:pStyle w:val="7"/>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0"/>
                <w:sz w:val="24"/>
                <w:szCs w:val="24"/>
                <w:lang w:val="en-US" w:eastAsia="zh-CN" w:bidi="ar-SA"/>
              </w:rPr>
              <w:t>表2-2  本项目依托情况一览表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142"/>
              <w:gridCol w:w="659"/>
              <w:gridCol w:w="659"/>
              <w:gridCol w:w="5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序号</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项目</w:t>
                  </w: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项目内容</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依托情况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3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1</w:t>
                  </w:r>
                </w:p>
              </w:tc>
              <w:tc>
                <w:tcPr>
                  <w:tcW w:w="6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主体工程</w:t>
                  </w:r>
                </w:p>
              </w:tc>
              <w:tc>
                <w:tcPr>
                  <w:tcW w:w="3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生产车间</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机加工区域</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本项目依托生产</w:t>
                  </w:r>
                  <w:r>
                    <w:rPr>
                      <w:rFonts w:hint="eastAsia" w:ascii="Times New Roman" w:hAnsi="Times New Roman" w:eastAsia="宋体"/>
                      <w:color w:val="auto"/>
                      <w:sz w:val="21"/>
                      <w:szCs w:val="21"/>
                      <w:vertAlign w:val="baseline"/>
                      <w:lang w:eastAsia="zh-CN"/>
                    </w:rPr>
                    <w:t>车间</w:t>
                  </w:r>
                  <w:r>
                    <w:rPr>
                      <w:rFonts w:hint="eastAsia" w:ascii="Times New Roman" w:hAnsi="Times New Roman" w:eastAsia="宋体"/>
                      <w:color w:val="auto"/>
                      <w:sz w:val="21"/>
                      <w:szCs w:val="21"/>
                      <w:vertAlign w:val="baseline"/>
                      <w:lang w:val="en-US" w:eastAsia="zh-CN"/>
                    </w:rPr>
                    <w:t>二</w:t>
                  </w:r>
                  <w:r>
                    <w:rPr>
                      <w:rFonts w:hint="eastAsia" w:ascii="Times New Roman" w:hAnsi="Times New Roman" w:eastAsia="宋体"/>
                      <w:color w:val="auto"/>
                      <w:sz w:val="21"/>
                      <w:szCs w:val="21"/>
                      <w:vertAlign w:val="baseline"/>
                      <w:lang w:eastAsia="zh-CN"/>
                    </w:rPr>
                    <w:t>，总面积为</w:t>
                  </w:r>
                  <w:r>
                    <w:rPr>
                      <w:rFonts w:hint="eastAsia" w:ascii="Times New Roman" w:hAnsi="Times New Roman" w:eastAsia="宋体"/>
                      <w:color w:val="auto"/>
                      <w:sz w:val="21"/>
                      <w:szCs w:val="21"/>
                      <w:vertAlign w:val="baseline"/>
                      <w:lang w:val="en-US" w:eastAsia="zh-CN"/>
                    </w:rPr>
                    <w:t>864</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，已使用区域面积为600m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，剩余</w:t>
                  </w:r>
                  <w:r>
                    <w:rPr>
                      <w:rFonts w:hint="eastAsia" w:ascii="Times New Roman" w:hAnsi="Times New Roman" w:eastAsia="宋体"/>
                      <w:color w:val="auto"/>
                      <w:sz w:val="21"/>
                      <w:szCs w:val="21"/>
                      <w:vertAlign w:val="baseline"/>
                      <w:lang w:val="en-US" w:eastAsia="zh-CN"/>
                    </w:rPr>
                    <w:t>260</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，本次技改项目预计使用面积为200m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，可满足本项目需求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Times New Roman" w:hAnsi="Times New Roman" w:eastAsia="宋体"/>
                      <w:color w:val="auto"/>
                    </w:rPr>
                  </w:pPr>
                </w:p>
              </w:tc>
              <w:tc>
                <w:tcPr>
                  <w:tcW w:w="6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ascii="Times New Roman" w:hAnsi="Times New Roman" w:eastAsia="宋体"/>
                      <w:color w:val="auto"/>
                    </w:rPr>
                  </w:pPr>
                </w:p>
              </w:tc>
              <w:tc>
                <w:tcPr>
                  <w:tcW w:w="3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喷漆房</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喷漆房位于生产车间一，</w:t>
                  </w:r>
                  <w:r>
                    <w:rPr>
                      <w:rFonts w:hint="eastAsia" w:ascii="Times New Roman" w:hAnsi="Times New Roman" w:eastAsia="宋体"/>
                      <w:color w:val="auto"/>
                      <w:sz w:val="21"/>
                      <w:szCs w:val="21"/>
                      <w:vertAlign w:val="baseline"/>
                      <w:lang w:eastAsia="zh-CN"/>
                    </w:rPr>
                    <w:t>总面积为</w:t>
                  </w:r>
                  <w:r>
                    <w:rPr>
                      <w:rFonts w:hint="eastAsia" w:ascii="Times New Roman" w:hAnsi="Times New Roman" w:eastAsia="宋体"/>
                      <w:color w:val="auto"/>
                      <w:sz w:val="21"/>
                      <w:szCs w:val="21"/>
                      <w:vertAlign w:val="baseline"/>
                      <w:lang w:val="en-US" w:eastAsia="zh-CN"/>
                    </w:rPr>
                    <w:t>3850</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，已使用区域面积为3600m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，剩余</w:t>
                  </w:r>
                  <w:r>
                    <w:rPr>
                      <w:rFonts w:hint="eastAsia" w:ascii="Times New Roman" w:hAnsi="Times New Roman" w:eastAsia="宋体"/>
                      <w:color w:val="auto"/>
                      <w:sz w:val="21"/>
                      <w:szCs w:val="21"/>
                      <w:vertAlign w:val="baseline"/>
                      <w:lang w:val="en-US" w:eastAsia="zh-CN"/>
                    </w:rPr>
                    <w:t>250</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，本次技改项目预计使用面积为112m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，可满足本项目需求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2</w:t>
                  </w:r>
                </w:p>
              </w:tc>
              <w:tc>
                <w:tcPr>
                  <w:tcW w:w="6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公用工程</w:t>
                  </w: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给水系统</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依托厂区现有的给水管网，能够可靠供水。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w:t>
                  </w:r>
                </w:p>
              </w:tc>
              <w:tc>
                <w:tcPr>
                  <w:tcW w:w="6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供电系统</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厂区供电线路、变压器均已经完善，因此依托现有已建可行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4</w:t>
                  </w:r>
                </w:p>
              </w:tc>
              <w:tc>
                <w:tcPr>
                  <w:tcW w:w="6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贮运工程</w:t>
                  </w: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成品仓库</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4"/>
                      <w:lang w:val="en-US" w:eastAsia="zh-CN" w:bidi="ar-SA"/>
                    </w:rPr>
                    <w:t>本项目产品产能不新增，只是工艺调整，可依托现有成品仓库</w:t>
                  </w:r>
                  <w:r>
                    <w:rPr>
                      <w:rFonts w:hint="eastAsia" w:ascii="Times New Roman" w:hAnsi="Times New Roman" w:eastAsia="宋体" w:cs="Times New Roman"/>
                      <w:snapToGrid/>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w:t>
                  </w:r>
                </w:p>
              </w:tc>
              <w:tc>
                <w:tcPr>
                  <w:tcW w:w="6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原料仓库</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1"/>
                      <w:vertAlign w:val="baseline"/>
                      <w:lang w:val="en-US" w:eastAsia="zh-CN"/>
                    </w:rPr>
                    <w:t>原料仓库</w:t>
                  </w:r>
                  <w:r>
                    <w:rPr>
                      <w:rFonts w:hint="eastAsia" w:ascii="Times New Roman" w:hAnsi="Times New Roman" w:eastAsia="宋体" w:cs="Times New Roman"/>
                      <w:color w:val="auto"/>
                      <w:sz w:val="21"/>
                      <w:szCs w:val="21"/>
                      <w:vertAlign w:val="baseline"/>
                      <w:lang w:val="en-US" w:eastAsia="zh-CN"/>
                    </w:rPr>
                    <w:t>位于生产车间一，</w:t>
                  </w:r>
                  <w:r>
                    <w:rPr>
                      <w:rFonts w:hint="eastAsia" w:ascii="Times New Roman" w:hAnsi="Times New Roman" w:eastAsia="宋体"/>
                      <w:color w:val="auto"/>
                      <w:sz w:val="21"/>
                      <w:szCs w:val="21"/>
                      <w:vertAlign w:val="baseline"/>
                      <w:lang w:eastAsia="zh-CN"/>
                    </w:rPr>
                    <w:t>总面积为</w:t>
                  </w:r>
                  <w:r>
                    <w:rPr>
                      <w:rFonts w:hint="eastAsia" w:ascii="Times New Roman" w:hAnsi="Times New Roman" w:eastAsia="宋体"/>
                      <w:color w:val="auto"/>
                      <w:sz w:val="21"/>
                      <w:szCs w:val="21"/>
                      <w:vertAlign w:val="baseline"/>
                      <w:lang w:val="en-US" w:eastAsia="zh-CN"/>
                    </w:rPr>
                    <w:t>216</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，已使用区域面积为200m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，剩余</w:t>
                  </w:r>
                  <w:r>
                    <w:rPr>
                      <w:rFonts w:hint="eastAsia" w:ascii="Times New Roman" w:hAnsi="Times New Roman" w:eastAsia="宋体"/>
                      <w:color w:val="auto"/>
                      <w:sz w:val="21"/>
                      <w:szCs w:val="21"/>
                      <w:vertAlign w:val="baseline"/>
                      <w:lang w:val="en-US" w:eastAsia="zh-CN"/>
                    </w:rPr>
                    <w:t>16</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，本次技改项目预计使用面积为10m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，可满足本项目需求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6</w:t>
                  </w:r>
                </w:p>
              </w:tc>
              <w:tc>
                <w:tcPr>
                  <w:tcW w:w="6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环保工程</w:t>
                  </w: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化粪池</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现有项目设置化粪池容积为10</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color w:val="auto"/>
                      <w:sz w:val="21"/>
                      <w:szCs w:val="21"/>
                      <w:vertAlign w:val="baseline"/>
                      <w:lang w:val="en-US" w:eastAsia="zh-CN"/>
                    </w:rPr>
                    <w:t>，现有项目单日生活污水排放量为2.4</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color w:val="auto"/>
                      <w:sz w:val="21"/>
                      <w:szCs w:val="21"/>
                      <w:vertAlign w:val="baseline"/>
                      <w:lang w:val="en-US" w:eastAsia="zh-CN"/>
                    </w:rPr>
                    <w:t>，剩余容量7.6</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color w:val="auto"/>
                      <w:sz w:val="21"/>
                      <w:szCs w:val="21"/>
                      <w:vertAlign w:val="baseline"/>
                      <w:lang w:val="en-US" w:eastAsia="zh-CN"/>
                    </w:rPr>
                    <w:t>，本项目单日生活污水排放量为0.5</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color w:val="auto"/>
                      <w:sz w:val="21"/>
                      <w:szCs w:val="21"/>
                      <w:vertAlign w:val="baseline"/>
                      <w:lang w:val="en-US" w:eastAsia="zh-CN"/>
                    </w:rPr>
                    <w:t>，可满足本项目需求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6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一般固废库</w:t>
                  </w:r>
                </w:p>
              </w:tc>
              <w:tc>
                <w:tcPr>
                  <w:tcW w:w="3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ascii="Times New Roman" w:hAnsi="Times New Roman"/>
                      <w:color w:val="auto"/>
                      <w:sz w:val="21"/>
                      <w:szCs w:val="21"/>
                    </w:rPr>
                    <w:t>本项目依托现有的</w:t>
                  </w:r>
                  <w:r>
                    <w:rPr>
                      <w:rFonts w:hint="eastAsia"/>
                      <w:color w:val="auto"/>
                      <w:sz w:val="21"/>
                      <w:szCs w:val="21"/>
                      <w:lang w:val="en-US" w:eastAsia="zh-CN"/>
                    </w:rPr>
                    <w:t>15</w:t>
                  </w:r>
                  <w:r>
                    <w:rPr>
                      <w:rFonts w:ascii="Times New Roman" w:hAnsi="Times New Roman"/>
                      <w:color w:val="auto"/>
                      <w:sz w:val="21"/>
                      <w:szCs w:val="21"/>
                    </w:rPr>
                    <w:t>m</w:t>
                  </w:r>
                  <w:r>
                    <w:rPr>
                      <w:rFonts w:ascii="Times New Roman" w:hAnsi="Times New Roman"/>
                      <w:color w:val="auto"/>
                      <w:sz w:val="21"/>
                      <w:szCs w:val="21"/>
                      <w:vertAlign w:val="superscript"/>
                    </w:rPr>
                    <w:t>2</w:t>
                  </w:r>
                  <w:r>
                    <w:rPr>
                      <w:rFonts w:ascii="Times New Roman" w:hAnsi="Times New Roman"/>
                      <w:color w:val="auto"/>
                      <w:sz w:val="21"/>
                      <w:szCs w:val="21"/>
                    </w:rPr>
                    <w:t>的一般工业固废库，最大贮存能力为</w:t>
                  </w:r>
                  <w:r>
                    <w:rPr>
                      <w:rFonts w:hint="eastAsia"/>
                      <w:color w:val="auto"/>
                      <w:sz w:val="21"/>
                      <w:szCs w:val="21"/>
                      <w:lang w:val="en-US" w:eastAsia="zh-CN"/>
                    </w:rPr>
                    <w:t>15</w:t>
                  </w:r>
                  <w:r>
                    <w:rPr>
                      <w:rFonts w:ascii="Times New Roman" w:hAnsi="Times New Roman"/>
                      <w:color w:val="auto"/>
                      <w:sz w:val="21"/>
                      <w:szCs w:val="21"/>
                    </w:rPr>
                    <w:t>t，现有项目一般工业固体废物产生量为</w:t>
                  </w:r>
                  <w:r>
                    <w:rPr>
                      <w:rFonts w:hint="eastAsia"/>
                      <w:color w:val="auto"/>
                      <w:sz w:val="21"/>
                      <w:szCs w:val="21"/>
                      <w:lang w:val="en-US" w:eastAsia="zh-CN"/>
                    </w:rPr>
                    <w:t>63.25</w:t>
                  </w:r>
                  <w:r>
                    <w:rPr>
                      <w:rFonts w:ascii="Times New Roman" w:hAnsi="Times New Roman"/>
                      <w:color w:val="auto"/>
                      <w:sz w:val="21"/>
                      <w:szCs w:val="21"/>
                    </w:rPr>
                    <w:t>t/a，企业每</w:t>
                  </w:r>
                  <w:r>
                    <w:rPr>
                      <w:rFonts w:hint="eastAsia"/>
                      <w:color w:val="auto"/>
                      <w:sz w:val="21"/>
                      <w:szCs w:val="21"/>
                      <w:lang w:val="en-US" w:eastAsia="zh-CN"/>
                    </w:rPr>
                    <w:t>两个月</w:t>
                  </w:r>
                  <w:r>
                    <w:rPr>
                      <w:rFonts w:ascii="Times New Roman" w:hAnsi="Times New Roman"/>
                      <w:color w:val="auto"/>
                      <w:sz w:val="21"/>
                      <w:szCs w:val="21"/>
                    </w:rPr>
                    <w:t>清运一次，现有最大储存量为</w:t>
                  </w:r>
                  <w:r>
                    <w:rPr>
                      <w:rFonts w:hint="eastAsia"/>
                      <w:color w:val="auto"/>
                      <w:sz w:val="21"/>
                      <w:szCs w:val="21"/>
                      <w:lang w:val="en-US" w:eastAsia="zh-CN"/>
                    </w:rPr>
                    <w:t>10.54</w:t>
                  </w:r>
                  <w:r>
                    <w:rPr>
                      <w:rFonts w:ascii="Times New Roman" w:hAnsi="Times New Roman"/>
                      <w:color w:val="auto"/>
                      <w:sz w:val="21"/>
                      <w:szCs w:val="21"/>
                    </w:rPr>
                    <w:t>t，剩余</w:t>
                  </w:r>
                  <w:r>
                    <w:rPr>
                      <w:rFonts w:hint="eastAsia"/>
                      <w:color w:val="auto"/>
                      <w:sz w:val="21"/>
                      <w:szCs w:val="21"/>
                      <w:lang w:val="en-US" w:eastAsia="zh-CN"/>
                    </w:rPr>
                    <w:t>4.46</w:t>
                  </w:r>
                  <w:r>
                    <w:rPr>
                      <w:rFonts w:ascii="Times New Roman" w:hAnsi="Times New Roman"/>
                      <w:color w:val="auto"/>
                      <w:sz w:val="21"/>
                      <w:szCs w:val="21"/>
                    </w:rPr>
                    <w:t>t 贮存余量，本项目</w:t>
                  </w:r>
                  <w:r>
                    <w:rPr>
                      <w:rFonts w:hint="eastAsia"/>
                      <w:color w:val="auto"/>
                      <w:sz w:val="21"/>
                      <w:szCs w:val="21"/>
                      <w:lang w:val="en-US" w:eastAsia="zh-CN"/>
                    </w:rPr>
                    <w:t>不新增</w:t>
                  </w:r>
                  <w:r>
                    <w:rPr>
                      <w:rFonts w:ascii="Times New Roman" w:hAnsi="Times New Roman"/>
                      <w:color w:val="auto"/>
                      <w:sz w:val="21"/>
                      <w:szCs w:val="21"/>
                    </w:rPr>
                    <w:t>一般固废，能够满足贮存能力要求。</w:t>
                  </w:r>
                </w:p>
              </w:tc>
            </w:tr>
          </w:tbl>
          <w:p>
            <w:pPr>
              <w:adjustRightInd w:val="0"/>
              <w:snapToGrid w:val="0"/>
              <w:spacing w:line="360" w:lineRule="auto"/>
              <w:ind w:firstLine="482" w:firstLineChars="200"/>
              <w:rPr>
                <w:rFonts w:ascii="Times New Roman" w:hAnsi="Times New Roman" w:eastAsia="宋体"/>
                <w:b/>
                <w:bCs/>
                <w:caps w:val="0"/>
                <w:color w:val="auto"/>
                <w:kern w:val="0"/>
                <w:sz w:val="24"/>
              </w:rPr>
            </w:pPr>
            <w:r>
              <w:rPr>
                <w:rFonts w:hint="eastAsia" w:ascii="Times New Roman" w:hAnsi="Times New Roman" w:eastAsia="宋体"/>
                <w:b/>
                <w:bCs/>
                <w:caps w:val="0"/>
                <w:color w:val="auto"/>
                <w:kern w:val="0"/>
                <w:sz w:val="24"/>
              </w:rPr>
              <w:t>3、产品方案</w:t>
            </w:r>
          </w:p>
          <w:p>
            <w:pPr>
              <w:adjustRightInd w:val="0"/>
              <w:snapToGrid w:val="0"/>
              <w:spacing w:line="360" w:lineRule="auto"/>
              <w:ind w:firstLine="480" w:firstLineChars="200"/>
              <w:rPr>
                <w:rFonts w:hint="eastAsia" w:ascii="Times New Roman" w:hAnsi="Times New Roman" w:eastAsia="宋体"/>
                <w:b/>
                <w:caps w:val="0"/>
                <w:color w:val="auto"/>
                <w:kern w:val="0"/>
                <w:sz w:val="24"/>
              </w:rPr>
            </w:pPr>
            <w:r>
              <w:rPr>
                <w:rFonts w:hint="eastAsia" w:ascii="Times New Roman" w:hAnsi="Times New Roman" w:eastAsia="宋体"/>
                <w:caps w:val="0"/>
                <w:color w:val="auto"/>
                <w:kern w:val="0"/>
                <w:sz w:val="24"/>
              </w:rPr>
              <w:t>项目</w:t>
            </w:r>
            <w:r>
              <w:rPr>
                <w:rFonts w:hint="eastAsia" w:ascii="Times New Roman" w:hAnsi="Times New Roman" w:eastAsia="宋体"/>
                <w:caps w:val="0"/>
                <w:color w:val="auto"/>
                <w:kern w:val="0"/>
                <w:sz w:val="24"/>
                <w:lang w:val="en-US" w:eastAsia="zh-CN"/>
              </w:rPr>
              <w:t>技改</w:t>
            </w:r>
            <w:r>
              <w:rPr>
                <w:rFonts w:hint="eastAsia" w:ascii="Times New Roman" w:hAnsi="Times New Roman" w:eastAsia="宋体"/>
                <w:caps w:val="0"/>
                <w:color w:val="auto"/>
                <w:kern w:val="0"/>
                <w:sz w:val="24"/>
              </w:rPr>
              <w:t>前后</w:t>
            </w:r>
            <w:r>
              <w:rPr>
                <w:rFonts w:ascii="Times New Roman" w:hAnsi="Times New Roman" w:eastAsia="宋体"/>
                <w:caps w:val="0"/>
                <w:color w:val="auto"/>
                <w:kern w:val="0"/>
                <w:sz w:val="24"/>
              </w:rPr>
              <w:t>产品方案见表</w:t>
            </w:r>
            <w:r>
              <w:rPr>
                <w:rFonts w:hint="eastAsia" w:ascii="Times New Roman" w:hAnsi="Times New Roman" w:eastAsia="宋体"/>
                <w:caps w:val="0"/>
                <w:color w:val="auto"/>
                <w:kern w:val="0"/>
                <w:sz w:val="24"/>
              </w:rPr>
              <w:t>2</w:t>
            </w:r>
            <w:r>
              <w:rPr>
                <w:rFonts w:ascii="Times New Roman" w:hAnsi="Times New Roman" w:eastAsia="宋体"/>
                <w:caps w:val="0"/>
                <w:color w:val="auto"/>
                <w:kern w:val="0"/>
                <w:sz w:val="24"/>
              </w:rPr>
              <w:t>-</w:t>
            </w:r>
            <w:r>
              <w:rPr>
                <w:rFonts w:hint="eastAsia" w:ascii="Times New Roman" w:hAnsi="Times New Roman" w:eastAsia="宋体"/>
                <w:caps w:val="0"/>
                <w:color w:val="auto"/>
                <w:kern w:val="0"/>
                <w:sz w:val="24"/>
                <w:lang w:val="en-US" w:eastAsia="zh-CN"/>
              </w:rPr>
              <w:t>3</w:t>
            </w:r>
            <w:r>
              <w:rPr>
                <w:rFonts w:ascii="Times New Roman" w:hAnsi="Times New Roman" w:eastAsia="宋体"/>
                <w:caps w:val="0"/>
                <w:color w:val="auto"/>
                <w:kern w:val="0"/>
                <w:sz w:val="24"/>
              </w:rPr>
              <w:t>。</w:t>
            </w:r>
          </w:p>
          <w:p>
            <w:pPr>
              <w:jc w:val="center"/>
              <w:rPr>
                <w:rFonts w:hint="eastAsia" w:ascii="Times New Roman" w:hAnsi="Times New Roman" w:eastAsia="宋体"/>
                <w:b/>
                <w:caps w:val="0"/>
                <w:color w:val="auto"/>
                <w:kern w:val="0"/>
                <w:szCs w:val="21"/>
              </w:rPr>
            </w:pPr>
            <w:r>
              <w:rPr>
                <w:rFonts w:hint="eastAsia" w:ascii="Times New Roman" w:hAnsi="Times New Roman" w:eastAsia="宋体"/>
                <w:b/>
                <w:caps w:val="0"/>
                <w:color w:val="auto"/>
                <w:kern w:val="0"/>
                <w:szCs w:val="21"/>
              </w:rPr>
              <w:t>表2-</w:t>
            </w:r>
            <w:r>
              <w:rPr>
                <w:rFonts w:hint="eastAsia" w:ascii="Times New Roman" w:hAnsi="Times New Roman" w:eastAsia="宋体"/>
                <w:b/>
                <w:caps w:val="0"/>
                <w:color w:val="auto"/>
                <w:kern w:val="0"/>
                <w:szCs w:val="21"/>
                <w:lang w:val="en-US" w:eastAsia="zh-CN"/>
              </w:rPr>
              <w:t>3</w:t>
            </w:r>
            <w:r>
              <w:rPr>
                <w:rFonts w:hint="eastAsia" w:ascii="Times New Roman" w:hAnsi="Times New Roman" w:eastAsia="宋体"/>
                <w:b/>
                <w:caps w:val="0"/>
                <w:color w:val="auto"/>
                <w:kern w:val="0"/>
                <w:szCs w:val="21"/>
              </w:rPr>
              <w:t xml:space="preserve">  产品方案一览表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232"/>
              <w:gridCol w:w="1532"/>
              <w:gridCol w:w="1091"/>
              <w:gridCol w:w="1121"/>
              <w:gridCol w:w="1333"/>
              <w:gridCol w:w="1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restart"/>
                  <w:tcBorders>
                    <w:tl2br w:val="nil"/>
                    <w:tr2bl w:val="nil"/>
                  </w:tcBorders>
                  <w:vAlign w:val="center"/>
                </w:tcPr>
                <w:p>
                  <w:pPr>
                    <w:adjustRightInd w:val="0"/>
                    <w:snapToGrid w:val="0"/>
                    <w:spacing w:line="320" w:lineRule="exact"/>
                    <w:jc w:val="center"/>
                    <w:rPr>
                      <w:rFonts w:ascii="Times New Roman" w:hAnsi="Times New Roman" w:eastAsia="宋体"/>
                      <w:caps w:val="0"/>
                      <w:color w:val="auto"/>
                      <w:szCs w:val="21"/>
                    </w:rPr>
                  </w:pPr>
                  <w:r>
                    <w:rPr>
                      <w:rFonts w:hint="eastAsia" w:ascii="Times New Roman" w:hAnsi="Times New Roman" w:eastAsia="宋体"/>
                      <w:b/>
                      <w:bCs/>
                      <w:caps w:val="0"/>
                      <w:color w:val="auto"/>
                      <w:szCs w:val="21"/>
                    </w:rPr>
                    <w:t>工程名称（车间或生产线）</w:t>
                  </w:r>
                </w:p>
              </w:tc>
              <w:tc>
                <w:tcPr>
                  <w:tcW w:w="747" w:type="pct"/>
                  <w:vMerge w:val="restart"/>
                  <w:tcBorders>
                    <w:tl2br w:val="nil"/>
                    <w:tr2bl w:val="nil"/>
                  </w:tcBorders>
                  <w:vAlign w:val="center"/>
                </w:tcPr>
                <w:p>
                  <w:pPr>
                    <w:adjustRightInd w:val="0"/>
                    <w:snapToGrid w:val="0"/>
                    <w:spacing w:line="320" w:lineRule="exact"/>
                    <w:jc w:val="center"/>
                    <w:rPr>
                      <w:rFonts w:ascii="Times New Roman" w:hAnsi="Times New Roman" w:eastAsia="宋体"/>
                      <w:caps w:val="0"/>
                      <w:color w:val="auto"/>
                      <w:szCs w:val="21"/>
                    </w:rPr>
                  </w:pPr>
                  <w:r>
                    <w:rPr>
                      <w:rFonts w:hint="eastAsia" w:ascii="Times New Roman" w:hAnsi="Times New Roman" w:eastAsia="宋体"/>
                      <w:b/>
                      <w:bCs/>
                      <w:caps w:val="0"/>
                      <w:color w:val="auto"/>
                      <w:szCs w:val="21"/>
                    </w:rPr>
                    <w:t>产品名称</w:t>
                  </w:r>
                </w:p>
              </w:tc>
              <w:tc>
                <w:tcPr>
                  <w:tcW w:w="927" w:type="pct"/>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b/>
                      <w:bCs/>
                      <w:caps w:val="0"/>
                      <w:color w:val="auto"/>
                      <w:szCs w:val="21"/>
                      <w:lang w:val="en-US" w:eastAsia="zh-CN"/>
                    </w:rPr>
                  </w:pPr>
                  <w:r>
                    <w:rPr>
                      <w:rFonts w:hint="eastAsia" w:ascii="Times New Roman" w:hAnsi="Times New Roman" w:eastAsia="宋体"/>
                      <w:b/>
                      <w:bCs/>
                      <w:caps w:val="0"/>
                      <w:color w:val="auto"/>
                      <w:szCs w:val="21"/>
                      <w:lang w:val="en-US" w:eastAsia="zh-CN"/>
                    </w:rPr>
                    <w:t>产品规格</w:t>
                  </w:r>
                </w:p>
              </w:tc>
              <w:tc>
                <w:tcPr>
                  <w:tcW w:w="2149" w:type="pct"/>
                  <w:gridSpan w:val="3"/>
                  <w:tcBorders>
                    <w:tl2br w:val="nil"/>
                    <w:tr2bl w:val="nil"/>
                  </w:tcBorders>
                  <w:vAlign w:val="center"/>
                </w:tcPr>
                <w:p>
                  <w:pPr>
                    <w:adjustRightInd w:val="0"/>
                    <w:snapToGrid w:val="0"/>
                    <w:spacing w:line="320" w:lineRule="exact"/>
                    <w:jc w:val="center"/>
                    <w:rPr>
                      <w:rFonts w:hint="eastAsia" w:ascii="Times New Roman" w:hAnsi="Times New Roman" w:eastAsia="宋体"/>
                      <w:b/>
                      <w:bCs/>
                      <w:caps w:val="0"/>
                      <w:color w:val="auto"/>
                      <w:szCs w:val="21"/>
                      <w:lang w:eastAsia="zh-CN"/>
                    </w:rPr>
                  </w:pPr>
                  <w:r>
                    <w:rPr>
                      <w:rFonts w:hint="eastAsia" w:ascii="Times New Roman" w:hAnsi="Times New Roman" w:eastAsia="宋体"/>
                      <w:b/>
                      <w:bCs/>
                      <w:caps w:val="0"/>
                      <w:color w:val="auto"/>
                      <w:szCs w:val="21"/>
                    </w:rPr>
                    <w:t>设计能力</w:t>
                  </w:r>
                  <w:r>
                    <w:rPr>
                      <w:rFonts w:hint="eastAsia" w:ascii="Times New Roman" w:hAnsi="Times New Roman" w:eastAsia="宋体"/>
                      <w:b/>
                      <w:bCs/>
                      <w:caps w:val="0"/>
                      <w:color w:val="auto"/>
                      <w:szCs w:val="21"/>
                      <w:lang w:eastAsia="zh-CN"/>
                    </w:rPr>
                    <w:t>（</w:t>
                  </w:r>
                  <w:r>
                    <w:rPr>
                      <w:rFonts w:hint="eastAsia" w:ascii="Times New Roman" w:hAnsi="Times New Roman" w:eastAsia="宋体"/>
                      <w:b/>
                      <w:bCs/>
                      <w:caps w:val="0"/>
                      <w:color w:val="auto"/>
                      <w:szCs w:val="21"/>
                      <w:lang w:val="en-US" w:eastAsia="zh-CN"/>
                    </w:rPr>
                    <w:t>t/a</w:t>
                  </w:r>
                  <w:r>
                    <w:rPr>
                      <w:rFonts w:hint="eastAsia" w:ascii="Times New Roman" w:hAnsi="Times New Roman" w:eastAsia="宋体"/>
                      <w:b/>
                      <w:bCs/>
                      <w:caps w:val="0"/>
                      <w:color w:val="auto"/>
                      <w:szCs w:val="21"/>
                      <w:lang w:eastAsia="zh-CN"/>
                    </w:rPr>
                    <w:t>）</w:t>
                  </w:r>
                </w:p>
              </w:tc>
              <w:tc>
                <w:tcPr>
                  <w:tcW w:w="613" w:type="pct"/>
                  <w:vMerge w:val="restart"/>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rPr>
                    <w:t>年运行时数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continue"/>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p>
              </w:tc>
              <w:tc>
                <w:tcPr>
                  <w:tcW w:w="747" w:type="pct"/>
                  <w:vMerge w:val="continue"/>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p>
              </w:tc>
              <w:tc>
                <w:tcPr>
                  <w:tcW w:w="927" w:type="pct"/>
                  <w:vMerge w:val="continue"/>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p>
              </w:tc>
              <w:tc>
                <w:tcPr>
                  <w:tcW w:w="662" w:type="pct"/>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hint="eastAsia" w:ascii="Times New Roman" w:hAnsi="Times New Roman" w:eastAsia="宋体"/>
                      <w:b/>
                      <w:bCs/>
                      <w:caps w:val="0"/>
                      <w:color w:val="auto"/>
                      <w:szCs w:val="21"/>
                    </w:rPr>
                    <w:t>前</w:t>
                  </w:r>
                </w:p>
              </w:tc>
              <w:tc>
                <w:tcPr>
                  <w:tcW w:w="680" w:type="pct"/>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hint="eastAsia" w:ascii="Times New Roman" w:hAnsi="Times New Roman" w:eastAsia="宋体"/>
                      <w:b/>
                      <w:bCs/>
                      <w:caps w:val="0"/>
                      <w:color w:val="auto"/>
                      <w:szCs w:val="21"/>
                    </w:rPr>
                    <w:t>项目</w:t>
                  </w:r>
                </w:p>
              </w:tc>
              <w:tc>
                <w:tcPr>
                  <w:tcW w:w="805" w:type="pct"/>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hint="eastAsia" w:ascii="Times New Roman" w:hAnsi="Times New Roman" w:eastAsia="宋体"/>
                      <w:b/>
                      <w:bCs/>
                      <w:caps w:val="0"/>
                      <w:color w:val="auto"/>
                      <w:szCs w:val="21"/>
                    </w:rPr>
                    <w:t>后全厂</w:t>
                  </w:r>
                </w:p>
              </w:tc>
              <w:tc>
                <w:tcPr>
                  <w:tcW w:w="613" w:type="pct"/>
                  <w:vMerge w:val="continue"/>
                  <w:tcBorders>
                    <w:tl2br w:val="nil"/>
                    <w:tr2bl w:val="nil"/>
                  </w:tcBorders>
                  <w:vAlign w:val="center"/>
                </w:tcPr>
                <w:p>
                  <w:pPr>
                    <w:adjustRightInd w:val="0"/>
                    <w:snapToGrid w:val="0"/>
                    <w:spacing w:line="320" w:lineRule="exact"/>
                    <w:jc w:val="center"/>
                    <w:rPr>
                      <w:rFonts w:ascii="Times New Roman" w:hAnsi="Times New Roman" w:eastAsia="宋体"/>
                      <w:b/>
                      <w:bCs/>
                      <w: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3" w:type="pct"/>
                  <w:vMerge w:val="restart"/>
                  <w:tcBorders>
                    <w:tl2br w:val="nil"/>
                    <w:tr2bl w:val="nil"/>
                  </w:tcBorders>
                  <w:vAlign w:val="center"/>
                </w:tcPr>
                <w:p>
                  <w:pPr>
                    <w:pStyle w:val="33"/>
                    <w:rPr>
                      <w:rFonts w:ascii="Times New Roman" w:hAnsi="Times New Roman" w:eastAsia="宋体"/>
                      <w:bCs/>
                      <w:caps w:val="0"/>
                      <w:color w:val="auto"/>
                    </w:rPr>
                  </w:pPr>
                  <w:r>
                    <w:rPr>
                      <w:rFonts w:hint="eastAsia" w:ascii="Times New Roman" w:hAnsi="Times New Roman" w:eastAsia="宋体"/>
                      <w:caps w:val="0"/>
                      <w:color w:val="auto"/>
                      <w:lang w:val="en-US" w:eastAsia="zh-CN"/>
                    </w:rPr>
                    <w:t>机械加工生</w:t>
                  </w:r>
                  <w:r>
                    <w:rPr>
                      <w:rFonts w:ascii="Times New Roman" w:hAnsi="Times New Roman" w:eastAsia="宋体"/>
                      <w:caps w:val="0"/>
                      <w:color w:val="auto"/>
                    </w:rPr>
                    <w:t>产线</w:t>
                  </w:r>
                </w:p>
              </w:tc>
              <w:tc>
                <w:tcPr>
                  <w:tcW w:w="747" w:type="pct"/>
                  <w:vMerge w:val="restart"/>
                  <w:tcBorders>
                    <w:tl2br w:val="nil"/>
                    <w:tr2bl w:val="nil"/>
                  </w:tcBorders>
                  <w:vAlign w:val="center"/>
                </w:tcPr>
                <w:p>
                  <w:pPr>
                    <w:pStyle w:val="33"/>
                    <w:rPr>
                      <w:rFonts w:hint="default" w:ascii="Times New Roman" w:hAnsi="Times New Roman" w:eastAsia="宋体"/>
                      <w:bCs/>
                      <w:caps w:val="0"/>
                      <w:color w:val="auto"/>
                      <w:lang w:val="en-US" w:eastAsia="zh-CN"/>
                    </w:rPr>
                  </w:pPr>
                  <w:r>
                    <w:rPr>
                      <w:rFonts w:hint="eastAsia" w:ascii="Times New Roman" w:hAnsi="Times New Roman" w:eastAsia="宋体"/>
                      <w:bCs/>
                      <w:caps w:val="0"/>
                      <w:color w:val="auto"/>
                      <w:lang w:val="en-US" w:eastAsia="zh-CN"/>
                    </w:rPr>
                    <w:t>港口自动化机械配套件</w:t>
                  </w:r>
                </w:p>
              </w:tc>
              <w:tc>
                <w:tcPr>
                  <w:tcW w:w="927" w:type="pct"/>
                  <w:tcBorders>
                    <w:tl2br w:val="nil"/>
                    <w:tr2bl w:val="nil"/>
                  </w:tcBorders>
                  <w:vAlign w:val="center"/>
                </w:tcPr>
                <w:p>
                  <w:pPr>
                    <w:pStyle w:val="33"/>
                    <w:rPr>
                      <w:rFonts w:hint="default" w:ascii="Times New Roman" w:hAnsi="Times New Roman" w:eastAsia="宋体"/>
                      <w:bCs/>
                      <w:caps w:val="0"/>
                      <w:color w:val="auto"/>
                      <w:lang w:val="en-US" w:eastAsia="zh-CN"/>
                    </w:rPr>
                  </w:pPr>
                  <w:r>
                    <w:rPr>
                      <w:rFonts w:hint="eastAsia" w:ascii="Times New Roman" w:hAnsi="Times New Roman" w:eastAsia="宋体"/>
                      <w:caps w:val="0"/>
                      <w:color w:val="auto"/>
                      <w:lang w:val="en-US" w:eastAsia="zh-CN"/>
                    </w:rPr>
                    <w:t>起升机构尺寸：基座直径1m，吊臂长度10m</w:t>
                  </w:r>
                </w:p>
              </w:tc>
              <w:tc>
                <w:tcPr>
                  <w:tcW w:w="662" w:type="pct"/>
                  <w:vMerge w:val="restart"/>
                  <w:tcBorders>
                    <w:tl2br w:val="nil"/>
                    <w:tr2bl w:val="nil"/>
                  </w:tcBorders>
                  <w:vAlign w:val="center"/>
                </w:tcPr>
                <w:p>
                  <w:pPr>
                    <w:pStyle w:val="33"/>
                    <w:rPr>
                      <w:rFonts w:hint="default" w:ascii="Times New Roman" w:hAnsi="Times New Roman" w:eastAsia="宋体"/>
                      <w:bCs/>
                      <w:caps w:val="0"/>
                      <w:color w:val="auto"/>
                      <w:lang w:val="en-US" w:eastAsia="zh-CN"/>
                    </w:rPr>
                  </w:pPr>
                  <w:r>
                    <w:rPr>
                      <w:rFonts w:hint="eastAsia" w:ascii="Times New Roman" w:hAnsi="Times New Roman" w:eastAsia="宋体"/>
                      <w:bCs/>
                      <w:caps w:val="0"/>
                      <w:color w:val="auto"/>
                      <w:lang w:val="en-US" w:eastAsia="zh-CN"/>
                    </w:rPr>
                    <w:t>1200</w:t>
                  </w:r>
                </w:p>
              </w:tc>
              <w:tc>
                <w:tcPr>
                  <w:tcW w:w="680" w:type="pct"/>
                  <w:vMerge w:val="restart"/>
                  <w:tcBorders>
                    <w:tl2br w:val="nil"/>
                    <w:tr2bl w:val="nil"/>
                  </w:tcBorders>
                  <w:vAlign w:val="center"/>
                </w:tcPr>
                <w:p>
                  <w:pPr>
                    <w:pStyle w:val="33"/>
                    <w:rPr>
                      <w:rFonts w:ascii="Times New Roman" w:hAnsi="Times New Roman" w:eastAsia="宋体"/>
                      <w:bCs/>
                      <w:caps w:val="0"/>
                      <w:color w:val="auto"/>
                    </w:rPr>
                  </w:pPr>
                  <w:r>
                    <w:rPr>
                      <w:rFonts w:hint="eastAsia" w:ascii="Times New Roman" w:hAnsi="Times New Roman" w:eastAsia="宋体"/>
                      <w:bCs/>
                      <w:caps w:val="0"/>
                      <w:color w:val="auto"/>
                    </w:rPr>
                    <w:t>0</w:t>
                  </w:r>
                </w:p>
              </w:tc>
              <w:tc>
                <w:tcPr>
                  <w:tcW w:w="805" w:type="pct"/>
                  <w:vMerge w:val="restart"/>
                  <w:tcBorders>
                    <w:tl2br w:val="nil"/>
                    <w:tr2bl w:val="nil"/>
                  </w:tcBorders>
                  <w:vAlign w:val="center"/>
                </w:tcPr>
                <w:p>
                  <w:pPr>
                    <w:pStyle w:val="33"/>
                    <w:rPr>
                      <w:rFonts w:hint="default" w:ascii="Times New Roman" w:hAnsi="Times New Roman" w:eastAsia="宋体"/>
                      <w:bCs/>
                      <w:caps w:val="0"/>
                      <w:color w:val="auto"/>
                      <w:lang w:val="en-US" w:eastAsia="zh-CN"/>
                    </w:rPr>
                  </w:pPr>
                  <w:r>
                    <w:rPr>
                      <w:rFonts w:hint="eastAsia" w:ascii="Times New Roman" w:hAnsi="Times New Roman" w:eastAsia="宋体"/>
                      <w:bCs/>
                      <w:caps w:val="0"/>
                      <w:color w:val="auto"/>
                      <w:lang w:val="en-US" w:eastAsia="zh-CN"/>
                    </w:rPr>
                    <w:t>1200</w:t>
                  </w:r>
                </w:p>
              </w:tc>
              <w:tc>
                <w:tcPr>
                  <w:tcW w:w="613" w:type="pct"/>
                  <w:vMerge w:val="restart"/>
                  <w:tcBorders>
                    <w:tl2br w:val="nil"/>
                    <w:tr2bl w:val="nil"/>
                  </w:tcBorders>
                  <w:vAlign w:val="center"/>
                </w:tcPr>
                <w:p>
                  <w:pPr>
                    <w:adjustRightInd w:val="0"/>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2</w:t>
                  </w:r>
                  <w:r>
                    <w:rPr>
                      <w:rFonts w:hint="eastAsia" w:ascii="Times New Roman" w:hAnsi="Times New Roman" w:eastAsia="宋体"/>
                      <w:caps w:val="0"/>
                      <w:color w:val="auto"/>
                      <w:szCs w:val="21"/>
                      <w:lang w:val="en-US" w:eastAsia="zh-CN"/>
                    </w:rPr>
                    <w:t>4</w:t>
                  </w:r>
                  <w:r>
                    <w:rPr>
                      <w:rFonts w:hint="eastAsia" w:ascii="Times New Roman" w:hAnsi="Times New Roman" w:eastAsia="宋体"/>
                      <w:caps w:val="0"/>
                      <w:color w:val="auto"/>
                      <w:szCs w:val="21"/>
                    </w:rPr>
                    <w:t>00h/a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3" w:type="pct"/>
                  <w:vMerge w:val="continue"/>
                  <w:tcBorders>
                    <w:tl2br w:val="nil"/>
                    <w:tr2bl w:val="nil"/>
                  </w:tcBorders>
                  <w:vAlign w:val="center"/>
                </w:tcPr>
                <w:p>
                  <w:pPr>
                    <w:pStyle w:val="33"/>
                    <w:rPr>
                      <w:rFonts w:hint="eastAsia" w:ascii="Times New Roman" w:hAnsi="Times New Roman" w:eastAsia="宋体"/>
                      <w:caps w:val="0"/>
                      <w:color w:val="auto"/>
                      <w:lang w:val="en-US" w:eastAsia="zh-CN"/>
                    </w:rPr>
                  </w:pPr>
                </w:p>
              </w:tc>
              <w:tc>
                <w:tcPr>
                  <w:tcW w:w="747" w:type="pct"/>
                  <w:vMerge w:val="continue"/>
                  <w:tcBorders>
                    <w:tl2br w:val="nil"/>
                    <w:tr2bl w:val="nil"/>
                  </w:tcBorders>
                  <w:vAlign w:val="center"/>
                </w:tcPr>
                <w:p>
                  <w:pPr>
                    <w:pStyle w:val="33"/>
                    <w:rPr>
                      <w:rFonts w:hint="eastAsia" w:ascii="Times New Roman" w:hAnsi="Times New Roman" w:eastAsia="宋体"/>
                      <w:bCs/>
                      <w:caps w:val="0"/>
                      <w:color w:val="auto"/>
                      <w:lang w:val="en-US" w:eastAsia="zh-CN"/>
                    </w:rPr>
                  </w:pPr>
                </w:p>
              </w:tc>
              <w:tc>
                <w:tcPr>
                  <w:tcW w:w="927" w:type="pct"/>
                  <w:tcBorders>
                    <w:tl2br w:val="nil"/>
                    <w:tr2bl w:val="nil"/>
                  </w:tcBorders>
                  <w:vAlign w:val="center"/>
                </w:tcPr>
                <w:p>
                  <w:pPr>
                    <w:pStyle w:val="33"/>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俯仰机构尺寸：舵面积10m</w:t>
                  </w:r>
                  <w:r>
                    <w:rPr>
                      <w:rFonts w:hint="eastAsia" w:ascii="Times New Roman" w:hAnsi="Times New Roman" w:eastAsia="宋体"/>
                      <w:caps w:val="0"/>
                      <w:color w:val="auto"/>
                      <w:sz w:val="21"/>
                      <w:vertAlign w:val="superscript"/>
                      <w:lang w:val="en-US" w:eastAsia="zh-CN"/>
                    </w:rPr>
                    <w:t>2</w:t>
                  </w:r>
                  <w:r>
                    <w:rPr>
                      <w:rFonts w:hint="eastAsia" w:ascii="Times New Roman" w:hAnsi="Times New Roman" w:eastAsia="宋体"/>
                      <w:caps w:val="0"/>
                      <w:color w:val="auto"/>
                      <w:lang w:val="en-US" w:eastAsia="zh-CN"/>
                    </w:rPr>
                    <w:t>，舵轴直径15cm</w:t>
                  </w:r>
                </w:p>
              </w:tc>
              <w:tc>
                <w:tcPr>
                  <w:tcW w:w="662" w:type="pct"/>
                  <w:vMerge w:val="continue"/>
                  <w:tcBorders>
                    <w:tl2br w:val="nil"/>
                    <w:tr2bl w:val="nil"/>
                  </w:tcBorders>
                  <w:vAlign w:val="center"/>
                </w:tcPr>
                <w:p>
                  <w:pPr>
                    <w:pStyle w:val="33"/>
                    <w:rPr>
                      <w:rFonts w:hint="eastAsia" w:ascii="Times New Roman" w:hAnsi="Times New Roman" w:eastAsia="宋体"/>
                      <w:bCs/>
                      <w:caps w:val="0"/>
                      <w:color w:val="auto"/>
                      <w:lang w:val="en-US" w:eastAsia="zh-CN"/>
                    </w:rPr>
                  </w:pPr>
                </w:p>
              </w:tc>
              <w:tc>
                <w:tcPr>
                  <w:tcW w:w="680" w:type="pct"/>
                  <w:vMerge w:val="continue"/>
                  <w:tcBorders>
                    <w:tl2br w:val="nil"/>
                    <w:tr2bl w:val="nil"/>
                  </w:tcBorders>
                  <w:vAlign w:val="center"/>
                </w:tcPr>
                <w:p>
                  <w:pPr>
                    <w:pStyle w:val="33"/>
                    <w:rPr>
                      <w:rFonts w:hint="eastAsia" w:ascii="Times New Roman" w:hAnsi="Times New Roman" w:eastAsia="宋体"/>
                      <w:bCs/>
                      <w:caps w:val="0"/>
                      <w:color w:val="auto"/>
                    </w:rPr>
                  </w:pPr>
                </w:p>
              </w:tc>
              <w:tc>
                <w:tcPr>
                  <w:tcW w:w="805" w:type="pct"/>
                  <w:vMerge w:val="continue"/>
                  <w:tcBorders>
                    <w:tl2br w:val="nil"/>
                    <w:tr2bl w:val="nil"/>
                  </w:tcBorders>
                  <w:vAlign w:val="center"/>
                </w:tcPr>
                <w:p>
                  <w:pPr>
                    <w:pStyle w:val="33"/>
                    <w:rPr>
                      <w:rFonts w:hint="eastAsia" w:ascii="Times New Roman" w:hAnsi="Times New Roman" w:eastAsia="宋体"/>
                      <w:bCs/>
                      <w:caps w:val="0"/>
                      <w:color w:val="auto"/>
                      <w:lang w:val="en-US" w:eastAsia="zh-CN"/>
                    </w:rPr>
                  </w:pPr>
                </w:p>
              </w:tc>
              <w:tc>
                <w:tcPr>
                  <w:tcW w:w="613" w:type="pct"/>
                  <w:vMerge w:val="continue"/>
                  <w:tcBorders>
                    <w:tl2br w:val="nil"/>
                    <w:tr2bl w:val="nil"/>
                  </w:tcBorders>
                  <w:vAlign w:val="center"/>
                </w:tcPr>
                <w:p>
                  <w:pPr>
                    <w:adjustRightInd w:val="0"/>
                    <w:snapToGrid w:val="0"/>
                    <w:jc w:val="center"/>
                    <w:rPr>
                      <w:rFonts w:hint="eastAsia" w:ascii="Times New Roman" w:hAnsi="Times New Roman" w:eastAsia="宋体"/>
                      <w: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3" w:type="pct"/>
                  <w:vMerge w:val="continue"/>
                  <w:tcBorders>
                    <w:tl2br w:val="nil"/>
                    <w:tr2bl w:val="nil"/>
                  </w:tcBorders>
                  <w:vAlign w:val="center"/>
                </w:tcPr>
                <w:p>
                  <w:pPr>
                    <w:pStyle w:val="33"/>
                    <w:rPr>
                      <w:rFonts w:hint="eastAsia" w:ascii="Times New Roman" w:hAnsi="Times New Roman" w:eastAsia="宋体"/>
                      <w:caps w:val="0"/>
                      <w:color w:val="auto"/>
                      <w:lang w:val="en-US" w:eastAsia="zh-CN"/>
                    </w:rPr>
                  </w:pPr>
                </w:p>
              </w:tc>
              <w:tc>
                <w:tcPr>
                  <w:tcW w:w="747" w:type="pct"/>
                  <w:vMerge w:val="continue"/>
                  <w:tcBorders>
                    <w:tl2br w:val="nil"/>
                    <w:tr2bl w:val="nil"/>
                  </w:tcBorders>
                  <w:vAlign w:val="center"/>
                </w:tcPr>
                <w:p>
                  <w:pPr>
                    <w:pStyle w:val="33"/>
                    <w:rPr>
                      <w:rFonts w:hint="eastAsia" w:ascii="Times New Roman" w:hAnsi="Times New Roman" w:eastAsia="宋体"/>
                      <w:bCs/>
                      <w:caps w:val="0"/>
                      <w:color w:val="auto"/>
                      <w:lang w:val="en-US" w:eastAsia="zh-CN"/>
                    </w:rPr>
                  </w:pPr>
                </w:p>
              </w:tc>
              <w:tc>
                <w:tcPr>
                  <w:tcW w:w="927" w:type="pct"/>
                  <w:tcBorders>
                    <w:tl2br w:val="nil"/>
                    <w:tr2bl w:val="nil"/>
                  </w:tcBorders>
                  <w:vAlign w:val="center"/>
                </w:tcPr>
                <w:p>
                  <w:pPr>
                    <w:pStyle w:val="33"/>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锚定装置尺寸： 直径: Φ160 mm，长度10m</w:t>
                  </w:r>
                </w:p>
              </w:tc>
              <w:tc>
                <w:tcPr>
                  <w:tcW w:w="662" w:type="pct"/>
                  <w:vMerge w:val="continue"/>
                  <w:tcBorders>
                    <w:tl2br w:val="nil"/>
                    <w:tr2bl w:val="nil"/>
                  </w:tcBorders>
                  <w:vAlign w:val="center"/>
                </w:tcPr>
                <w:p>
                  <w:pPr>
                    <w:pStyle w:val="33"/>
                    <w:rPr>
                      <w:rFonts w:hint="eastAsia" w:ascii="Times New Roman" w:hAnsi="Times New Roman" w:eastAsia="宋体"/>
                      <w:bCs/>
                      <w:caps w:val="0"/>
                      <w:color w:val="auto"/>
                      <w:lang w:val="en-US" w:eastAsia="zh-CN"/>
                    </w:rPr>
                  </w:pPr>
                </w:p>
              </w:tc>
              <w:tc>
                <w:tcPr>
                  <w:tcW w:w="680" w:type="pct"/>
                  <w:vMerge w:val="continue"/>
                  <w:tcBorders>
                    <w:tl2br w:val="nil"/>
                    <w:tr2bl w:val="nil"/>
                  </w:tcBorders>
                  <w:vAlign w:val="center"/>
                </w:tcPr>
                <w:p>
                  <w:pPr>
                    <w:pStyle w:val="33"/>
                    <w:rPr>
                      <w:rFonts w:hint="eastAsia" w:ascii="Times New Roman" w:hAnsi="Times New Roman" w:eastAsia="宋体"/>
                      <w:bCs/>
                      <w:caps w:val="0"/>
                      <w:color w:val="auto"/>
                    </w:rPr>
                  </w:pPr>
                </w:p>
              </w:tc>
              <w:tc>
                <w:tcPr>
                  <w:tcW w:w="805" w:type="pct"/>
                  <w:vMerge w:val="continue"/>
                  <w:tcBorders>
                    <w:tl2br w:val="nil"/>
                    <w:tr2bl w:val="nil"/>
                  </w:tcBorders>
                  <w:vAlign w:val="center"/>
                </w:tcPr>
                <w:p>
                  <w:pPr>
                    <w:pStyle w:val="33"/>
                    <w:rPr>
                      <w:rFonts w:hint="eastAsia" w:ascii="Times New Roman" w:hAnsi="Times New Roman" w:eastAsia="宋体"/>
                      <w:bCs/>
                      <w:caps w:val="0"/>
                      <w:color w:val="auto"/>
                      <w:lang w:val="en-US" w:eastAsia="zh-CN"/>
                    </w:rPr>
                  </w:pPr>
                </w:p>
              </w:tc>
              <w:tc>
                <w:tcPr>
                  <w:tcW w:w="613" w:type="pct"/>
                  <w:vMerge w:val="continue"/>
                  <w:tcBorders>
                    <w:tl2br w:val="nil"/>
                    <w:tr2bl w:val="nil"/>
                  </w:tcBorders>
                  <w:vAlign w:val="center"/>
                </w:tcPr>
                <w:p>
                  <w:pPr>
                    <w:adjustRightInd w:val="0"/>
                    <w:snapToGrid w:val="0"/>
                    <w:jc w:val="center"/>
                    <w:rPr>
                      <w:rFonts w:hint="eastAsia" w:ascii="Times New Roman" w:hAnsi="Times New Roman" w:eastAsia="宋体"/>
                      <w:caps w:val="0"/>
                      <w:color w:val="auto"/>
                      <w:szCs w:val="21"/>
                    </w:rPr>
                  </w:pPr>
                </w:p>
              </w:tc>
            </w:tr>
          </w:tbl>
          <w:p>
            <w:pPr>
              <w:adjustRightInd w:val="0"/>
              <w:snapToGrid w:val="0"/>
              <w:spacing w:line="360" w:lineRule="auto"/>
              <w:ind w:firstLine="482" w:firstLineChars="200"/>
              <w:rPr>
                <w:rFonts w:ascii="Times New Roman" w:hAnsi="Times New Roman" w:eastAsia="宋体"/>
                <w:b/>
                <w:bCs/>
                <w:caps w:val="0"/>
                <w:color w:val="auto"/>
                <w:sz w:val="24"/>
              </w:rPr>
            </w:pPr>
            <w:r>
              <w:rPr>
                <w:rFonts w:hint="eastAsia" w:ascii="Times New Roman" w:hAnsi="Times New Roman" w:eastAsia="宋体"/>
                <w:b/>
                <w:bCs/>
                <w:caps w:val="0"/>
                <w:color w:val="auto"/>
                <w:sz w:val="24"/>
              </w:rPr>
              <w:t>4、主要生产设备</w:t>
            </w:r>
          </w:p>
          <w:p>
            <w:pPr>
              <w:adjustRightInd w:val="0"/>
              <w:snapToGrid w:val="0"/>
              <w:spacing w:line="360" w:lineRule="auto"/>
              <w:ind w:firstLine="480" w:firstLineChars="200"/>
              <w:rPr>
                <w:rFonts w:ascii="Times New Roman" w:hAnsi="Times New Roman" w:eastAsia="宋体"/>
                <w:b/>
                <w:caps w:val="0"/>
                <w:color w:val="auto"/>
                <w:sz w:val="24"/>
              </w:rPr>
            </w:pPr>
            <w:bookmarkStart w:id="13" w:name="OLE_LINK2"/>
            <w:r>
              <w:rPr>
                <w:rFonts w:hint="eastAsia" w:ascii="Times New Roman" w:hAnsi="Times New Roman" w:eastAsia="宋体"/>
                <w:caps w:val="0"/>
                <w:color w:val="auto"/>
                <w:sz w:val="24"/>
              </w:rPr>
              <w:t>建设项目主要生产设备见表2-</w:t>
            </w:r>
            <w:r>
              <w:rPr>
                <w:rFonts w:hint="eastAsia" w:ascii="Times New Roman" w:hAnsi="Times New Roman" w:eastAsia="宋体"/>
                <w:caps w:val="0"/>
                <w:color w:val="auto"/>
                <w:sz w:val="24"/>
                <w:lang w:val="en-US" w:eastAsia="zh-CN"/>
              </w:rPr>
              <w:t>4</w:t>
            </w:r>
            <w:r>
              <w:rPr>
                <w:rFonts w:hint="eastAsia" w:ascii="Times New Roman" w:hAnsi="Times New Roman" w:eastAsia="宋体"/>
                <w:caps w:val="0"/>
                <w:color w:val="auto"/>
                <w:sz w:val="24"/>
              </w:rPr>
              <w:t>。</w:t>
            </w:r>
          </w:p>
          <w:p>
            <w:pPr>
              <w:jc w:val="center"/>
              <w:rPr>
                <w:rFonts w:ascii="Times New Roman" w:hAnsi="Times New Roman" w:eastAsia="宋体"/>
                <w:b/>
                <w:caps w:val="0"/>
                <w:color w:val="auto"/>
                <w:szCs w:val="21"/>
              </w:rPr>
            </w:pPr>
            <w:r>
              <w:rPr>
                <w:rFonts w:hint="eastAsia" w:ascii="Times New Roman" w:hAnsi="Times New Roman" w:eastAsia="宋体"/>
                <w:b/>
                <w:caps w:val="0"/>
                <w:color w:val="auto"/>
                <w:szCs w:val="21"/>
              </w:rPr>
              <w:t>表2-</w:t>
            </w:r>
            <w:r>
              <w:rPr>
                <w:rFonts w:hint="eastAsia" w:ascii="Times New Roman" w:hAnsi="Times New Roman" w:eastAsia="宋体"/>
                <w:b/>
                <w:caps w:val="0"/>
                <w:color w:val="auto"/>
                <w:szCs w:val="21"/>
                <w:lang w:val="en-US" w:eastAsia="zh-CN"/>
              </w:rPr>
              <w:t>4</w:t>
            </w:r>
            <w:r>
              <w:rPr>
                <w:rFonts w:hint="eastAsia" w:ascii="Times New Roman" w:hAnsi="Times New Roman" w:eastAsia="宋体"/>
                <w:b/>
                <w:caps w:val="0"/>
                <w:color w:val="auto"/>
                <w:szCs w:val="21"/>
              </w:rPr>
              <w:t xml:space="preserve"> 建设项目主要生产设备一览表    单位：台（套）</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161"/>
              <w:gridCol w:w="1603"/>
              <w:gridCol w:w="977"/>
              <w:gridCol w:w="1039"/>
              <w:gridCol w:w="1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7" w:type="pct"/>
                  <w:vMerge w:val="restart"/>
                  <w:tcBorders>
                    <w:tl2br w:val="nil"/>
                    <w:tr2bl w:val="nil"/>
                  </w:tcBorders>
                  <w:noWrap w:val="0"/>
                  <w:vAlign w:val="center"/>
                </w:tcPr>
                <w:p>
                  <w:pPr>
                    <w:adjustRightInd w:val="0"/>
                    <w:snapToGrid w:val="0"/>
                    <w:jc w:val="center"/>
                    <w:rPr>
                      <w:rFonts w:ascii="Times New Roman" w:hAnsi="Times New Roman" w:eastAsia="宋体"/>
                      <w:b/>
                      <w:caps w:val="0"/>
                      <w:color w:val="auto"/>
                      <w:sz w:val="21"/>
                      <w:szCs w:val="21"/>
                    </w:rPr>
                  </w:pPr>
                  <w:r>
                    <w:rPr>
                      <w:rFonts w:ascii="Times New Roman" w:hAnsi="Times New Roman" w:eastAsia="宋体"/>
                      <w:b/>
                      <w:caps w:val="0"/>
                      <w:color w:val="auto"/>
                      <w:sz w:val="21"/>
                      <w:szCs w:val="21"/>
                    </w:rPr>
                    <w:t>设备名称</w:t>
                  </w:r>
                </w:p>
              </w:tc>
              <w:tc>
                <w:tcPr>
                  <w:tcW w:w="727" w:type="pct"/>
                  <w:vMerge w:val="restart"/>
                  <w:tcBorders>
                    <w:tl2br w:val="nil"/>
                    <w:tr2bl w:val="nil"/>
                  </w:tcBorders>
                  <w:noWrap w:val="0"/>
                  <w:tcMar>
                    <w:top w:w="28" w:type="dxa"/>
                    <w:left w:w="28" w:type="dxa"/>
                    <w:bottom w:w="28" w:type="dxa"/>
                    <w:right w:w="28" w:type="dxa"/>
                  </w:tcMar>
                  <w:vAlign w:val="center"/>
                </w:tcPr>
                <w:p>
                  <w:pPr>
                    <w:adjustRightInd w:val="0"/>
                    <w:snapToGrid w:val="0"/>
                    <w:jc w:val="center"/>
                    <w:rPr>
                      <w:rFonts w:hint="default" w:ascii="Times New Roman" w:hAnsi="Times New Roman" w:eastAsia="宋体"/>
                      <w:b/>
                      <w:caps w:val="0"/>
                      <w:color w:val="auto"/>
                      <w:sz w:val="21"/>
                      <w:szCs w:val="21"/>
                      <w:lang w:val="en-US" w:eastAsia="zh-CN"/>
                    </w:rPr>
                  </w:pPr>
                  <w:r>
                    <w:rPr>
                      <w:rFonts w:hint="eastAsia" w:ascii="Times New Roman" w:hAnsi="Times New Roman" w:eastAsia="宋体"/>
                      <w:b/>
                      <w:caps w:val="0"/>
                      <w:color w:val="auto"/>
                      <w:sz w:val="21"/>
                      <w:szCs w:val="21"/>
                      <w:lang w:val="en-US" w:eastAsia="zh-CN"/>
                    </w:rPr>
                    <w:t>生产工序</w:t>
                  </w:r>
                </w:p>
              </w:tc>
              <w:tc>
                <w:tcPr>
                  <w:tcW w:w="817" w:type="pct"/>
                  <w:vMerge w:val="restart"/>
                  <w:tcBorders>
                    <w:tl2br w:val="nil"/>
                    <w:tr2bl w:val="nil"/>
                  </w:tcBorders>
                  <w:noWrap w:val="0"/>
                  <w:tcMar>
                    <w:top w:w="28" w:type="dxa"/>
                    <w:left w:w="28" w:type="dxa"/>
                    <w:bottom w:w="28" w:type="dxa"/>
                    <w:right w:w="28" w:type="dxa"/>
                  </w:tcMar>
                  <w:vAlign w:val="center"/>
                </w:tcPr>
                <w:p>
                  <w:pPr>
                    <w:adjustRightInd w:val="0"/>
                    <w:snapToGrid w:val="0"/>
                    <w:jc w:val="center"/>
                    <w:rPr>
                      <w:rFonts w:ascii="Times New Roman" w:hAnsi="Times New Roman" w:eastAsia="宋体"/>
                      <w:b/>
                      <w:caps w:val="0"/>
                      <w:color w:val="auto"/>
                      <w:sz w:val="21"/>
                      <w:szCs w:val="21"/>
                    </w:rPr>
                  </w:pPr>
                  <w:r>
                    <w:rPr>
                      <w:rFonts w:ascii="Times New Roman" w:hAnsi="Times New Roman" w:eastAsia="宋体"/>
                      <w:b/>
                      <w:caps w:val="0"/>
                      <w:color w:val="auto"/>
                      <w:sz w:val="21"/>
                      <w:szCs w:val="21"/>
                    </w:rPr>
                    <w:t>型号、规格尺寸</w:t>
                  </w:r>
                </w:p>
              </w:tc>
              <w:tc>
                <w:tcPr>
                  <w:tcW w:w="2177" w:type="pct"/>
                  <w:gridSpan w:val="3"/>
                  <w:tcBorders>
                    <w:tl2br w:val="nil"/>
                    <w:tr2bl w:val="nil"/>
                  </w:tcBorders>
                  <w:noWrap w:val="0"/>
                  <w:vAlign w:val="center"/>
                </w:tcPr>
                <w:p>
                  <w:pPr>
                    <w:adjustRightInd w:val="0"/>
                    <w:snapToGrid w:val="0"/>
                    <w:jc w:val="center"/>
                    <w:rPr>
                      <w:rFonts w:ascii="Times New Roman" w:hAnsi="Times New Roman" w:eastAsia="宋体"/>
                      <w:b/>
                      <w:caps w:val="0"/>
                      <w:color w:val="auto"/>
                      <w:sz w:val="21"/>
                      <w:szCs w:val="21"/>
                    </w:rPr>
                  </w:pPr>
                  <w:r>
                    <w:rPr>
                      <w:rFonts w:ascii="Times New Roman" w:hAnsi="Times New Roman" w:eastAsia="宋体"/>
                      <w:b/>
                      <w:caps w:val="0"/>
                      <w:color w:val="auto"/>
                      <w:sz w:val="21"/>
                      <w:szCs w:val="21"/>
                    </w:rPr>
                    <w:t>数量（台）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7" w:type="pct"/>
                  <w:vMerge w:val="continue"/>
                  <w:tcBorders>
                    <w:tl2br w:val="nil"/>
                    <w:tr2bl w:val="nil"/>
                  </w:tcBorders>
                  <w:noWrap w:val="0"/>
                  <w:vAlign w:val="center"/>
                </w:tcPr>
                <w:p>
                  <w:pPr>
                    <w:adjustRightInd w:val="0"/>
                    <w:snapToGrid w:val="0"/>
                    <w:ind w:firstLine="422"/>
                    <w:jc w:val="center"/>
                    <w:rPr>
                      <w:rFonts w:ascii="Times New Roman" w:hAnsi="Times New Roman" w:eastAsia="宋体"/>
                      <w:b/>
                      <w:caps w:val="0"/>
                      <w:color w:val="auto"/>
                      <w:sz w:val="21"/>
                      <w:szCs w:val="21"/>
                      <w:highlight w:val="yellow"/>
                    </w:rPr>
                  </w:pPr>
                </w:p>
              </w:tc>
              <w:tc>
                <w:tcPr>
                  <w:tcW w:w="727" w:type="pct"/>
                  <w:vMerge w:val="continue"/>
                  <w:tcBorders>
                    <w:tl2br w:val="nil"/>
                    <w:tr2bl w:val="nil"/>
                  </w:tcBorders>
                  <w:noWrap w:val="0"/>
                  <w:tcMar>
                    <w:top w:w="28" w:type="dxa"/>
                    <w:left w:w="28" w:type="dxa"/>
                    <w:bottom w:w="28" w:type="dxa"/>
                    <w:right w:w="28" w:type="dxa"/>
                  </w:tcMar>
                  <w:vAlign w:val="center"/>
                </w:tcPr>
                <w:p>
                  <w:pPr>
                    <w:adjustRightInd w:val="0"/>
                    <w:snapToGrid w:val="0"/>
                    <w:ind w:firstLine="422"/>
                    <w:jc w:val="center"/>
                    <w:rPr>
                      <w:rFonts w:ascii="Times New Roman" w:hAnsi="Times New Roman" w:eastAsia="宋体"/>
                      <w:b/>
                      <w:caps w:val="0"/>
                      <w:color w:val="auto"/>
                      <w:sz w:val="21"/>
                      <w:szCs w:val="21"/>
                      <w:highlight w:val="yellow"/>
                    </w:rPr>
                  </w:pPr>
                </w:p>
              </w:tc>
              <w:tc>
                <w:tcPr>
                  <w:tcW w:w="817" w:type="pct"/>
                  <w:vMerge w:val="continue"/>
                  <w:tcBorders>
                    <w:tl2br w:val="nil"/>
                    <w:tr2bl w:val="nil"/>
                  </w:tcBorders>
                  <w:noWrap w:val="0"/>
                  <w:tcMar>
                    <w:top w:w="28" w:type="dxa"/>
                    <w:left w:w="28" w:type="dxa"/>
                    <w:bottom w:w="28" w:type="dxa"/>
                    <w:right w:w="28" w:type="dxa"/>
                  </w:tcMar>
                  <w:vAlign w:val="center"/>
                </w:tcPr>
                <w:p>
                  <w:pPr>
                    <w:adjustRightInd w:val="0"/>
                    <w:snapToGrid w:val="0"/>
                    <w:ind w:firstLine="422"/>
                    <w:jc w:val="center"/>
                    <w:rPr>
                      <w:rFonts w:ascii="Times New Roman" w:hAnsi="Times New Roman" w:eastAsia="宋体"/>
                      <w:b/>
                      <w:caps w:val="0"/>
                      <w:color w:val="auto"/>
                      <w:sz w:val="21"/>
                      <w:szCs w:val="21"/>
                      <w:highlight w:val="yellow"/>
                    </w:rPr>
                  </w:pPr>
                </w:p>
              </w:tc>
              <w:tc>
                <w:tcPr>
                  <w:tcW w:w="616" w:type="pct"/>
                  <w:tcBorders>
                    <w:tl2br w:val="nil"/>
                    <w:tr2bl w:val="nil"/>
                  </w:tcBorders>
                  <w:noWrap w:val="0"/>
                  <w:tcMar>
                    <w:top w:w="28" w:type="dxa"/>
                    <w:left w:w="28" w:type="dxa"/>
                    <w:bottom w:w="28" w:type="dxa"/>
                    <w:right w:w="28" w:type="dxa"/>
                  </w:tcMar>
                  <w:vAlign w:val="center"/>
                </w:tcPr>
                <w:p>
                  <w:pPr>
                    <w:adjustRightInd w:val="0"/>
                    <w:snapToGrid w:val="0"/>
                    <w:jc w:val="center"/>
                    <w:rPr>
                      <w:rFonts w:hint="eastAsia" w:ascii="Times New Roman" w:hAnsi="Times New Roman" w:eastAsia="宋体"/>
                      <w:b/>
                      <w:caps w:val="0"/>
                      <w:color w:val="auto"/>
                      <w:sz w:val="21"/>
                      <w:szCs w:val="21"/>
                      <w:lang w:eastAsia="zh-CN"/>
                    </w:rPr>
                  </w:pPr>
                  <w:r>
                    <w:rPr>
                      <w:rFonts w:hint="eastAsia" w:ascii="Times New Roman" w:hAnsi="Times New Roman" w:eastAsia="宋体"/>
                      <w:b/>
                      <w:caps w:val="0"/>
                      <w:color w:val="auto"/>
                      <w:sz w:val="21"/>
                      <w:szCs w:val="21"/>
                      <w:lang w:val="en-US" w:eastAsia="zh-CN"/>
                    </w:rPr>
                    <w:t>技改前</w:t>
                  </w:r>
                </w:p>
              </w:tc>
              <w:tc>
                <w:tcPr>
                  <w:tcW w:w="653" w:type="pct"/>
                  <w:tcBorders>
                    <w:tl2br w:val="nil"/>
                    <w:tr2bl w:val="nil"/>
                  </w:tcBorders>
                  <w:noWrap w:val="0"/>
                  <w:vAlign w:val="center"/>
                </w:tcPr>
                <w:p>
                  <w:pPr>
                    <w:adjustRightInd w:val="0"/>
                    <w:snapToGrid w:val="0"/>
                    <w:jc w:val="center"/>
                    <w:rPr>
                      <w:rFonts w:hint="eastAsia" w:ascii="Times New Roman" w:hAnsi="Times New Roman" w:eastAsia="宋体"/>
                      <w:b/>
                      <w:caps w:val="0"/>
                      <w:color w:val="auto"/>
                      <w:sz w:val="21"/>
                      <w:szCs w:val="21"/>
                      <w:lang w:eastAsia="zh-CN"/>
                    </w:rPr>
                  </w:pPr>
                  <w:r>
                    <w:rPr>
                      <w:rFonts w:hint="eastAsia" w:ascii="Times New Roman" w:hAnsi="Times New Roman" w:eastAsia="宋体"/>
                      <w:b/>
                      <w:caps w:val="0"/>
                      <w:color w:val="auto"/>
                      <w:sz w:val="21"/>
                      <w:szCs w:val="21"/>
                      <w:lang w:val="en-US" w:eastAsia="zh-CN"/>
                    </w:rPr>
                    <w:t>技改后</w:t>
                  </w:r>
                </w:p>
              </w:tc>
              <w:tc>
                <w:tcPr>
                  <w:tcW w:w="908" w:type="pct"/>
                  <w:tcBorders>
                    <w:tl2br w:val="nil"/>
                    <w:tr2bl w:val="nil"/>
                  </w:tcBorders>
                  <w:noWrap w:val="0"/>
                  <w:vAlign w:val="center"/>
                </w:tcPr>
                <w:p>
                  <w:pPr>
                    <w:adjustRightInd w:val="0"/>
                    <w:snapToGrid w:val="0"/>
                    <w:jc w:val="center"/>
                    <w:rPr>
                      <w:rFonts w:ascii="Times New Roman" w:hAnsi="Times New Roman" w:eastAsia="宋体"/>
                      <w:b/>
                      <w:caps w:val="0"/>
                      <w:color w:val="auto"/>
                      <w:sz w:val="21"/>
                      <w:szCs w:val="21"/>
                    </w:rPr>
                  </w:pPr>
                  <w:r>
                    <w:rPr>
                      <w:rFonts w:ascii="Times New Roman" w:hAnsi="Times New Roman" w:eastAsia="宋体"/>
                      <w:b/>
                      <w:caps w:val="0"/>
                      <w:color w:val="auto"/>
                      <w:sz w:val="21"/>
                      <w:szCs w:val="21"/>
                    </w:rPr>
                    <w:t>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77"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电动单梁起重机</w:t>
                  </w:r>
                </w:p>
              </w:tc>
              <w:tc>
                <w:tcPr>
                  <w:tcW w:w="727" w:type="pct"/>
                  <w:tcBorders>
                    <w:tl2br w:val="nil"/>
                    <w:tr2bl w:val="nil"/>
                  </w:tcBorders>
                  <w:noWrap w:val="0"/>
                  <w:tcMar>
                    <w:top w:w="28" w:type="dxa"/>
                    <w:left w:w="28" w:type="dxa"/>
                    <w:bottom w:w="28" w:type="dxa"/>
                    <w:right w:w="28" w:type="dxa"/>
                  </w:tcMar>
                  <w:vAlign w:val="center"/>
                </w:tcPr>
                <w:p>
                  <w:pPr>
                    <w:spacing w:line="320" w:lineRule="exact"/>
                    <w:ind w:firstLine="0" w:firstLineChars="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运输</w:t>
                  </w:r>
                </w:p>
              </w:tc>
              <w:tc>
                <w:tcPr>
                  <w:tcW w:w="817"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10T</w:t>
                  </w:r>
                </w:p>
              </w:tc>
              <w:tc>
                <w:tcPr>
                  <w:tcW w:w="616"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10</w:t>
                  </w:r>
                </w:p>
              </w:tc>
              <w:tc>
                <w:tcPr>
                  <w:tcW w:w="653"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10</w:t>
                  </w:r>
                </w:p>
              </w:tc>
              <w:tc>
                <w:tcPr>
                  <w:tcW w:w="908"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7"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气保护焊机</w:t>
                  </w:r>
                </w:p>
              </w:tc>
              <w:tc>
                <w:tcPr>
                  <w:tcW w:w="727" w:type="pct"/>
                  <w:tcBorders>
                    <w:tl2br w:val="nil"/>
                    <w:tr2bl w:val="nil"/>
                  </w:tcBorders>
                  <w:noWrap w:val="0"/>
                  <w:tcMar>
                    <w:top w:w="28" w:type="dxa"/>
                    <w:left w:w="28" w:type="dxa"/>
                    <w:bottom w:w="28" w:type="dxa"/>
                    <w:right w:w="28" w:type="dxa"/>
                  </w:tcMar>
                  <w:vAlign w:val="center"/>
                </w:tcPr>
                <w:p>
                  <w:pPr>
                    <w:spacing w:line="320" w:lineRule="exact"/>
                    <w:ind w:firstLine="0" w:firstLineChars="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焊接</w:t>
                  </w:r>
                </w:p>
              </w:tc>
              <w:tc>
                <w:tcPr>
                  <w:tcW w:w="817"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NB-500CL</w:t>
                  </w:r>
                </w:p>
              </w:tc>
              <w:tc>
                <w:tcPr>
                  <w:tcW w:w="616"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25</w:t>
                  </w:r>
                </w:p>
              </w:tc>
              <w:tc>
                <w:tcPr>
                  <w:tcW w:w="653"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25</w:t>
                  </w:r>
                </w:p>
              </w:tc>
              <w:tc>
                <w:tcPr>
                  <w:tcW w:w="908"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7"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数控等离子火焰切割机</w:t>
                  </w:r>
                </w:p>
              </w:tc>
              <w:tc>
                <w:tcPr>
                  <w:tcW w:w="727" w:type="pct"/>
                  <w:tcBorders>
                    <w:tl2br w:val="nil"/>
                    <w:tr2bl w:val="nil"/>
                  </w:tcBorders>
                  <w:noWrap w:val="0"/>
                  <w:tcMar>
                    <w:top w:w="28" w:type="dxa"/>
                    <w:left w:w="28" w:type="dxa"/>
                    <w:bottom w:w="28" w:type="dxa"/>
                    <w:right w:w="28" w:type="dxa"/>
                  </w:tcMar>
                  <w:vAlign w:val="center"/>
                </w:tcPr>
                <w:p>
                  <w:pPr>
                    <w:spacing w:line="320" w:lineRule="exact"/>
                    <w:ind w:firstLine="0" w:firstLineChars="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切割</w:t>
                  </w:r>
                </w:p>
              </w:tc>
              <w:tc>
                <w:tcPr>
                  <w:tcW w:w="817"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DZ-4-14*1+1A</w:t>
                  </w:r>
                </w:p>
              </w:tc>
              <w:tc>
                <w:tcPr>
                  <w:tcW w:w="616"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7</w:t>
                  </w:r>
                </w:p>
              </w:tc>
              <w:tc>
                <w:tcPr>
                  <w:tcW w:w="653"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1</w:t>
                  </w:r>
                </w:p>
              </w:tc>
              <w:tc>
                <w:tcPr>
                  <w:tcW w:w="908"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7"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卧式镗铣床</w:t>
                  </w:r>
                </w:p>
              </w:tc>
              <w:tc>
                <w:tcPr>
                  <w:tcW w:w="727" w:type="pct"/>
                  <w:vMerge w:val="restart"/>
                  <w:tcBorders>
                    <w:tl2br w:val="nil"/>
                    <w:tr2bl w:val="nil"/>
                  </w:tcBorders>
                  <w:noWrap w:val="0"/>
                  <w:tcMar>
                    <w:top w:w="28" w:type="dxa"/>
                    <w:left w:w="28" w:type="dxa"/>
                    <w:bottom w:w="28" w:type="dxa"/>
                    <w:right w:w="28" w:type="dxa"/>
                  </w:tcMar>
                  <w:vAlign w:val="center"/>
                </w:tcPr>
                <w:p>
                  <w:pPr>
                    <w:spacing w:line="320" w:lineRule="exact"/>
                    <w:ind w:firstLine="0" w:firstLineChars="0"/>
                    <w:jc w:val="center"/>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机加工</w:t>
                  </w:r>
                </w:p>
              </w:tc>
              <w:tc>
                <w:tcPr>
                  <w:tcW w:w="817"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TX6111D</w:t>
                  </w:r>
                </w:p>
              </w:tc>
              <w:tc>
                <w:tcPr>
                  <w:tcW w:w="616" w:type="pct"/>
                  <w:tcBorders>
                    <w:tl2br w:val="nil"/>
                    <w:tr2bl w:val="nil"/>
                  </w:tcBorders>
                  <w:noWrap w:val="0"/>
                  <w:tcMar>
                    <w:top w:w="28" w:type="dxa"/>
                    <w:left w:w="28" w:type="dxa"/>
                    <w:bottom w:w="28" w:type="dxa"/>
                    <w:right w:w="28" w:type="dxa"/>
                  </w:tcMar>
                  <w:vAlign w:val="center"/>
                </w:tcPr>
                <w:p>
                  <w:pPr>
                    <w:pStyle w:val="9"/>
                    <w:spacing w:line="320" w:lineRule="exact"/>
                    <w:ind w:firstLine="0" w:firstLineChars="0"/>
                    <w:jc w:val="center"/>
                    <w:rPr>
                      <w:rFonts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rPr>
                    <w:t>3</w:t>
                  </w:r>
                </w:p>
              </w:tc>
              <w:tc>
                <w:tcPr>
                  <w:tcW w:w="653" w:type="pct"/>
                  <w:tcBorders>
                    <w:tl2br w:val="nil"/>
                    <w:tr2bl w:val="nil"/>
                  </w:tcBorders>
                  <w:noWrap w:val="0"/>
                  <w:vAlign w:val="center"/>
                </w:tcPr>
                <w:p>
                  <w:pPr>
                    <w:widowControl/>
                    <w:jc w:val="center"/>
                    <w:rPr>
                      <w:rFonts w:hint="eastAsia"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4</w:t>
                  </w:r>
                </w:p>
              </w:tc>
              <w:tc>
                <w:tcPr>
                  <w:tcW w:w="908" w:type="pct"/>
                  <w:tcBorders>
                    <w:tl2br w:val="nil"/>
                    <w:tr2bl w:val="nil"/>
                  </w:tcBorders>
                  <w:noWrap w:val="0"/>
                  <w:vAlign w:val="center"/>
                </w:tcPr>
                <w:p>
                  <w:pPr>
                    <w:widowControl/>
                    <w:jc w:val="center"/>
                    <w:rPr>
                      <w:rFonts w:hint="default"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7" w:type="pct"/>
                  <w:tcBorders>
                    <w:tl2br w:val="nil"/>
                    <w:tr2bl w:val="nil"/>
                  </w:tcBorders>
                  <w:noWrap w:val="0"/>
                  <w:vAlign w:val="center"/>
                </w:tcPr>
                <w:p>
                  <w:pPr>
                    <w:pStyle w:val="9"/>
                    <w:adjustRightInd w:val="0"/>
                    <w:snapToGrid w:val="0"/>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sz w:val="21"/>
                      <w:szCs w:val="21"/>
                      <w:lang w:val="en-US" w:eastAsia="zh-CN"/>
                    </w:rPr>
                    <w:t>碳刨机</w:t>
                  </w:r>
                </w:p>
              </w:tc>
              <w:tc>
                <w:tcPr>
                  <w:tcW w:w="727" w:type="pct"/>
                  <w:vMerge w:val="continue"/>
                  <w:tcBorders>
                    <w:tl2br w:val="nil"/>
                    <w:tr2bl w:val="nil"/>
                  </w:tcBorders>
                  <w:noWrap w:val="0"/>
                  <w:tcMar>
                    <w:top w:w="28" w:type="dxa"/>
                    <w:left w:w="28" w:type="dxa"/>
                    <w:bottom w:w="28" w:type="dxa"/>
                    <w:right w:w="28" w:type="dxa"/>
                  </w:tcMar>
                  <w:vAlign w:val="center"/>
                </w:tcPr>
                <w:p>
                  <w:pPr>
                    <w:pStyle w:val="9"/>
                    <w:adjustRightInd w:val="0"/>
                    <w:snapToGrid w:val="0"/>
                    <w:jc w:val="center"/>
                    <w:rPr>
                      <w:rFonts w:hint="eastAsia" w:ascii="Times New Roman" w:hAnsi="Times New Roman" w:eastAsia="宋体" w:cs="Times New Roman"/>
                      <w:caps w:val="0"/>
                      <w:color w:val="auto"/>
                      <w:kern w:val="2"/>
                      <w:sz w:val="21"/>
                      <w:szCs w:val="21"/>
                      <w:lang w:val="en-US" w:eastAsia="zh-CN" w:bidi="ar-SA"/>
                    </w:rPr>
                  </w:pPr>
                </w:p>
              </w:tc>
              <w:tc>
                <w:tcPr>
                  <w:tcW w:w="817" w:type="pct"/>
                  <w:tcBorders>
                    <w:tl2br w:val="nil"/>
                    <w:tr2bl w:val="nil"/>
                  </w:tcBorders>
                  <w:noWrap w:val="0"/>
                  <w:tcMar>
                    <w:top w:w="28" w:type="dxa"/>
                    <w:left w:w="28" w:type="dxa"/>
                    <w:bottom w:w="28" w:type="dxa"/>
                    <w:right w:w="28" w:type="dxa"/>
                  </w:tcMar>
                  <w:vAlign w:val="center"/>
                </w:tcPr>
                <w:p>
                  <w:pPr>
                    <w:adjustRightInd w:val="0"/>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DK1300</w:t>
                  </w:r>
                </w:p>
              </w:tc>
              <w:tc>
                <w:tcPr>
                  <w:tcW w:w="616" w:type="pct"/>
                  <w:tcBorders>
                    <w:tl2br w:val="nil"/>
                    <w:tr2bl w:val="nil"/>
                  </w:tcBorders>
                  <w:noWrap w:val="0"/>
                  <w:tcMar>
                    <w:top w:w="28" w:type="dxa"/>
                    <w:left w:w="28" w:type="dxa"/>
                    <w:bottom w:w="28" w:type="dxa"/>
                    <w:right w:w="28" w:type="dxa"/>
                  </w:tcMar>
                  <w:vAlign w:val="center"/>
                </w:tcPr>
                <w:p>
                  <w:pPr>
                    <w:adjustRightInd w:val="0"/>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0</w:t>
                  </w:r>
                </w:p>
              </w:tc>
              <w:tc>
                <w:tcPr>
                  <w:tcW w:w="653" w:type="pct"/>
                  <w:tcBorders>
                    <w:tl2br w:val="nil"/>
                    <w:tr2bl w:val="nil"/>
                  </w:tcBorders>
                  <w:noWrap w:val="0"/>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rPr>
                    <w:t>2</w:t>
                  </w:r>
                </w:p>
              </w:tc>
              <w:tc>
                <w:tcPr>
                  <w:tcW w:w="908" w:type="pct"/>
                  <w:tcBorders>
                    <w:tl2br w:val="nil"/>
                    <w:tr2bl w:val="nil"/>
                  </w:tcBorders>
                  <w:noWrap w:val="0"/>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7" w:type="pct"/>
                  <w:tcBorders>
                    <w:tl2br w:val="nil"/>
                    <w:tr2bl w:val="nil"/>
                  </w:tcBorders>
                  <w:noWrap w:val="0"/>
                  <w:vAlign w:val="center"/>
                </w:tcPr>
                <w:p>
                  <w:pPr>
                    <w:pStyle w:val="9"/>
                    <w:adjustRightInd w:val="0"/>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sz w:val="21"/>
                      <w:szCs w:val="21"/>
                      <w:lang w:val="en-US" w:eastAsia="zh-CN"/>
                    </w:rPr>
                    <w:t>数控龙门加工中心</w:t>
                  </w:r>
                </w:p>
              </w:tc>
              <w:tc>
                <w:tcPr>
                  <w:tcW w:w="727" w:type="pct"/>
                  <w:vMerge w:val="continue"/>
                  <w:tcBorders>
                    <w:tl2br w:val="nil"/>
                    <w:tr2bl w:val="nil"/>
                  </w:tcBorders>
                  <w:noWrap w:val="0"/>
                  <w:tcMar>
                    <w:top w:w="28" w:type="dxa"/>
                    <w:left w:w="28" w:type="dxa"/>
                    <w:bottom w:w="28" w:type="dxa"/>
                    <w:right w:w="28" w:type="dxa"/>
                  </w:tcMar>
                  <w:vAlign w:val="center"/>
                </w:tcPr>
                <w:p>
                  <w:pPr>
                    <w:pStyle w:val="9"/>
                    <w:adjustRightInd w:val="0"/>
                    <w:snapToGrid w:val="0"/>
                    <w:jc w:val="center"/>
                    <w:rPr>
                      <w:rFonts w:hint="eastAsia" w:ascii="Times New Roman" w:hAnsi="Times New Roman" w:eastAsia="宋体" w:cs="Times New Roman"/>
                      <w:caps w:val="0"/>
                      <w:color w:val="auto"/>
                      <w:kern w:val="2"/>
                      <w:sz w:val="21"/>
                      <w:szCs w:val="21"/>
                      <w:lang w:val="en-US" w:eastAsia="zh-CN" w:bidi="ar-SA"/>
                    </w:rPr>
                  </w:pPr>
                </w:p>
              </w:tc>
              <w:tc>
                <w:tcPr>
                  <w:tcW w:w="817" w:type="pct"/>
                  <w:tcBorders>
                    <w:tl2br w:val="nil"/>
                    <w:tr2bl w:val="nil"/>
                  </w:tcBorders>
                  <w:noWrap w:val="0"/>
                  <w:tcMar>
                    <w:top w:w="28" w:type="dxa"/>
                    <w:left w:w="28" w:type="dxa"/>
                    <w:bottom w:w="28" w:type="dxa"/>
                    <w:right w:w="28" w:type="dxa"/>
                  </w:tcMar>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kern w:val="0"/>
                      <w:sz w:val="21"/>
                      <w:szCs w:val="21"/>
                    </w:rPr>
                    <w:t>CP-8F</w:t>
                  </w:r>
                </w:p>
              </w:tc>
              <w:tc>
                <w:tcPr>
                  <w:tcW w:w="616" w:type="pct"/>
                  <w:tcBorders>
                    <w:tl2br w:val="nil"/>
                    <w:tr2bl w:val="nil"/>
                  </w:tcBorders>
                  <w:noWrap w:val="0"/>
                  <w:tcMar>
                    <w:top w:w="28" w:type="dxa"/>
                    <w:left w:w="28" w:type="dxa"/>
                    <w:bottom w:w="28" w:type="dxa"/>
                    <w:right w:w="28" w:type="dxa"/>
                  </w:tcMar>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0</w:t>
                  </w:r>
                </w:p>
              </w:tc>
              <w:tc>
                <w:tcPr>
                  <w:tcW w:w="653" w:type="pct"/>
                  <w:tcBorders>
                    <w:tl2br w:val="nil"/>
                    <w:tr2bl w:val="nil"/>
                  </w:tcBorders>
                  <w:noWrap w:val="0"/>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kern w:val="0"/>
                      <w:sz w:val="21"/>
                      <w:szCs w:val="21"/>
                    </w:rPr>
                    <w:t>1</w:t>
                  </w:r>
                </w:p>
              </w:tc>
              <w:tc>
                <w:tcPr>
                  <w:tcW w:w="908" w:type="pct"/>
                  <w:tcBorders>
                    <w:tl2br w:val="nil"/>
                    <w:tr2bl w:val="nil"/>
                  </w:tcBorders>
                  <w:noWrap w:val="0"/>
                  <w:vAlign w:val="center"/>
                </w:tcPr>
                <w:p>
                  <w:pPr>
                    <w:widowControl/>
                    <w:jc w:val="center"/>
                    <w:textAlignment w:val="center"/>
                    <w:rPr>
                      <w:rFonts w:hint="eastAsia" w:ascii="Times New Roman" w:hAnsi="Times New Roman" w:eastAsia="宋体" w:cs="Times New Roman"/>
                      <w:caps w:val="0"/>
                      <w:color w:val="auto"/>
                      <w:kern w:val="0"/>
                      <w:sz w:val="21"/>
                      <w:szCs w:val="21"/>
                      <w:lang w:val="en-US" w:eastAsia="zh-CN" w:bidi="ar"/>
                    </w:rPr>
                  </w:pPr>
                  <w:r>
                    <w:rPr>
                      <w:rFonts w:hint="eastAsia" w:ascii="Times New Roman" w:hAnsi="Times New Roman" w:eastAsia="宋体" w:cs="Times New Roman"/>
                      <w:caps w:val="0"/>
                      <w:color w:val="auto"/>
                      <w:kern w:val="0"/>
                      <w:sz w:val="21"/>
                      <w:szCs w:val="21"/>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77" w:type="pct"/>
                  <w:tcBorders>
                    <w:tl2br w:val="nil"/>
                    <w:tr2bl w:val="nil"/>
                  </w:tcBorders>
                  <w:noWrap w:val="0"/>
                  <w:vAlign w:val="center"/>
                </w:tcPr>
                <w:p>
                  <w:pPr>
                    <w:pStyle w:val="9"/>
                    <w:adjustRightInd w:val="0"/>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sz w:val="21"/>
                      <w:szCs w:val="21"/>
                      <w:lang w:val="en-US" w:eastAsia="zh-CN"/>
                    </w:rPr>
                    <w:t>喷漆房</w:t>
                  </w:r>
                </w:p>
              </w:tc>
              <w:tc>
                <w:tcPr>
                  <w:tcW w:w="727" w:type="pct"/>
                  <w:tcBorders>
                    <w:tl2br w:val="nil"/>
                    <w:tr2bl w:val="nil"/>
                  </w:tcBorders>
                  <w:noWrap w:val="0"/>
                  <w:tcMar>
                    <w:top w:w="28" w:type="dxa"/>
                    <w:left w:w="28" w:type="dxa"/>
                    <w:bottom w:w="28" w:type="dxa"/>
                    <w:right w:w="28" w:type="dxa"/>
                  </w:tcMar>
                  <w:vAlign w:val="center"/>
                </w:tcPr>
                <w:p>
                  <w:pPr>
                    <w:pStyle w:val="9"/>
                    <w:adjustRightInd w:val="0"/>
                    <w:snapToGrid w:val="0"/>
                    <w:jc w:val="center"/>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喷漆</w:t>
                  </w:r>
                </w:p>
              </w:tc>
              <w:tc>
                <w:tcPr>
                  <w:tcW w:w="817" w:type="pct"/>
                  <w:tcBorders>
                    <w:tl2br w:val="nil"/>
                    <w:tr2bl w:val="nil"/>
                  </w:tcBorders>
                  <w:noWrap w:val="0"/>
                  <w:tcMar>
                    <w:top w:w="28" w:type="dxa"/>
                    <w:left w:w="28" w:type="dxa"/>
                    <w:bottom w:w="28" w:type="dxa"/>
                    <w:right w:w="28" w:type="dxa"/>
                  </w:tcMar>
                  <w:vAlign w:val="center"/>
                </w:tcPr>
                <w:p>
                  <w:pPr>
                    <w:adjustRightInd w:val="0"/>
                    <w:snapToGrid w:val="0"/>
                    <w:jc w:val="center"/>
                    <w:rPr>
                      <w:rFonts w:hint="default" w:ascii="Times New Roman" w:hAnsi="Times New Roman" w:eastAsia="宋体"/>
                      <w:caps w:val="0"/>
                      <w:color w:val="auto"/>
                      <w:sz w:val="21"/>
                      <w:szCs w:val="21"/>
                      <w:lang w:val="en-US" w:eastAsia="zh-CN"/>
                    </w:rPr>
                  </w:pPr>
                  <w:r>
                    <w:rPr>
                      <w:rFonts w:hint="default" w:ascii="Times New Roman" w:hAnsi="Times New Roman" w:eastAsia="宋体"/>
                      <w:caps w:val="0"/>
                      <w:color w:val="auto"/>
                      <w:sz w:val="21"/>
                      <w:szCs w:val="21"/>
                      <w:lang w:val="en-US" w:eastAsia="zh-CN"/>
                    </w:rPr>
                    <w:t>14m×8m×4m</w:t>
                  </w:r>
                </w:p>
              </w:tc>
              <w:tc>
                <w:tcPr>
                  <w:tcW w:w="616" w:type="pct"/>
                  <w:tcBorders>
                    <w:tl2br w:val="nil"/>
                    <w:tr2bl w:val="nil"/>
                  </w:tcBorders>
                  <w:noWrap w:val="0"/>
                  <w:tcMar>
                    <w:top w:w="28" w:type="dxa"/>
                    <w:left w:w="28" w:type="dxa"/>
                    <w:bottom w:w="28" w:type="dxa"/>
                    <w:right w:w="28" w:type="dxa"/>
                  </w:tcMar>
                  <w:vAlign w:val="center"/>
                </w:tcPr>
                <w:p>
                  <w:pPr>
                    <w:adjustRightInd w:val="0"/>
                    <w:snapToGrid w:val="0"/>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lang w:val="en-US" w:eastAsia="zh-CN"/>
                    </w:rPr>
                    <w:t>0</w:t>
                  </w:r>
                </w:p>
              </w:tc>
              <w:tc>
                <w:tcPr>
                  <w:tcW w:w="653" w:type="pct"/>
                  <w:tcBorders>
                    <w:tl2br w:val="nil"/>
                    <w:tr2bl w:val="nil"/>
                  </w:tcBorders>
                  <w:noWrap w:val="0"/>
                  <w:vAlign w:val="center"/>
                </w:tcPr>
                <w:p>
                  <w:pPr>
                    <w:widowControl/>
                    <w:jc w:val="center"/>
                    <w:rPr>
                      <w:rFonts w:hint="eastAsia"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1</w:t>
                  </w:r>
                </w:p>
              </w:tc>
              <w:tc>
                <w:tcPr>
                  <w:tcW w:w="908" w:type="pct"/>
                  <w:tcBorders>
                    <w:tl2br w:val="nil"/>
                    <w:tr2bl w:val="nil"/>
                  </w:tcBorders>
                  <w:noWrap w:val="0"/>
                  <w:vAlign w:val="center"/>
                </w:tcPr>
                <w:p>
                  <w:pPr>
                    <w:widowControl/>
                    <w:jc w:val="center"/>
                    <w:rPr>
                      <w:rFonts w:hint="eastAsia" w:ascii="Times New Roman" w:hAnsi="Times New Roman" w:eastAsia="宋体" w:cs="Times New Roman"/>
                      <w:caps w:val="0"/>
                      <w:color w:val="auto"/>
                      <w:kern w:val="0"/>
                      <w:sz w:val="21"/>
                      <w:szCs w:val="21"/>
                      <w:lang w:val="en-US" w:eastAsia="zh-CN"/>
                    </w:rPr>
                  </w:pPr>
                  <w:r>
                    <w:rPr>
                      <w:rFonts w:hint="eastAsia" w:ascii="Times New Roman" w:hAnsi="Times New Roman" w:eastAsia="宋体" w:cs="Times New Roman"/>
                      <w:caps w:val="0"/>
                      <w:color w:val="auto"/>
                      <w:kern w:val="0"/>
                      <w:sz w:val="21"/>
                      <w:szCs w:val="21"/>
                      <w:lang w:val="en-US" w:eastAsia="zh-CN"/>
                    </w:rPr>
                    <w:t>+1</w:t>
                  </w:r>
                </w:p>
              </w:tc>
            </w:tr>
          </w:tbl>
          <w:p>
            <w:pPr>
              <w:tabs>
                <w:tab w:val="left" w:pos="2160"/>
              </w:tabs>
              <w:adjustRightInd w:val="0"/>
              <w:snapToGrid w:val="0"/>
              <w:spacing w:line="360" w:lineRule="auto"/>
              <w:ind w:firstLine="422" w:firstLineChars="200"/>
              <w:rPr>
                <w:rFonts w:hint="eastAsia" w:ascii="Times New Roman" w:hAnsi="Times New Roman" w:eastAsia="宋体"/>
                <w:color w:val="auto"/>
                <w:lang w:val="en-US" w:eastAsia="zh-CN"/>
              </w:rPr>
            </w:pPr>
            <w:r>
              <w:rPr>
                <w:rFonts w:ascii="Times New Roman" w:hAnsi="Times New Roman" w:eastAsia="宋体"/>
                <w:b/>
                <w:color w:val="auto"/>
                <w:szCs w:val="21"/>
              </w:rPr>
              <w:t>设备与申报产能的相符性分析</w:t>
            </w:r>
            <w:r>
              <w:rPr>
                <w:rFonts w:hint="eastAsia" w:ascii="Times New Roman" w:hAnsi="Times New Roman" w:eastAsia="宋体"/>
                <w:b/>
                <w:color w:val="auto"/>
                <w:szCs w:val="21"/>
                <w:lang w:eastAsia="zh-CN"/>
              </w:rPr>
              <w:t>：</w:t>
            </w:r>
          </w:p>
          <w:p>
            <w:pPr>
              <w:pStyle w:val="36"/>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表2-5主要设备与产能匹配性</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360"/>
              <w:gridCol w:w="1315"/>
              <w:gridCol w:w="1046"/>
              <w:gridCol w:w="1030"/>
              <w:gridCol w:w="1381"/>
              <w:gridCol w:w="1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工序</w:t>
                  </w:r>
                </w:p>
              </w:tc>
              <w:tc>
                <w:tcPr>
                  <w:tcW w:w="1503"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设备名称</w:t>
                  </w:r>
                </w:p>
              </w:tc>
              <w:tc>
                <w:tcPr>
                  <w:tcW w:w="1298"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单台最大工作能力</w:t>
                  </w:r>
                </w:p>
              </w:tc>
              <w:tc>
                <w:tcPr>
                  <w:tcW w:w="1052"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运行时间（h/a）</w:t>
                  </w:r>
                </w:p>
              </w:tc>
              <w:tc>
                <w:tcPr>
                  <w:tcW w:w="1090"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数量（台/套）</w:t>
                  </w:r>
                </w:p>
              </w:tc>
              <w:tc>
                <w:tcPr>
                  <w:tcW w:w="1318"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最大</w:t>
                  </w:r>
                  <w:r>
                    <w:rPr>
                      <w:rFonts w:hint="default" w:ascii="Times New Roman" w:hAnsi="Times New Roman" w:eastAsia="宋体" w:cs="Times New Roman"/>
                      <w:b/>
                      <w:bCs/>
                      <w:color w:val="auto"/>
                      <w:kern w:val="0"/>
                      <w:szCs w:val="21"/>
                      <w:lang w:val="en-US" w:eastAsia="zh-CN"/>
                    </w:rPr>
                    <w:t>处理能力</w:t>
                  </w:r>
                </w:p>
              </w:tc>
              <w:tc>
                <w:tcPr>
                  <w:tcW w:w="1319" w:type="dxa"/>
                  <w:tcBorders>
                    <w:tl2br w:val="nil"/>
                    <w:tr2bl w:val="nil"/>
                  </w:tcBorders>
                  <w:noWrap w:val="0"/>
                  <w:vAlign w:val="center"/>
                </w:tcPr>
                <w:p>
                  <w:pPr>
                    <w:widowControl/>
                    <w:jc w:val="center"/>
                    <w:rPr>
                      <w:rFonts w:hint="eastAsia" w:cs="Times New Roman"/>
                      <w:b/>
                      <w:bCs/>
                      <w:color w:val="auto"/>
                      <w:kern w:val="0"/>
                      <w:szCs w:val="21"/>
                      <w:lang w:val="en-US" w:eastAsia="zh-CN"/>
                    </w:rPr>
                  </w:pPr>
                  <w:r>
                    <w:rPr>
                      <w:rFonts w:hint="eastAsia" w:cs="Times New Roman"/>
                      <w:b/>
                      <w:bCs/>
                      <w:color w:val="auto"/>
                      <w:kern w:val="0"/>
                      <w:szCs w:val="21"/>
                      <w:lang w:val="en-US" w:eastAsia="zh-CN"/>
                    </w:rPr>
                    <w:t>本项目</w:t>
                  </w:r>
                </w:p>
                <w:p>
                  <w:pPr>
                    <w:widowControl/>
                    <w:jc w:val="center"/>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总喷涂面积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喷涂</w:t>
                  </w:r>
                </w:p>
              </w:tc>
              <w:tc>
                <w:tcPr>
                  <w:tcW w:w="1503"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喷枪</w:t>
                  </w:r>
                </w:p>
              </w:tc>
              <w:tc>
                <w:tcPr>
                  <w:tcW w:w="1298"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4</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 w:val="21"/>
                      <w:szCs w:val="21"/>
                      <w:vertAlign w:val="superscript"/>
                      <w:lang w:val="en-US" w:eastAsia="zh-CN"/>
                    </w:rPr>
                    <w:t>2</w:t>
                  </w:r>
                  <w:r>
                    <w:rPr>
                      <w:rFonts w:hint="eastAsia" w:ascii="Times New Roman" w:hAnsi="Times New Roman" w:eastAsia="宋体" w:cs="Times New Roman"/>
                      <w:color w:val="auto"/>
                      <w:kern w:val="0"/>
                      <w:szCs w:val="21"/>
                      <w:lang w:val="en-US" w:eastAsia="zh-CN"/>
                    </w:rPr>
                    <w:t>/min</w:t>
                  </w:r>
                </w:p>
              </w:tc>
              <w:tc>
                <w:tcPr>
                  <w:tcW w:w="1052"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588</w:t>
                  </w:r>
                </w:p>
              </w:tc>
              <w:tc>
                <w:tcPr>
                  <w:tcW w:w="1090"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w:t>
                  </w:r>
                </w:p>
              </w:tc>
              <w:tc>
                <w:tcPr>
                  <w:tcW w:w="1318"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28224</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 w:val="21"/>
                      <w:szCs w:val="21"/>
                      <w:vertAlign w:val="superscript"/>
                      <w:lang w:val="en-US" w:eastAsia="zh-CN"/>
                    </w:rPr>
                    <w:t>2</w:t>
                  </w:r>
                  <w:r>
                    <w:rPr>
                      <w:rFonts w:hint="eastAsia" w:ascii="Times New Roman" w:hAnsi="Times New Roman" w:eastAsia="宋体" w:cs="Times New Roman"/>
                      <w:color w:val="auto"/>
                      <w:kern w:val="0"/>
                      <w:szCs w:val="21"/>
                      <w:lang w:val="en-US" w:eastAsia="zh-CN"/>
                    </w:rPr>
                    <w:t>/a</w:t>
                  </w:r>
                </w:p>
              </w:tc>
              <w:tc>
                <w:tcPr>
                  <w:tcW w:w="1319" w:type="dxa"/>
                  <w:tcBorders>
                    <w:tl2br w:val="nil"/>
                    <w:tr2bl w:val="nil"/>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6008</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 w:val="21"/>
                      <w:szCs w:val="21"/>
                      <w:vertAlign w:val="superscript"/>
                      <w:lang w:val="en-US" w:eastAsia="zh-CN"/>
                    </w:rPr>
                    <w:t>2</w:t>
                  </w:r>
                  <w:r>
                    <w:rPr>
                      <w:rFonts w:hint="eastAsia" w:ascii="Times New Roman" w:hAnsi="Times New Roman" w:eastAsia="宋体" w:cs="Times New Roman"/>
                      <w:color w:val="auto"/>
                      <w:kern w:val="0"/>
                      <w:szCs w:val="21"/>
                      <w:lang w:val="en-US" w:eastAsia="zh-CN"/>
                    </w:rPr>
                    <w:t>/a</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b w:val="0"/>
                <w:bCs w:val="0"/>
                <w:caps w:val="0"/>
                <w:color w:val="auto"/>
                <w:sz w:val="24"/>
                <w:lang w:val="en-US" w:eastAsia="zh-CN"/>
              </w:rPr>
            </w:pPr>
            <w:r>
              <w:rPr>
                <w:rFonts w:hint="eastAsia" w:ascii="Times New Roman" w:hAnsi="Times New Roman" w:eastAsia="宋体"/>
                <w:b/>
                <w:bCs/>
                <w:caps w:val="0"/>
                <w:color w:val="auto"/>
                <w:sz w:val="21"/>
                <w:szCs w:val="21"/>
                <w:lang w:val="en-US" w:eastAsia="zh-CN"/>
              </w:rPr>
              <w:t>注：全年喷漆时间为588h/a，单日喷涂时间约2小时，单日晾干时间为6h，晾干后的物件包装储存于成品仓库，再进行下一批的工作</w:t>
            </w:r>
          </w:p>
          <w:p>
            <w:pPr>
              <w:adjustRightInd w:val="0"/>
              <w:snapToGrid w:val="0"/>
              <w:spacing w:line="360" w:lineRule="auto"/>
              <w:ind w:firstLine="480" w:firstLineChars="200"/>
              <w:rPr>
                <w:rFonts w:hint="eastAsia" w:ascii="Times New Roman" w:hAnsi="Times New Roman" w:eastAsia="宋体"/>
                <w:b w:val="0"/>
                <w:bCs w:val="0"/>
                <w:caps w:val="0"/>
                <w:color w:val="auto"/>
                <w:sz w:val="24"/>
                <w:lang w:val="en-US" w:eastAsia="zh-CN"/>
              </w:rPr>
            </w:pPr>
            <w:r>
              <w:rPr>
                <w:rFonts w:hint="eastAsia" w:ascii="Times New Roman" w:hAnsi="Times New Roman" w:eastAsia="宋体"/>
                <w:b w:val="0"/>
                <w:bCs w:val="0"/>
                <w:caps w:val="0"/>
                <w:color w:val="auto"/>
                <w:sz w:val="24"/>
                <w:lang w:val="en-US" w:eastAsia="zh-CN"/>
              </w:rPr>
              <w:t>根据业主提供资料，需要喷涂的</w:t>
            </w:r>
            <w:r>
              <w:rPr>
                <w:rFonts w:hint="eastAsia"/>
                <w:b w:val="0"/>
                <w:bCs w:val="0"/>
                <w:caps w:val="0"/>
                <w:color w:val="auto"/>
                <w:sz w:val="24"/>
                <w:lang w:val="en-US" w:eastAsia="zh-CN"/>
              </w:rPr>
              <w:t>工件</w:t>
            </w:r>
            <w:r>
              <w:rPr>
                <w:rFonts w:hint="eastAsia" w:ascii="Times New Roman" w:hAnsi="Times New Roman" w:eastAsia="宋体"/>
                <w:b w:val="0"/>
                <w:bCs w:val="0"/>
                <w:caps w:val="0"/>
                <w:color w:val="auto"/>
                <w:sz w:val="24"/>
                <w:lang w:val="en-US" w:eastAsia="zh-CN"/>
              </w:rPr>
              <w:t>最大尺寸长度为10m，小于喷漆房尺寸（14m×8m×4m），因此喷漆房可容纳产品喷涂晾干。</w:t>
            </w:r>
          </w:p>
          <w:p>
            <w:pPr>
              <w:adjustRightInd w:val="0"/>
              <w:snapToGrid w:val="0"/>
              <w:spacing w:line="360" w:lineRule="auto"/>
              <w:ind w:firstLine="482" w:firstLineChars="200"/>
              <w:rPr>
                <w:rFonts w:ascii="Times New Roman" w:hAnsi="Times New Roman" w:eastAsia="宋体"/>
                <w:b/>
                <w:bCs/>
                <w:caps w:val="0"/>
                <w:color w:val="auto"/>
                <w:sz w:val="24"/>
              </w:rPr>
            </w:pPr>
            <w:r>
              <w:rPr>
                <w:rFonts w:hint="eastAsia" w:ascii="Times New Roman" w:hAnsi="Times New Roman" w:eastAsia="宋体"/>
                <w:b/>
                <w:bCs/>
                <w:caps w:val="0"/>
                <w:color w:val="auto"/>
                <w:sz w:val="24"/>
              </w:rPr>
              <w:t>5、</w:t>
            </w:r>
            <w:r>
              <w:rPr>
                <w:rFonts w:ascii="Times New Roman" w:hAnsi="Times New Roman" w:eastAsia="宋体"/>
                <w:b/>
                <w:bCs/>
                <w:caps w:val="0"/>
                <w:color w:val="auto"/>
                <w:sz w:val="24"/>
              </w:rPr>
              <w:t>原辅材料</w:t>
            </w:r>
            <w:r>
              <w:rPr>
                <w:rFonts w:hint="eastAsia" w:ascii="Times New Roman" w:hAnsi="Times New Roman" w:eastAsia="宋体"/>
                <w:b/>
                <w:bCs/>
                <w:caps w:val="0"/>
                <w:color w:val="auto"/>
                <w:sz w:val="24"/>
              </w:rPr>
              <w:t>及理化性质</w:t>
            </w:r>
          </w:p>
          <w:p>
            <w:pPr>
              <w:adjustRightInd w:val="0"/>
              <w:snapToGrid w:val="0"/>
              <w:spacing w:line="360" w:lineRule="auto"/>
              <w:ind w:firstLine="480" w:firstLineChars="200"/>
              <w:rPr>
                <w:rFonts w:hint="eastAsia" w:ascii="Times New Roman" w:hAnsi="Times New Roman" w:eastAsia="宋体"/>
                <w:b/>
                <w:bCs/>
                <w:caps w:val="0"/>
                <w:color w:val="auto"/>
                <w:sz w:val="24"/>
              </w:rPr>
            </w:pPr>
            <w:r>
              <w:rPr>
                <w:rFonts w:ascii="Times New Roman" w:hAnsi="Times New Roman" w:eastAsia="宋体"/>
                <w:caps w:val="0"/>
                <w:color w:val="auto"/>
                <w:sz w:val="24"/>
              </w:rPr>
              <w:t>建设项目主要原辅材料消耗情况见表</w:t>
            </w:r>
            <w:r>
              <w:rPr>
                <w:rFonts w:hint="eastAsia" w:ascii="Times New Roman" w:hAnsi="Times New Roman" w:eastAsia="宋体"/>
                <w:caps w:val="0"/>
                <w:color w:val="auto"/>
                <w:sz w:val="24"/>
              </w:rPr>
              <w:t>2</w:t>
            </w:r>
            <w:r>
              <w:rPr>
                <w:rFonts w:ascii="Times New Roman" w:hAnsi="Times New Roman" w:eastAsia="宋体"/>
                <w:caps w:val="0"/>
                <w:color w:val="auto"/>
                <w:sz w:val="24"/>
              </w:rPr>
              <w:t>-</w:t>
            </w:r>
            <w:r>
              <w:rPr>
                <w:rFonts w:hint="eastAsia" w:ascii="Times New Roman" w:hAnsi="Times New Roman" w:eastAsia="宋体"/>
                <w:caps w:val="0"/>
                <w:color w:val="auto"/>
                <w:sz w:val="24"/>
                <w:lang w:val="en-US" w:eastAsia="zh-CN"/>
              </w:rPr>
              <w:t>6</w:t>
            </w:r>
            <w:r>
              <w:rPr>
                <w:rFonts w:hint="eastAsia" w:ascii="Times New Roman" w:hAnsi="Times New Roman" w:eastAsia="宋体"/>
                <w:caps w:val="0"/>
                <w:color w:val="auto"/>
                <w:sz w:val="24"/>
              </w:rPr>
              <w:t>，原辅材料理化性质详见表2-</w:t>
            </w:r>
            <w:r>
              <w:rPr>
                <w:rFonts w:hint="eastAsia" w:ascii="Times New Roman" w:hAnsi="Times New Roman" w:eastAsia="宋体"/>
                <w:caps w:val="0"/>
                <w:color w:val="auto"/>
                <w:sz w:val="24"/>
                <w:lang w:val="en-US" w:eastAsia="zh-CN"/>
              </w:rPr>
              <w:t>7</w:t>
            </w:r>
            <w:r>
              <w:rPr>
                <w:rFonts w:ascii="Times New Roman" w:hAnsi="Times New Roman" w:eastAsia="宋体"/>
                <w:caps w:val="0"/>
                <w:color w:val="auto"/>
                <w:sz w:val="24"/>
              </w:rPr>
              <w:t>。</w:t>
            </w:r>
          </w:p>
          <w:p>
            <w:pPr>
              <w:jc w:val="center"/>
              <w:rPr>
                <w:rFonts w:hint="eastAsia" w:ascii="Times New Roman" w:hAnsi="Times New Roman" w:eastAsia="宋体"/>
                <w:b/>
                <w:bCs/>
                <w:caps w:val="0"/>
                <w:color w:val="auto"/>
                <w:szCs w:val="21"/>
              </w:rPr>
            </w:pPr>
            <w:r>
              <w:rPr>
                <w:rFonts w:ascii="Times New Roman" w:hAnsi="Times New Roman" w:eastAsia="宋体"/>
                <w:b/>
                <w:bCs/>
                <w:caps w:val="0"/>
                <w:color w:val="auto"/>
                <w:szCs w:val="21"/>
              </w:rPr>
              <w:t>表</w:t>
            </w:r>
            <w:r>
              <w:rPr>
                <w:rFonts w:hint="eastAsia" w:ascii="Times New Roman" w:hAnsi="Times New Roman" w:eastAsia="宋体"/>
                <w:b/>
                <w:bCs/>
                <w:caps w:val="0"/>
                <w:color w:val="auto"/>
                <w:szCs w:val="21"/>
              </w:rPr>
              <w:t>2</w:t>
            </w:r>
            <w:r>
              <w:rPr>
                <w:rFonts w:ascii="Times New Roman" w:hAnsi="Times New Roman" w:eastAsia="宋体"/>
                <w:b/>
                <w:bCs/>
                <w:caps w:val="0"/>
                <w:color w:val="auto"/>
                <w:szCs w:val="21"/>
              </w:rPr>
              <w:t>-</w:t>
            </w:r>
            <w:r>
              <w:rPr>
                <w:rFonts w:hint="eastAsia" w:ascii="Times New Roman" w:hAnsi="Times New Roman" w:eastAsia="宋体"/>
                <w:b/>
                <w:bCs/>
                <w:caps w:val="0"/>
                <w:color w:val="auto"/>
                <w:szCs w:val="21"/>
                <w:lang w:val="en-US" w:eastAsia="zh-CN"/>
              </w:rPr>
              <w:t>6</w:t>
            </w:r>
            <w:r>
              <w:rPr>
                <w:rFonts w:ascii="Times New Roman" w:hAnsi="Times New Roman" w:eastAsia="宋体"/>
                <w:b/>
                <w:bCs/>
                <w:caps w:val="0"/>
                <w:color w:val="auto"/>
                <w:szCs w:val="21"/>
              </w:rPr>
              <w:t xml:space="preserve">  </w:t>
            </w:r>
            <w:r>
              <w:rPr>
                <w:rFonts w:hint="eastAsia" w:ascii="Times New Roman" w:hAnsi="Times New Roman" w:eastAsia="宋体"/>
                <w:b/>
                <w:bCs/>
                <w:caps w:val="0"/>
                <w:color w:val="auto"/>
                <w:szCs w:val="21"/>
              </w:rPr>
              <w:t>建设项目主要原辅材料</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71"/>
              <w:gridCol w:w="1439"/>
              <w:gridCol w:w="970"/>
              <w:gridCol w:w="1156"/>
              <w:gridCol w:w="998"/>
              <w:gridCol w:w="709"/>
              <w:gridCol w:w="802"/>
              <w:gridCol w:w="1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704" w:type="pct"/>
                  <w:vMerge w:val="restar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名称</w:t>
                  </w:r>
                </w:p>
              </w:tc>
              <w:tc>
                <w:tcPr>
                  <w:tcW w:w="865" w:type="pct"/>
                  <w:vMerge w:val="restar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组分</w:t>
                  </w:r>
                  <w:r>
                    <w:rPr>
                      <w:rFonts w:hint="eastAsia" w:ascii="Times New Roman" w:hAnsi="Times New Roman" w:eastAsia="宋体"/>
                      <w:b/>
                      <w:bCs/>
                      <w:caps w:val="0"/>
                      <w:color w:val="auto"/>
                      <w:szCs w:val="21"/>
                    </w:rPr>
                    <w:t>/</w:t>
                  </w:r>
                  <w:r>
                    <w:rPr>
                      <w:rFonts w:ascii="Times New Roman" w:hAnsi="Times New Roman" w:eastAsia="宋体"/>
                      <w:b/>
                      <w:bCs/>
                      <w:caps w:val="0"/>
                      <w:color w:val="auto"/>
                      <w:szCs w:val="21"/>
                    </w:rPr>
                    <w:t>规格</w:t>
                  </w:r>
                </w:p>
              </w:tc>
              <w:tc>
                <w:tcPr>
                  <w:tcW w:w="1878" w:type="pct"/>
                  <w:gridSpan w:val="3"/>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年耗量</w:t>
                  </w:r>
                  <w:r>
                    <w:rPr>
                      <w:rFonts w:hint="eastAsia" w:ascii="Times New Roman" w:hAnsi="Times New Roman" w:eastAsia="宋体"/>
                      <w:b/>
                      <w:bCs/>
                      <w:caps w:val="0"/>
                      <w:color w:val="auto"/>
                      <w:szCs w:val="21"/>
                    </w:rPr>
                    <w:t>（t）</w:t>
                  </w:r>
                </w:p>
              </w:tc>
              <w:tc>
                <w:tcPr>
                  <w:tcW w:w="426" w:type="pct"/>
                  <w:vMerge w:val="restar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最大储存量（t）</w:t>
                  </w:r>
                </w:p>
              </w:tc>
              <w:tc>
                <w:tcPr>
                  <w:tcW w:w="482" w:type="pct"/>
                  <w:vMerge w:val="restar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ascii="Times New Roman" w:hAnsi="Times New Roman" w:eastAsia="宋体"/>
                      <w:b/>
                      <w:bCs/>
                      <w:caps w:val="0"/>
                      <w:color w:val="auto"/>
                      <w:szCs w:val="21"/>
                    </w:rPr>
                    <w:t>包装规格</w:t>
                  </w:r>
                </w:p>
              </w:tc>
              <w:tc>
                <w:tcPr>
                  <w:tcW w:w="642" w:type="pct"/>
                  <w:vMerge w:val="restart"/>
                  <w:tcBorders>
                    <w:tl2br w:val="nil"/>
                    <w:tr2bl w:val="nil"/>
                  </w:tcBorders>
                  <w:vAlign w:val="center"/>
                </w:tcPr>
                <w:p>
                  <w:pPr>
                    <w:pStyle w:val="9"/>
                    <w:snapToGrid w:val="0"/>
                    <w:jc w:val="center"/>
                    <w:rPr>
                      <w:rFonts w:hint="default" w:ascii="Times New Roman" w:hAnsi="Times New Roman" w:eastAsia="宋体"/>
                      <w:b/>
                      <w:bCs/>
                      <w:caps w:val="0"/>
                      <w:color w:val="auto"/>
                      <w:szCs w:val="21"/>
                      <w:lang w:val="en-US" w:eastAsia="zh-CN"/>
                    </w:rPr>
                  </w:pPr>
                  <w:r>
                    <w:rPr>
                      <w:rFonts w:hint="eastAsia" w:ascii="Times New Roman" w:hAnsi="Times New Roman" w:eastAsia="宋体"/>
                      <w:b/>
                      <w:bCs/>
                      <w:caps w:val="0"/>
                      <w:color w:val="auto"/>
                      <w:szCs w:val="21"/>
                      <w:lang w:val="en-US" w:eastAsia="zh-CN"/>
                    </w:rPr>
                    <w:t>储存位置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4" w:type="pct"/>
                  <w:vMerge w:val="continue"/>
                  <w:tcBorders>
                    <w:tl2br w:val="nil"/>
                    <w:tr2bl w:val="nil"/>
                  </w:tcBorders>
                  <w:vAlign w:val="center"/>
                </w:tcPr>
                <w:p>
                  <w:pPr>
                    <w:pStyle w:val="9"/>
                    <w:snapToGrid w:val="0"/>
                    <w:jc w:val="center"/>
                    <w:rPr>
                      <w:rFonts w:ascii="Times New Roman" w:hAnsi="Times New Roman" w:eastAsia="宋体"/>
                      <w:b/>
                      <w:bCs/>
                      <w:caps w:val="0"/>
                      <w:color w:val="auto"/>
                      <w:szCs w:val="21"/>
                    </w:rPr>
                  </w:pPr>
                </w:p>
              </w:tc>
              <w:tc>
                <w:tcPr>
                  <w:tcW w:w="865" w:type="pct"/>
                  <w:vMerge w:val="continue"/>
                  <w:tcBorders>
                    <w:tl2br w:val="nil"/>
                    <w:tr2bl w:val="nil"/>
                  </w:tcBorders>
                  <w:vAlign w:val="center"/>
                </w:tcPr>
                <w:p>
                  <w:pPr>
                    <w:pStyle w:val="9"/>
                    <w:snapToGrid w:val="0"/>
                    <w:jc w:val="center"/>
                    <w:rPr>
                      <w:rFonts w:ascii="Times New Roman" w:hAnsi="Times New Roman" w:eastAsia="宋体"/>
                      <w:b/>
                      <w:bCs/>
                      <w:caps w:val="0"/>
                      <w:color w:val="auto"/>
                      <w:szCs w:val="21"/>
                    </w:rPr>
                  </w:pPr>
                </w:p>
              </w:tc>
              <w:tc>
                <w:tcPr>
                  <w:tcW w:w="583" w:type="pc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hint="eastAsia" w:ascii="Times New Roman" w:hAnsi="Times New Roman" w:eastAsia="宋体"/>
                      <w:b/>
                      <w:bCs/>
                      <w:caps w:val="0"/>
                      <w:color w:val="auto"/>
                      <w:szCs w:val="21"/>
                    </w:rPr>
                    <w:t>前</w:t>
                  </w:r>
                </w:p>
              </w:tc>
              <w:tc>
                <w:tcPr>
                  <w:tcW w:w="695" w:type="pc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lang w:val="en-US" w:eastAsia="zh-CN"/>
                    </w:rPr>
                    <w:t>技改</w:t>
                  </w:r>
                  <w:r>
                    <w:rPr>
                      <w:rFonts w:hint="eastAsia" w:ascii="Times New Roman" w:hAnsi="Times New Roman" w:eastAsia="宋体"/>
                      <w:b/>
                      <w:bCs/>
                      <w:caps w:val="0"/>
                      <w:color w:val="auto"/>
                      <w:szCs w:val="21"/>
                    </w:rPr>
                    <w:t>后</w:t>
                  </w:r>
                </w:p>
              </w:tc>
              <w:tc>
                <w:tcPr>
                  <w:tcW w:w="598" w:type="pct"/>
                  <w:tcBorders>
                    <w:tl2br w:val="nil"/>
                    <w:tr2bl w:val="nil"/>
                  </w:tcBorders>
                  <w:vAlign w:val="center"/>
                </w:tcPr>
                <w:p>
                  <w:pPr>
                    <w:pStyle w:val="9"/>
                    <w:snapToGrid w:val="0"/>
                    <w:jc w:val="center"/>
                    <w:rPr>
                      <w:rFonts w:ascii="Times New Roman" w:hAnsi="Times New Roman" w:eastAsia="宋体"/>
                      <w:b/>
                      <w:bCs/>
                      <w:caps w:val="0"/>
                      <w:color w:val="auto"/>
                      <w:szCs w:val="21"/>
                    </w:rPr>
                  </w:pPr>
                  <w:r>
                    <w:rPr>
                      <w:rFonts w:hint="eastAsia" w:ascii="Times New Roman" w:hAnsi="Times New Roman" w:eastAsia="宋体"/>
                      <w:b/>
                      <w:bCs/>
                      <w:caps w:val="0"/>
                      <w:color w:val="auto"/>
                      <w:szCs w:val="21"/>
                    </w:rPr>
                    <w:t>增减量</w:t>
                  </w:r>
                </w:p>
              </w:tc>
              <w:tc>
                <w:tcPr>
                  <w:tcW w:w="426" w:type="pct"/>
                  <w:vMerge w:val="continue"/>
                  <w:tcBorders>
                    <w:tl2br w:val="nil"/>
                    <w:tr2bl w:val="nil"/>
                  </w:tcBorders>
                  <w:vAlign w:val="center"/>
                </w:tcPr>
                <w:p>
                  <w:pPr>
                    <w:pStyle w:val="9"/>
                    <w:snapToGrid w:val="0"/>
                    <w:jc w:val="center"/>
                    <w:rPr>
                      <w:rFonts w:ascii="Times New Roman" w:hAnsi="Times New Roman" w:eastAsia="宋体"/>
                      <w:caps w:val="0"/>
                      <w:color w:val="auto"/>
                      <w:szCs w:val="21"/>
                    </w:rPr>
                  </w:pPr>
                </w:p>
              </w:tc>
              <w:tc>
                <w:tcPr>
                  <w:tcW w:w="482" w:type="pct"/>
                  <w:vMerge w:val="continue"/>
                  <w:tcBorders>
                    <w:tl2br w:val="nil"/>
                    <w:tr2bl w:val="nil"/>
                  </w:tcBorders>
                  <w:vAlign w:val="center"/>
                </w:tcPr>
                <w:p>
                  <w:pPr>
                    <w:pStyle w:val="9"/>
                    <w:snapToGrid w:val="0"/>
                    <w:jc w:val="center"/>
                    <w:rPr>
                      <w:rFonts w:ascii="Times New Roman" w:hAnsi="Times New Roman" w:eastAsia="宋体"/>
                      <w:caps w:val="0"/>
                      <w:color w:val="auto"/>
                      <w:szCs w:val="21"/>
                    </w:rPr>
                  </w:pPr>
                </w:p>
              </w:tc>
              <w:tc>
                <w:tcPr>
                  <w:tcW w:w="642" w:type="pct"/>
                  <w:vMerge w:val="continue"/>
                  <w:tcBorders>
                    <w:tl2br w:val="nil"/>
                    <w:tr2bl w:val="nil"/>
                  </w:tcBorders>
                  <w:vAlign w:val="center"/>
                </w:tcPr>
                <w:p>
                  <w:pPr>
                    <w:pStyle w:val="9"/>
                    <w:snapToGrid w:val="0"/>
                    <w:jc w:val="center"/>
                    <w:rPr>
                      <w:rFonts w:ascii="Times New Roman" w:hAnsi="Times New Roman" w:eastAsia="宋体"/>
                      <w: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704" w:type="pct"/>
                  <w:tcBorders>
                    <w:tl2br w:val="nil"/>
                    <w:tr2bl w:val="nil"/>
                  </w:tcBorders>
                  <w:vAlign w:val="center"/>
                </w:tcPr>
                <w:p>
                  <w:pPr>
                    <w:pStyle w:val="33"/>
                    <w:rPr>
                      <w:rFonts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rPr>
                    <w:t>钢材</w:t>
                  </w:r>
                </w:p>
              </w:tc>
              <w:tc>
                <w:tcPr>
                  <w:tcW w:w="865"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ascii="Times New Roman" w:hAnsi="Times New Roman" w:eastAsia="宋体"/>
                      <w:caps w:val="0"/>
                      <w:color w:val="auto"/>
                      <w:szCs w:val="21"/>
                    </w:rPr>
                    <w:t>Q235-A</w:t>
                  </w:r>
                </w:p>
              </w:tc>
              <w:tc>
                <w:tcPr>
                  <w:tcW w:w="583" w:type="pct"/>
                  <w:tcBorders>
                    <w:tl2br w:val="nil"/>
                    <w:tr2bl w:val="nil"/>
                  </w:tcBorders>
                  <w:vAlign w:val="center"/>
                </w:tcPr>
                <w:p>
                  <w:pPr>
                    <w:pStyle w:val="33"/>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1400</w:t>
                  </w:r>
                </w:p>
              </w:tc>
              <w:tc>
                <w:tcPr>
                  <w:tcW w:w="695" w:type="pct"/>
                  <w:tcBorders>
                    <w:tl2br w:val="nil"/>
                    <w:tr2bl w:val="nil"/>
                  </w:tcBorders>
                  <w:vAlign w:val="center"/>
                </w:tcPr>
                <w:p>
                  <w:pPr>
                    <w:pStyle w:val="33"/>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1350</w:t>
                  </w:r>
                </w:p>
              </w:tc>
              <w:tc>
                <w:tcPr>
                  <w:tcW w:w="598" w:type="pct"/>
                  <w:tcBorders>
                    <w:tl2br w:val="nil"/>
                    <w:tr2bl w:val="nil"/>
                  </w:tcBorders>
                  <w:vAlign w:val="center"/>
                </w:tcPr>
                <w:p>
                  <w:pPr>
                    <w:pStyle w:val="9"/>
                    <w:adjustRightInd w:val="0"/>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-50</w:t>
                  </w:r>
                </w:p>
              </w:tc>
              <w:tc>
                <w:tcPr>
                  <w:tcW w:w="426" w:type="pct"/>
                  <w:tcBorders>
                    <w:tl2br w:val="nil"/>
                    <w:tr2bl w:val="nil"/>
                  </w:tcBorders>
                  <w:vAlign w:val="center"/>
                </w:tcPr>
                <w:p>
                  <w:pPr>
                    <w:pStyle w:val="9"/>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200</w:t>
                  </w:r>
                </w:p>
              </w:tc>
              <w:tc>
                <w:tcPr>
                  <w:tcW w:w="482" w:type="pct"/>
                  <w:tcBorders>
                    <w:tl2br w:val="nil"/>
                    <w:tr2bl w:val="nil"/>
                  </w:tcBorders>
                  <w:vAlign w:val="center"/>
                </w:tcPr>
                <w:p>
                  <w:pPr>
                    <w:pStyle w:val="9"/>
                    <w:snapToGrid w:val="0"/>
                    <w:jc w:val="center"/>
                    <w:rPr>
                      <w:rFonts w:hint="default"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散装</w:t>
                  </w:r>
                </w:p>
              </w:tc>
              <w:tc>
                <w:tcPr>
                  <w:tcW w:w="642" w:type="pct"/>
                  <w:vMerge w:val="restart"/>
                  <w:tcBorders>
                    <w:tl2br w:val="nil"/>
                    <w:tr2bl w:val="nil"/>
                  </w:tcBorders>
                  <w:vAlign w:val="center"/>
                </w:tcPr>
                <w:p>
                  <w:pPr>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704" w:type="pct"/>
                  <w:tcBorders>
                    <w:tl2br w:val="nil"/>
                    <w:tr2bl w:val="nil"/>
                  </w:tcBorders>
                  <w:vAlign w:val="center"/>
                </w:tcPr>
                <w:p>
                  <w:pPr>
                    <w:widowControl/>
                    <w:jc w:val="center"/>
                    <w:textAlignment w:val="center"/>
                    <w:rPr>
                      <w:rFonts w:hint="eastAsia" w:ascii="Times New Roman" w:hAnsi="Times New Roman" w:eastAsia="宋体" w:cs="Times New Roman"/>
                      <w:caps w:val="0"/>
                      <w:color w:val="auto"/>
                      <w:kern w:val="0"/>
                      <w:sz w:val="21"/>
                      <w:szCs w:val="21"/>
                      <w:lang w:val="en-US" w:eastAsia="zh-CN" w:bidi="ar"/>
                    </w:rPr>
                  </w:pPr>
                  <w:r>
                    <w:rPr>
                      <w:rFonts w:hint="eastAsia" w:ascii="Times New Roman" w:hAnsi="Times New Roman" w:eastAsia="宋体" w:cs="Times New Roman"/>
                      <w:caps w:val="0"/>
                      <w:color w:val="auto"/>
                      <w:kern w:val="0"/>
                      <w:sz w:val="21"/>
                      <w:szCs w:val="21"/>
                      <w:lang w:val="en-US" w:eastAsia="zh-CN" w:bidi="ar"/>
                    </w:rPr>
                    <w:t>型材</w:t>
                  </w:r>
                </w:p>
              </w:tc>
              <w:tc>
                <w:tcPr>
                  <w:tcW w:w="865"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ascii="Times New Roman" w:hAnsi="Times New Roman" w:eastAsia="宋体"/>
                      <w:caps w:val="0"/>
                      <w:color w:val="auto"/>
                      <w:szCs w:val="21"/>
                    </w:rPr>
                    <w:t>Q235-A</w:t>
                  </w:r>
                </w:p>
              </w:tc>
              <w:tc>
                <w:tcPr>
                  <w:tcW w:w="583" w:type="pct"/>
                  <w:tcBorders>
                    <w:tl2br w:val="nil"/>
                    <w:tr2bl w:val="nil"/>
                  </w:tcBorders>
                  <w:vAlign w:val="center"/>
                </w:tcPr>
                <w:p>
                  <w:pPr>
                    <w:pStyle w:val="33"/>
                    <w:ind w:firstLine="0" w:firstLineChars="0"/>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0</w:t>
                  </w:r>
                </w:p>
              </w:tc>
              <w:tc>
                <w:tcPr>
                  <w:tcW w:w="695" w:type="pct"/>
                  <w:tcBorders>
                    <w:tl2br w:val="nil"/>
                    <w:tr2bl w:val="nil"/>
                  </w:tcBorders>
                  <w:vAlign w:val="center"/>
                </w:tcPr>
                <w:p>
                  <w:pPr>
                    <w:pStyle w:val="33"/>
                    <w:ind w:firstLine="0" w:firstLineChars="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50</w:t>
                  </w:r>
                </w:p>
              </w:tc>
              <w:tc>
                <w:tcPr>
                  <w:tcW w:w="598" w:type="pct"/>
                  <w:tcBorders>
                    <w:tl2br w:val="nil"/>
                    <w:tr2bl w:val="nil"/>
                  </w:tcBorders>
                  <w:vAlign w:val="center"/>
                </w:tcPr>
                <w:p>
                  <w:pPr>
                    <w:pStyle w:val="9"/>
                    <w:snapToGrid w:val="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+50</w:t>
                  </w:r>
                </w:p>
              </w:tc>
              <w:tc>
                <w:tcPr>
                  <w:tcW w:w="426"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5</w:t>
                  </w:r>
                </w:p>
              </w:tc>
              <w:tc>
                <w:tcPr>
                  <w:tcW w:w="482"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散装</w:t>
                  </w:r>
                </w:p>
              </w:tc>
              <w:tc>
                <w:tcPr>
                  <w:tcW w:w="642" w:type="pct"/>
                  <w:vMerge w:val="continue"/>
                  <w:tcBorders>
                    <w:tl2br w:val="nil"/>
                    <w:tr2bl w:val="nil"/>
                  </w:tcBorders>
                  <w:vAlign w:val="center"/>
                </w:tcPr>
                <w:p>
                  <w:pPr>
                    <w:snapToGrid w:val="0"/>
                    <w:jc w:val="center"/>
                    <w:rPr>
                      <w:rFonts w:ascii="Times New Roman" w:hAnsi="Times New Roman" w:eastAsia="宋体" w:cs="Times New Roman"/>
                      <w:caps w:val="0"/>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pStyle w:val="33"/>
                    <w:rPr>
                      <w:rFonts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rPr>
                    <w:t>焊材</w:t>
                  </w:r>
                </w:p>
              </w:tc>
              <w:tc>
                <w:tcPr>
                  <w:tcW w:w="865" w:type="pct"/>
                  <w:tcBorders>
                    <w:tl2br w:val="nil"/>
                    <w:tr2bl w:val="nil"/>
                  </w:tcBorders>
                  <w:vAlign w:val="center"/>
                </w:tcPr>
                <w:p>
                  <w:pPr>
                    <w:pStyle w:val="9"/>
                    <w:snapToGrid w:val="0"/>
                    <w:jc w:val="center"/>
                    <w:rPr>
                      <w:rFonts w:hint="default" w:ascii="Times New Roman" w:hAnsi="Times New Roman" w:eastAsia="宋体"/>
                      <w:caps w:val="0"/>
                      <w:color w:val="auto"/>
                      <w:szCs w:val="21"/>
                      <w:lang w:val="en-US"/>
                    </w:rPr>
                  </w:pPr>
                  <w:r>
                    <w:rPr>
                      <w:rFonts w:hint="eastAsia" w:ascii="Times New Roman" w:hAnsi="Times New Roman" w:eastAsia="宋体"/>
                      <w:caps w:val="0"/>
                      <w:color w:val="auto"/>
                      <w:szCs w:val="21"/>
                      <w:lang w:val="en-US" w:eastAsia="zh-CN"/>
                    </w:rPr>
                    <w:t>氧化钛、碳钢铁芯，不含铅、氟</w:t>
                  </w:r>
                </w:p>
              </w:tc>
              <w:tc>
                <w:tcPr>
                  <w:tcW w:w="583" w:type="pct"/>
                  <w:tcBorders>
                    <w:tl2br w:val="nil"/>
                    <w:tr2bl w:val="nil"/>
                  </w:tcBorders>
                  <w:vAlign w:val="center"/>
                </w:tcPr>
                <w:p>
                  <w:pPr>
                    <w:pStyle w:val="33"/>
                    <w:rPr>
                      <w:rFonts w:hint="eastAsia" w:ascii="Times New Roman" w:hAnsi="Times New Roman" w:eastAsia="宋体"/>
                      <w:caps w:val="0"/>
                      <w:color w:val="auto"/>
                      <w:lang w:eastAsia="zh-CN"/>
                    </w:rPr>
                  </w:pPr>
                  <w:r>
                    <w:rPr>
                      <w:rFonts w:hint="eastAsia" w:ascii="Times New Roman" w:hAnsi="Times New Roman" w:eastAsia="宋体"/>
                      <w:caps w:val="0"/>
                      <w:color w:val="auto"/>
                      <w:lang w:val="en-US" w:eastAsia="zh-CN"/>
                    </w:rPr>
                    <w:t>6</w:t>
                  </w:r>
                </w:p>
              </w:tc>
              <w:tc>
                <w:tcPr>
                  <w:tcW w:w="695" w:type="pct"/>
                  <w:tcBorders>
                    <w:tl2br w:val="nil"/>
                    <w:tr2bl w:val="nil"/>
                  </w:tcBorders>
                  <w:vAlign w:val="center"/>
                </w:tcPr>
                <w:p>
                  <w:pPr>
                    <w:pStyle w:val="33"/>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lang w:val="en-US" w:eastAsia="zh-CN"/>
                    </w:rPr>
                    <w:t>6</w:t>
                  </w:r>
                </w:p>
              </w:tc>
              <w:tc>
                <w:tcPr>
                  <w:tcW w:w="598"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0</w:t>
                  </w:r>
                </w:p>
              </w:tc>
              <w:tc>
                <w:tcPr>
                  <w:tcW w:w="426" w:type="pct"/>
                  <w:tcBorders>
                    <w:tl2br w:val="nil"/>
                    <w:tr2bl w:val="nil"/>
                  </w:tcBorders>
                  <w:vAlign w:val="center"/>
                </w:tcPr>
                <w:p>
                  <w:pPr>
                    <w:pStyle w:val="9"/>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2</w:t>
                  </w:r>
                </w:p>
              </w:tc>
              <w:tc>
                <w:tcPr>
                  <w:tcW w:w="482"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袋装</w:t>
                  </w:r>
                </w:p>
              </w:tc>
              <w:tc>
                <w:tcPr>
                  <w:tcW w:w="642" w:type="pct"/>
                  <w:vMerge w:val="continue"/>
                  <w:tcBorders>
                    <w:tl2br w:val="nil"/>
                    <w:tr2bl w:val="nil"/>
                  </w:tcBorders>
                  <w:vAlign w:val="center"/>
                </w:tcPr>
                <w:p>
                  <w:pPr>
                    <w:snapToGrid w:val="0"/>
                    <w:jc w:val="center"/>
                    <w:rPr>
                      <w:rFonts w:ascii="Times New Roman" w:hAnsi="Times New Roman" w:eastAsia="宋体"/>
                      <w: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pStyle w:val="33"/>
                    <w:rPr>
                      <w:rFonts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rPr>
                    <w:t>氧气</w:t>
                  </w:r>
                </w:p>
              </w:tc>
              <w:tc>
                <w:tcPr>
                  <w:tcW w:w="865" w:type="pct"/>
                  <w:tcBorders>
                    <w:tl2br w:val="nil"/>
                    <w:tr2bl w:val="nil"/>
                  </w:tcBorders>
                  <w:vAlign w:val="center"/>
                </w:tcPr>
                <w:p>
                  <w:pPr>
                    <w:pStyle w:val="9"/>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olor w:val="auto"/>
                      <w:lang w:val="en-US" w:eastAsia="zh-CN"/>
                    </w:rPr>
                    <w:t>液氧</w:t>
                  </w:r>
                </w:p>
              </w:tc>
              <w:tc>
                <w:tcPr>
                  <w:tcW w:w="583" w:type="pct"/>
                  <w:tcBorders>
                    <w:tl2br w:val="nil"/>
                    <w:tr2bl w:val="nil"/>
                  </w:tcBorders>
                  <w:vAlign w:val="center"/>
                </w:tcPr>
                <w:p>
                  <w:pPr>
                    <w:pStyle w:val="33"/>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25</w:t>
                  </w:r>
                </w:p>
              </w:tc>
              <w:tc>
                <w:tcPr>
                  <w:tcW w:w="695" w:type="pct"/>
                  <w:tcBorders>
                    <w:tl2br w:val="nil"/>
                    <w:tr2bl w:val="nil"/>
                  </w:tcBorders>
                  <w:vAlign w:val="center"/>
                </w:tcPr>
                <w:p>
                  <w:pPr>
                    <w:pStyle w:val="33"/>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lang w:val="en-US" w:eastAsia="zh-CN"/>
                    </w:rPr>
                    <w:t>25</w:t>
                  </w:r>
                </w:p>
              </w:tc>
              <w:tc>
                <w:tcPr>
                  <w:tcW w:w="598"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0</w:t>
                  </w:r>
                </w:p>
              </w:tc>
              <w:tc>
                <w:tcPr>
                  <w:tcW w:w="426" w:type="pct"/>
                  <w:tcBorders>
                    <w:tl2br w:val="nil"/>
                    <w:tr2bl w:val="nil"/>
                  </w:tcBorders>
                  <w:vAlign w:val="center"/>
                </w:tcPr>
                <w:p>
                  <w:pPr>
                    <w:pStyle w:val="9"/>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6</w:t>
                  </w:r>
                </w:p>
              </w:tc>
              <w:tc>
                <w:tcPr>
                  <w:tcW w:w="482" w:type="pct"/>
                  <w:tcBorders>
                    <w:tl2br w:val="nil"/>
                    <w:tr2bl w:val="nil"/>
                  </w:tcBorders>
                  <w:vAlign w:val="center"/>
                </w:tcPr>
                <w:p>
                  <w:pPr>
                    <w:pStyle w:val="9"/>
                    <w:snapToGrid w:val="0"/>
                    <w:jc w:val="center"/>
                    <w:rPr>
                      <w:rFonts w:hint="eastAsia" w:ascii="Times New Roman" w:hAnsi="Times New Roman" w:eastAsia="宋体"/>
                      <w:caps w:val="0"/>
                      <w:color w:val="auto"/>
                      <w:szCs w:val="21"/>
                      <w:lang w:eastAsia="zh-CN"/>
                    </w:rPr>
                  </w:pPr>
                  <w:r>
                    <w:rPr>
                      <w:rFonts w:hint="eastAsia" w:ascii="Times New Roman" w:hAnsi="Times New Roman" w:eastAsia="宋体"/>
                      <w:caps w:val="0"/>
                      <w:color w:val="auto"/>
                      <w:szCs w:val="21"/>
                      <w:lang w:val="en-US" w:eastAsia="zh-CN"/>
                    </w:rPr>
                    <w:t>瓶装</w:t>
                  </w:r>
                </w:p>
              </w:tc>
              <w:tc>
                <w:tcPr>
                  <w:tcW w:w="642" w:type="pct"/>
                  <w:vMerge w:val="continue"/>
                  <w:tcBorders>
                    <w:tl2br w:val="nil"/>
                    <w:tr2bl w:val="nil"/>
                  </w:tcBorders>
                  <w:vAlign w:val="center"/>
                </w:tcPr>
                <w:p>
                  <w:pPr>
                    <w:snapToGrid w:val="0"/>
                    <w:jc w:val="center"/>
                    <w:rPr>
                      <w:rFonts w:ascii="Times New Roman" w:hAnsi="Times New Roman" w:eastAsia="宋体"/>
                      <w: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pStyle w:val="33"/>
                    <w:rPr>
                      <w:rFonts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rPr>
                    <w:t>丙烷</w:t>
                  </w:r>
                </w:p>
              </w:tc>
              <w:tc>
                <w:tcPr>
                  <w:tcW w:w="865"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w:t>
                  </w:r>
                </w:p>
              </w:tc>
              <w:tc>
                <w:tcPr>
                  <w:tcW w:w="583" w:type="pct"/>
                  <w:tcBorders>
                    <w:tl2br w:val="nil"/>
                    <w:tr2bl w:val="nil"/>
                  </w:tcBorders>
                  <w:vAlign w:val="center"/>
                </w:tcPr>
                <w:p>
                  <w:pPr>
                    <w:pStyle w:val="33"/>
                    <w:rPr>
                      <w:rFonts w:hint="default" w:ascii="Times New Roman" w:hAnsi="Times New Roman" w:eastAsia="宋体"/>
                      <w:caps w:val="0"/>
                      <w:color w:val="auto"/>
                      <w:lang w:val="en-US" w:eastAsia="zh-CN"/>
                    </w:rPr>
                  </w:pPr>
                  <w:r>
                    <w:rPr>
                      <w:rFonts w:hint="eastAsia" w:ascii="Times New Roman" w:hAnsi="Times New Roman" w:eastAsia="宋体"/>
                      <w:caps w:val="0"/>
                      <w:color w:val="auto"/>
                      <w:lang w:val="en-US" w:eastAsia="zh-CN"/>
                    </w:rPr>
                    <w:t>11</w:t>
                  </w:r>
                </w:p>
              </w:tc>
              <w:tc>
                <w:tcPr>
                  <w:tcW w:w="695" w:type="pct"/>
                  <w:tcBorders>
                    <w:tl2br w:val="nil"/>
                    <w:tr2bl w:val="nil"/>
                  </w:tcBorders>
                  <w:vAlign w:val="center"/>
                </w:tcPr>
                <w:p>
                  <w:pPr>
                    <w:pStyle w:val="33"/>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lang w:val="en-US" w:eastAsia="zh-CN"/>
                    </w:rPr>
                    <w:t>11</w:t>
                  </w:r>
                </w:p>
              </w:tc>
              <w:tc>
                <w:tcPr>
                  <w:tcW w:w="598"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rPr>
                    <w:t>0</w:t>
                  </w:r>
                </w:p>
              </w:tc>
              <w:tc>
                <w:tcPr>
                  <w:tcW w:w="426" w:type="pct"/>
                  <w:tcBorders>
                    <w:tl2br w:val="nil"/>
                    <w:tr2bl w:val="nil"/>
                  </w:tcBorders>
                  <w:vAlign w:val="center"/>
                </w:tcPr>
                <w:p>
                  <w:pPr>
                    <w:pStyle w:val="9"/>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4</w:t>
                  </w:r>
                </w:p>
              </w:tc>
              <w:tc>
                <w:tcPr>
                  <w:tcW w:w="482" w:type="pct"/>
                  <w:tcBorders>
                    <w:tl2br w:val="nil"/>
                    <w:tr2bl w:val="nil"/>
                  </w:tcBorders>
                  <w:vAlign w:val="center"/>
                </w:tcPr>
                <w:p>
                  <w:pPr>
                    <w:pStyle w:val="9"/>
                    <w:snapToGrid w:val="0"/>
                    <w:jc w:val="center"/>
                    <w:rPr>
                      <w:rFonts w:ascii="Times New Roman" w:hAnsi="Times New Roman" w:eastAsia="宋体"/>
                      <w:caps w:val="0"/>
                      <w:color w:val="auto"/>
                      <w:szCs w:val="21"/>
                    </w:rPr>
                  </w:pPr>
                  <w:r>
                    <w:rPr>
                      <w:rFonts w:hint="eastAsia" w:ascii="Times New Roman" w:hAnsi="Times New Roman" w:eastAsia="宋体"/>
                      <w:caps w:val="0"/>
                      <w:color w:val="auto"/>
                      <w:szCs w:val="21"/>
                      <w:lang w:val="en-US" w:eastAsia="zh-CN"/>
                    </w:rPr>
                    <w:t>瓶装</w:t>
                  </w:r>
                </w:p>
              </w:tc>
              <w:tc>
                <w:tcPr>
                  <w:tcW w:w="642" w:type="pct"/>
                  <w:vMerge w:val="continue"/>
                  <w:tcBorders>
                    <w:tl2br w:val="nil"/>
                    <w:tr2bl w:val="nil"/>
                  </w:tcBorders>
                  <w:vAlign w:val="center"/>
                </w:tcPr>
                <w:p>
                  <w:pPr>
                    <w:snapToGrid w:val="0"/>
                    <w:jc w:val="center"/>
                    <w:rPr>
                      <w:rFonts w:ascii="Times New Roman" w:hAnsi="Times New Roman" w:eastAsia="宋体"/>
                      <w: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pStyle w:val="33"/>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rPr>
                    <w:t>切削液</w:t>
                  </w:r>
                </w:p>
              </w:tc>
              <w:tc>
                <w:tcPr>
                  <w:tcW w:w="865"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kern w:val="2"/>
                      <w:sz w:val="21"/>
                      <w:szCs w:val="21"/>
                      <w:lang w:val="en-US" w:eastAsia="zh-CN" w:bidi="ar-SA"/>
                    </w:rPr>
                    <w:t>矿物油、硫化油脂、油酸二乙醇胺、水</w:t>
                  </w:r>
                </w:p>
              </w:tc>
              <w:tc>
                <w:tcPr>
                  <w:tcW w:w="583" w:type="pct"/>
                  <w:tcBorders>
                    <w:tl2br w:val="nil"/>
                    <w:tr2bl w:val="nil"/>
                  </w:tcBorders>
                  <w:vAlign w:val="center"/>
                </w:tcPr>
                <w:p>
                  <w:pPr>
                    <w:pStyle w:val="33"/>
                    <w:ind w:firstLine="0" w:firstLineChars="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0.15</w:t>
                  </w:r>
                </w:p>
              </w:tc>
              <w:tc>
                <w:tcPr>
                  <w:tcW w:w="695" w:type="pct"/>
                  <w:tcBorders>
                    <w:tl2br w:val="nil"/>
                    <w:tr2bl w:val="nil"/>
                  </w:tcBorders>
                  <w:vAlign w:val="center"/>
                </w:tcPr>
                <w:p>
                  <w:pPr>
                    <w:pStyle w:val="33"/>
                    <w:ind w:firstLine="0" w:firstLineChars="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0.5</w:t>
                  </w:r>
                </w:p>
              </w:tc>
              <w:tc>
                <w:tcPr>
                  <w:tcW w:w="598" w:type="pct"/>
                  <w:tcBorders>
                    <w:tl2br w:val="nil"/>
                    <w:tr2bl w:val="nil"/>
                  </w:tcBorders>
                  <w:vAlign w:val="center"/>
                </w:tcPr>
                <w:p>
                  <w:pPr>
                    <w:pStyle w:val="9"/>
                    <w:adjustRightInd w:val="0"/>
                    <w:snapToGrid w:val="0"/>
                    <w:jc w:val="center"/>
                    <w:rPr>
                      <w:rFonts w:hint="default" w:ascii="Times New Roman" w:hAnsi="Times New Roman" w:eastAsia="宋体" w:cs="Times New Roman"/>
                      <w:caps w:val="0"/>
                      <w:color w:val="auto"/>
                      <w:kern w:val="2"/>
                      <w:sz w:val="21"/>
                      <w:szCs w:val="21"/>
                      <w:lang w:val="en-US" w:eastAsia="zh-CN" w:bidi="ar-SA"/>
                    </w:rPr>
                  </w:pPr>
                  <w:r>
                    <w:rPr>
                      <w:rFonts w:hint="eastAsia"/>
                      <w:color w:val="auto"/>
                      <w:lang w:val="en-US" w:eastAsia="zh-CN"/>
                    </w:rPr>
                    <w:t>+</w:t>
                  </w:r>
                  <w:r>
                    <w:rPr>
                      <w:rFonts w:hint="eastAsia" w:ascii="Times New Roman" w:hAnsi="Times New Roman"/>
                      <w:caps w:val="0"/>
                      <w:color w:val="auto"/>
                      <w:szCs w:val="21"/>
                      <w:lang w:val="en-US" w:eastAsia="zh-CN"/>
                    </w:rPr>
                    <w:t>0.35</w:t>
                  </w:r>
                </w:p>
              </w:tc>
              <w:tc>
                <w:tcPr>
                  <w:tcW w:w="426" w:type="pct"/>
                  <w:tcBorders>
                    <w:tl2br w:val="nil"/>
                    <w:tr2bl w:val="nil"/>
                  </w:tcBorders>
                  <w:vAlign w:val="center"/>
                </w:tcPr>
                <w:p>
                  <w:pPr>
                    <w:pStyle w:val="9"/>
                    <w:snapToGrid w:val="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kern w:val="2"/>
                      <w:sz w:val="21"/>
                      <w:szCs w:val="21"/>
                      <w:lang w:val="en-US" w:eastAsia="zh-CN" w:bidi="ar-SA"/>
                    </w:rPr>
                    <w:t>0.</w:t>
                  </w:r>
                  <w:r>
                    <w:rPr>
                      <w:rFonts w:hint="eastAsia" w:ascii="Times New Roman" w:hAnsi="Times New Roman" w:cs="Times New Roman"/>
                      <w:caps w:val="0"/>
                      <w:color w:val="auto"/>
                      <w:kern w:val="2"/>
                      <w:sz w:val="21"/>
                      <w:szCs w:val="21"/>
                      <w:lang w:val="en-US" w:eastAsia="zh-CN" w:bidi="ar-SA"/>
                    </w:rPr>
                    <w:t>2</w:t>
                  </w:r>
                </w:p>
              </w:tc>
              <w:tc>
                <w:tcPr>
                  <w:tcW w:w="482"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桶装</w:t>
                  </w:r>
                </w:p>
              </w:tc>
              <w:tc>
                <w:tcPr>
                  <w:tcW w:w="642" w:type="pct"/>
                  <w:vMerge w:val="continue"/>
                  <w:tcBorders>
                    <w:tl2br w:val="nil"/>
                    <w:tr2bl w:val="nil"/>
                  </w:tcBorders>
                  <w:vAlign w:val="center"/>
                </w:tcPr>
                <w:p>
                  <w:pPr>
                    <w:snapToGrid w:val="0"/>
                    <w:jc w:val="center"/>
                    <w:rPr>
                      <w:rFonts w:ascii="Times New Roman" w:hAnsi="Times New Roman" w:eastAsia="宋体" w:cs="Times New Roman"/>
                      <w:caps w:val="0"/>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widowControl/>
                    <w:jc w:val="center"/>
                    <w:textAlignment w:val="center"/>
                    <w:rPr>
                      <w:rFonts w:hint="default" w:ascii="Times New Roman" w:hAnsi="Times New Roman" w:eastAsia="宋体" w:cs="Times New Roman"/>
                      <w:caps w:val="0"/>
                      <w:color w:val="auto"/>
                      <w:kern w:val="0"/>
                      <w:sz w:val="21"/>
                      <w:szCs w:val="21"/>
                      <w:lang w:val="en-US" w:eastAsia="zh-CN" w:bidi="ar"/>
                    </w:rPr>
                  </w:pPr>
                  <w:r>
                    <w:rPr>
                      <w:rFonts w:hint="eastAsia" w:ascii="Times New Roman" w:hAnsi="Times New Roman" w:eastAsia="宋体" w:cs="Times New Roman"/>
                      <w:caps w:val="0"/>
                      <w:color w:val="auto"/>
                      <w:kern w:val="0"/>
                      <w:sz w:val="21"/>
                      <w:szCs w:val="21"/>
                      <w:lang w:val="en-US" w:eastAsia="zh-CN" w:bidi="ar"/>
                    </w:rPr>
                    <w:t>高固份漆</w:t>
                  </w:r>
                </w:p>
              </w:tc>
              <w:tc>
                <w:tcPr>
                  <w:tcW w:w="865"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kern w:val="0"/>
                      <w:sz w:val="21"/>
                      <w:szCs w:val="21"/>
                    </w:rPr>
                    <w:t>固体分</w:t>
                  </w:r>
                  <w:r>
                    <w:rPr>
                      <w:rFonts w:hint="eastAsia" w:ascii="Times New Roman" w:hAnsi="Times New Roman" w:eastAsia="宋体"/>
                      <w:caps w:val="0"/>
                      <w:color w:val="auto"/>
                      <w:kern w:val="0"/>
                      <w:sz w:val="21"/>
                      <w:szCs w:val="21"/>
                      <w:lang w:val="en-US" w:eastAsia="zh-CN"/>
                    </w:rPr>
                    <w:t>＞87%</w:t>
                  </w:r>
                  <w:r>
                    <w:rPr>
                      <w:rFonts w:hint="eastAsia" w:ascii="Times New Roman" w:hAnsi="Times New Roman" w:eastAsia="宋体"/>
                      <w:caps w:val="0"/>
                      <w:color w:val="auto"/>
                      <w:kern w:val="0"/>
                      <w:sz w:val="21"/>
                      <w:szCs w:val="21"/>
                    </w:rPr>
                    <w:t>，二甲苯</w:t>
                  </w:r>
                  <w:r>
                    <w:rPr>
                      <w:rFonts w:hint="eastAsia" w:ascii="Times New Roman" w:hAnsi="Times New Roman" w:eastAsia="宋体"/>
                      <w:caps w:val="0"/>
                      <w:color w:val="auto"/>
                      <w:kern w:val="0"/>
                      <w:sz w:val="21"/>
                      <w:szCs w:val="21"/>
                      <w:lang w:val="en-US" w:eastAsia="zh-CN"/>
                    </w:rPr>
                    <w:t>2.5-3%</w:t>
                  </w:r>
                  <w:r>
                    <w:rPr>
                      <w:rFonts w:hint="eastAsia" w:ascii="Times New Roman" w:hAnsi="Times New Roman" w:eastAsia="宋体"/>
                      <w:caps w:val="0"/>
                      <w:color w:val="auto"/>
                      <w:kern w:val="0"/>
                      <w:sz w:val="21"/>
                      <w:szCs w:val="21"/>
                    </w:rPr>
                    <w:t>，醋酸丁酯</w:t>
                  </w:r>
                  <w:r>
                    <w:rPr>
                      <w:rFonts w:hint="eastAsia" w:ascii="Times New Roman" w:hAnsi="Times New Roman" w:eastAsia="宋体"/>
                      <w:caps w:val="0"/>
                      <w:color w:val="auto"/>
                      <w:kern w:val="0"/>
                      <w:sz w:val="21"/>
                      <w:szCs w:val="21"/>
                      <w:lang w:val="en-US" w:eastAsia="zh-CN"/>
                    </w:rPr>
                    <w:t>3-5%</w:t>
                  </w:r>
                  <w:r>
                    <w:rPr>
                      <w:rFonts w:hint="eastAsia" w:ascii="Times New Roman" w:hAnsi="Times New Roman" w:eastAsia="宋体"/>
                      <w:caps w:val="0"/>
                      <w:color w:val="auto"/>
                      <w:kern w:val="0"/>
                      <w:sz w:val="21"/>
                      <w:szCs w:val="21"/>
                    </w:rPr>
                    <w:t>，正丁醇</w:t>
                  </w:r>
                  <w:r>
                    <w:rPr>
                      <w:rFonts w:hint="eastAsia" w:ascii="Times New Roman" w:hAnsi="Times New Roman" w:eastAsia="宋体"/>
                      <w:caps w:val="0"/>
                      <w:color w:val="auto"/>
                      <w:kern w:val="0"/>
                      <w:sz w:val="21"/>
                      <w:szCs w:val="21"/>
                      <w:lang w:val="en-US" w:eastAsia="zh-CN"/>
                    </w:rPr>
                    <w:t>1-3%</w:t>
                  </w:r>
                  <w:r>
                    <w:rPr>
                      <w:rFonts w:hint="eastAsia" w:ascii="Times New Roman" w:hAnsi="Times New Roman" w:eastAsia="宋体"/>
                      <w:caps w:val="0"/>
                      <w:color w:val="auto"/>
                      <w:kern w:val="0"/>
                      <w:sz w:val="21"/>
                      <w:szCs w:val="21"/>
                    </w:rPr>
                    <w:t>，卡必醇</w:t>
                  </w:r>
                  <w:r>
                    <w:rPr>
                      <w:rFonts w:hint="eastAsia" w:ascii="Times New Roman" w:hAnsi="Times New Roman" w:eastAsia="宋体"/>
                      <w:caps w:val="0"/>
                      <w:color w:val="auto"/>
                      <w:kern w:val="0"/>
                      <w:sz w:val="21"/>
                      <w:szCs w:val="21"/>
                      <w:lang w:val="en-US" w:eastAsia="zh-CN"/>
                    </w:rPr>
                    <w:t>0.5-1%</w:t>
                  </w:r>
                  <w:r>
                    <w:rPr>
                      <w:rFonts w:hint="eastAsia" w:ascii="Times New Roman" w:hAnsi="Times New Roman" w:eastAsia="宋体"/>
                      <w:caps w:val="0"/>
                      <w:color w:val="auto"/>
                      <w:kern w:val="0"/>
                      <w:sz w:val="21"/>
                      <w:szCs w:val="21"/>
                    </w:rPr>
                    <w:t>，丙二醇甲醚醋酸酯</w:t>
                  </w:r>
                  <w:r>
                    <w:rPr>
                      <w:rFonts w:hint="eastAsia" w:ascii="Times New Roman" w:hAnsi="Times New Roman" w:eastAsia="宋体"/>
                      <w:caps w:val="0"/>
                      <w:color w:val="auto"/>
                      <w:kern w:val="0"/>
                      <w:sz w:val="21"/>
                      <w:szCs w:val="21"/>
                      <w:lang w:val="en-US" w:eastAsia="zh-CN"/>
                    </w:rPr>
                    <w:t>1-3%</w:t>
                  </w:r>
                  <w:r>
                    <w:rPr>
                      <w:rFonts w:hint="eastAsia" w:ascii="Times New Roman" w:hAnsi="Times New Roman" w:eastAsia="宋体"/>
                      <w:caps w:val="0"/>
                      <w:color w:val="auto"/>
                      <w:kern w:val="0"/>
                      <w:sz w:val="21"/>
                      <w:szCs w:val="21"/>
                    </w:rPr>
                    <w:t>，异丁酸异丁酯</w:t>
                  </w:r>
                  <w:r>
                    <w:rPr>
                      <w:rFonts w:hint="eastAsia" w:ascii="Times New Roman" w:hAnsi="Times New Roman" w:eastAsia="宋体"/>
                      <w:caps w:val="0"/>
                      <w:color w:val="auto"/>
                      <w:kern w:val="0"/>
                      <w:sz w:val="21"/>
                      <w:szCs w:val="21"/>
                      <w:lang w:val="en-US" w:eastAsia="zh-CN"/>
                    </w:rPr>
                    <w:t>0.5-1%</w:t>
                  </w:r>
                  <w:r>
                    <w:rPr>
                      <w:rFonts w:hint="eastAsia" w:ascii="Times New Roman" w:hAnsi="Times New Roman" w:eastAsia="宋体"/>
                      <w:caps w:val="0"/>
                      <w:color w:val="auto"/>
                      <w:kern w:val="0"/>
                      <w:sz w:val="21"/>
                      <w:szCs w:val="21"/>
                    </w:rPr>
                    <w:t>，醋酸乙酯</w:t>
                  </w:r>
                  <w:r>
                    <w:rPr>
                      <w:rFonts w:hint="eastAsia" w:ascii="Times New Roman" w:hAnsi="Times New Roman" w:eastAsia="宋体"/>
                      <w:caps w:val="0"/>
                      <w:color w:val="auto"/>
                      <w:kern w:val="0"/>
                      <w:sz w:val="21"/>
                      <w:szCs w:val="21"/>
                      <w:lang w:val="en-US" w:eastAsia="zh-CN"/>
                    </w:rPr>
                    <w:t>1-2%</w:t>
                  </w:r>
                  <w:r>
                    <w:rPr>
                      <w:rFonts w:hint="eastAsia" w:ascii="Times New Roman" w:hAnsi="Times New Roman" w:eastAsia="宋体"/>
                      <w:caps w:val="0"/>
                      <w:color w:val="auto"/>
                      <w:kern w:val="0"/>
                      <w:sz w:val="21"/>
                      <w:szCs w:val="21"/>
                    </w:rPr>
                    <w:t>，其他溶剂</w:t>
                  </w:r>
                  <w:r>
                    <w:rPr>
                      <w:rFonts w:hint="eastAsia" w:ascii="Times New Roman" w:hAnsi="Times New Roman" w:eastAsia="宋体"/>
                      <w:caps w:val="0"/>
                      <w:color w:val="auto"/>
                      <w:kern w:val="0"/>
                      <w:sz w:val="21"/>
                      <w:szCs w:val="21"/>
                      <w:lang w:val="en-US" w:eastAsia="zh-CN"/>
                    </w:rPr>
                    <w:t>0-1%</w:t>
                  </w:r>
                </w:p>
              </w:tc>
              <w:tc>
                <w:tcPr>
                  <w:tcW w:w="583" w:type="pct"/>
                  <w:tcBorders>
                    <w:tl2br w:val="nil"/>
                    <w:tr2bl w:val="nil"/>
                  </w:tcBorders>
                  <w:vAlign w:val="center"/>
                </w:tcPr>
                <w:p>
                  <w:pPr>
                    <w:pStyle w:val="33"/>
                    <w:ind w:firstLine="0" w:firstLineChars="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0</w:t>
                  </w:r>
                </w:p>
              </w:tc>
              <w:tc>
                <w:tcPr>
                  <w:tcW w:w="695" w:type="pct"/>
                  <w:tcBorders>
                    <w:tl2br w:val="nil"/>
                    <w:tr2bl w:val="nil"/>
                  </w:tcBorders>
                  <w:vAlign w:val="center"/>
                </w:tcPr>
                <w:p>
                  <w:pPr>
                    <w:pStyle w:val="33"/>
                    <w:ind w:firstLine="0" w:firstLineChars="0"/>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3.82</w:t>
                  </w:r>
                </w:p>
              </w:tc>
              <w:tc>
                <w:tcPr>
                  <w:tcW w:w="598" w:type="pct"/>
                  <w:tcBorders>
                    <w:tl2br w:val="nil"/>
                    <w:tr2bl w:val="nil"/>
                  </w:tcBorders>
                  <w:vAlign w:val="center"/>
                </w:tcPr>
                <w:p>
                  <w:pPr>
                    <w:pStyle w:val="9"/>
                    <w:adjustRightInd w:val="0"/>
                    <w:snapToGrid w:val="0"/>
                    <w:jc w:val="center"/>
                    <w:rPr>
                      <w:rFonts w:hint="eastAsia" w:ascii="Times New Roman" w:hAnsi="Times New Roman" w:eastAsia="宋体"/>
                      <w:caps w:val="0"/>
                      <w:color w:val="auto"/>
                      <w:szCs w:val="21"/>
                      <w:lang w:val="en-US" w:eastAsia="zh-CN"/>
                    </w:rPr>
                  </w:pPr>
                  <w:r>
                    <w:rPr>
                      <w:rFonts w:hint="eastAsia" w:ascii="Times New Roman" w:hAnsi="Times New Roman" w:eastAsia="宋体"/>
                      <w:caps w:val="0"/>
                      <w:color w:val="auto"/>
                      <w:szCs w:val="21"/>
                      <w:lang w:val="en-US" w:eastAsia="zh-CN"/>
                    </w:rPr>
                    <w:t>+3.82</w:t>
                  </w:r>
                </w:p>
              </w:tc>
              <w:tc>
                <w:tcPr>
                  <w:tcW w:w="426"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1</w:t>
                  </w:r>
                </w:p>
              </w:tc>
              <w:tc>
                <w:tcPr>
                  <w:tcW w:w="482"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桶装</w:t>
                  </w:r>
                </w:p>
              </w:tc>
              <w:tc>
                <w:tcPr>
                  <w:tcW w:w="642" w:type="pct"/>
                  <w:vMerge w:val="restart"/>
                  <w:tcBorders>
                    <w:tl2br w:val="nil"/>
                    <w:tr2bl w:val="nil"/>
                  </w:tcBorders>
                  <w:vAlign w:val="center"/>
                </w:tcPr>
                <w:p>
                  <w:pPr>
                    <w:snapToGrid w:val="0"/>
                    <w:jc w:val="center"/>
                    <w:rPr>
                      <w:rFonts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b w:val="0"/>
                      <w:bCs w:val="0"/>
                      <w:caps w:val="0"/>
                      <w:color w:val="auto"/>
                      <w:kern w:val="2"/>
                      <w:sz w:val="21"/>
                      <w:szCs w:val="21"/>
                      <w:lang w:val="en-US" w:eastAsia="zh-CN"/>
                    </w:rPr>
                    <w:t>专用防爆柜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widowControl/>
                    <w:jc w:val="center"/>
                    <w:textAlignment w:val="center"/>
                    <w:rPr>
                      <w:rFonts w:hint="eastAsia" w:ascii="Times New Roman" w:hAnsi="Times New Roman" w:eastAsia="宋体" w:cs="Times New Roman"/>
                      <w:caps w:val="0"/>
                      <w:color w:val="auto"/>
                      <w:kern w:val="0"/>
                      <w:sz w:val="21"/>
                      <w:szCs w:val="21"/>
                      <w:lang w:val="en-US" w:eastAsia="zh-CN" w:bidi="ar"/>
                    </w:rPr>
                  </w:pPr>
                  <w:r>
                    <w:rPr>
                      <w:rFonts w:hint="eastAsia" w:ascii="Times New Roman" w:hAnsi="Times New Roman" w:eastAsia="宋体" w:cs="Times New Roman"/>
                      <w:caps w:val="0"/>
                      <w:color w:val="auto"/>
                      <w:kern w:val="0"/>
                      <w:sz w:val="21"/>
                      <w:szCs w:val="21"/>
                      <w:lang w:val="en-US" w:eastAsia="zh-CN" w:bidi="ar"/>
                    </w:rPr>
                    <w:t>稀释剂</w:t>
                  </w:r>
                </w:p>
              </w:tc>
              <w:tc>
                <w:tcPr>
                  <w:tcW w:w="865"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olor w:val="auto"/>
                      <w:kern w:val="0"/>
                      <w:sz w:val="21"/>
                      <w:szCs w:val="21"/>
                    </w:rPr>
                    <w:t>乙酸正丁酯</w:t>
                  </w:r>
                </w:p>
              </w:tc>
              <w:tc>
                <w:tcPr>
                  <w:tcW w:w="583" w:type="pct"/>
                  <w:tcBorders>
                    <w:tl2br w:val="nil"/>
                    <w:tr2bl w:val="nil"/>
                  </w:tcBorders>
                  <w:vAlign w:val="center"/>
                </w:tcPr>
                <w:p>
                  <w:pPr>
                    <w:pStyle w:val="33"/>
                    <w:ind w:firstLine="0" w:firstLineChars="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0</w:t>
                  </w:r>
                </w:p>
              </w:tc>
              <w:tc>
                <w:tcPr>
                  <w:tcW w:w="695" w:type="pct"/>
                  <w:tcBorders>
                    <w:tl2br w:val="nil"/>
                    <w:tr2bl w:val="nil"/>
                  </w:tcBorders>
                  <w:vAlign w:val="center"/>
                </w:tcPr>
                <w:p>
                  <w:pPr>
                    <w:pStyle w:val="33"/>
                    <w:ind w:firstLine="0" w:firstLineChars="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0.97</w:t>
                  </w:r>
                </w:p>
              </w:tc>
              <w:tc>
                <w:tcPr>
                  <w:tcW w:w="598"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kern w:val="2"/>
                      <w:sz w:val="21"/>
                      <w:szCs w:val="21"/>
                      <w:lang w:val="en-US" w:eastAsia="zh-CN" w:bidi="ar-SA"/>
                    </w:rPr>
                    <w:t>0.97</w:t>
                  </w:r>
                </w:p>
              </w:tc>
              <w:tc>
                <w:tcPr>
                  <w:tcW w:w="426" w:type="pct"/>
                  <w:tcBorders>
                    <w:tl2br w:val="nil"/>
                    <w:tr2bl w:val="nil"/>
                  </w:tcBorders>
                  <w:vAlign w:val="center"/>
                </w:tcPr>
                <w:p>
                  <w:pPr>
                    <w:pStyle w:val="9"/>
                    <w:snapToGrid w:val="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0.5</w:t>
                  </w:r>
                </w:p>
              </w:tc>
              <w:tc>
                <w:tcPr>
                  <w:tcW w:w="482"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桶装</w:t>
                  </w:r>
                </w:p>
              </w:tc>
              <w:tc>
                <w:tcPr>
                  <w:tcW w:w="642" w:type="pct"/>
                  <w:vMerge w:val="continue"/>
                  <w:tcBorders>
                    <w:tl2br w:val="nil"/>
                    <w:tr2bl w:val="nil"/>
                  </w:tcBorders>
                  <w:vAlign w:val="center"/>
                </w:tcPr>
                <w:p>
                  <w:pPr>
                    <w:snapToGrid w:val="0"/>
                    <w:jc w:val="center"/>
                    <w:rPr>
                      <w:rFonts w:ascii="Times New Roman" w:hAnsi="Times New Roman" w:eastAsia="宋体" w:cs="Times New Roman"/>
                      <w:caps w:val="0"/>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04" w:type="pct"/>
                  <w:tcBorders>
                    <w:tl2br w:val="nil"/>
                    <w:tr2bl w:val="nil"/>
                  </w:tcBorders>
                  <w:vAlign w:val="center"/>
                </w:tcPr>
                <w:p>
                  <w:pPr>
                    <w:widowControl/>
                    <w:jc w:val="center"/>
                    <w:textAlignment w:val="center"/>
                    <w:rPr>
                      <w:rFonts w:hint="default" w:ascii="Times New Roman" w:hAnsi="Times New Roman" w:eastAsia="宋体" w:cs="Times New Roman"/>
                      <w:caps w:val="0"/>
                      <w:color w:val="auto"/>
                      <w:kern w:val="0"/>
                      <w:sz w:val="21"/>
                      <w:szCs w:val="21"/>
                      <w:lang w:val="en-US" w:eastAsia="zh-CN" w:bidi="ar"/>
                    </w:rPr>
                  </w:pPr>
                  <w:r>
                    <w:rPr>
                      <w:rFonts w:hint="eastAsia" w:ascii="Times New Roman" w:hAnsi="Times New Roman" w:eastAsia="宋体" w:cs="Times New Roman"/>
                      <w:caps w:val="0"/>
                      <w:color w:val="auto"/>
                      <w:kern w:val="0"/>
                      <w:sz w:val="21"/>
                      <w:szCs w:val="21"/>
                      <w:lang w:val="en-US" w:eastAsia="zh-CN" w:bidi="ar"/>
                    </w:rPr>
                    <w:t>螺丝螺母标准件</w:t>
                  </w:r>
                </w:p>
              </w:tc>
              <w:tc>
                <w:tcPr>
                  <w:tcW w:w="865"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不锈钢</w:t>
                  </w:r>
                </w:p>
              </w:tc>
              <w:tc>
                <w:tcPr>
                  <w:tcW w:w="583" w:type="pct"/>
                  <w:tcBorders>
                    <w:tl2br w:val="nil"/>
                    <w:tr2bl w:val="nil"/>
                  </w:tcBorders>
                  <w:vAlign w:val="center"/>
                </w:tcPr>
                <w:p>
                  <w:pPr>
                    <w:pStyle w:val="33"/>
                    <w:ind w:firstLine="0" w:firstLineChars="0"/>
                    <w:jc w:val="center"/>
                    <w:rPr>
                      <w:rFonts w:hint="default"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bidi="ar-SA"/>
                    </w:rPr>
                    <w:t>0</w:t>
                  </w:r>
                </w:p>
              </w:tc>
              <w:tc>
                <w:tcPr>
                  <w:tcW w:w="695" w:type="pct"/>
                  <w:tcBorders>
                    <w:tl2br w:val="nil"/>
                    <w:tr2bl w:val="nil"/>
                  </w:tcBorders>
                  <w:vAlign w:val="center"/>
                </w:tcPr>
                <w:p>
                  <w:pPr>
                    <w:pStyle w:val="33"/>
                    <w:ind w:firstLine="0" w:firstLineChars="0"/>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sz w:val="21"/>
                      <w:szCs w:val="21"/>
                      <w:lang w:val="en-US" w:eastAsia="zh-CN"/>
                    </w:rPr>
                    <w:t>5</w:t>
                  </w:r>
                </w:p>
              </w:tc>
              <w:tc>
                <w:tcPr>
                  <w:tcW w:w="598" w:type="pct"/>
                  <w:tcBorders>
                    <w:tl2br w:val="nil"/>
                    <w:tr2bl w:val="nil"/>
                  </w:tcBorders>
                  <w:vAlign w:val="center"/>
                </w:tcPr>
                <w:p>
                  <w:pPr>
                    <w:pStyle w:val="9"/>
                    <w:snapToGrid w:val="0"/>
                    <w:jc w:val="center"/>
                    <w:rPr>
                      <w:rFonts w:hint="default"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kern w:val="2"/>
                      <w:sz w:val="21"/>
                      <w:szCs w:val="21"/>
                      <w:lang w:val="en-US" w:eastAsia="zh-CN" w:bidi="ar-SA"/>
                    </w:rPr>
                    <w:t>+5</w:t>
                  </w:r>
                </w:p>
              </w:tc>
              <w:tc>
                <w:tcPr>
                  <w:tcW w:w="426"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2</w:t>
                  </w:r>
                </w:p>
              </w:tc>
              <w:tc>
                <w:tcPr>
                  <w:tcW w:w="482" w:type="pct"/>
                  <w:tcBorders>
                    <w:tl2br w:val="nil"/>
                    <w:tr2bl w:val="nil"/>
                  </w:tcBorders>
                  <w:vAlign w:val="center"/>
                </w:tcPr>
                <w:p>
                  <w:pPr>
                    <w:pStyle w:val="9"/>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lang w:val="en-US" w:eastAsia="zh-CN"/>
                    </w:rPr>
                    <w:t>袋装</w:t>
                  </w:r>
                </w:p>
              </w:tc>
              <w:tc>
                <w:tcPr>
                  <w:tcW w:w="642" w:type="pct"/>
                  <w:tcBorders>
                    <w:tl2br w:val="nil"/>
                    <w:tr2bl w:val="nil"/>
                  </w:tcBorders>
                  <w:vAlign w:val="center"/>
                </w:tcPr>
                <w:p>
                  <w:pPr>
                    <w:snapToGrid w:val="0"/>
                    <w:jc w:val="center"/>
                    <w:rPr>
                      <w:rFonts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Cs w:val="21"/>
                      <w:lang w:val="en-US" w:eastAsia="zh-CN"/>
                    </w:rPr>
                    <w:t>原料仓库</w:t>
                  </w:r>
                </w:p>
              </w:tc>
            </w:tr>
            <w:bookmarkEnd w:id="13"/>
          </w:tbl>
          <w:p>
            <w:pPr>
              <w:jc w:val="center"/>
              <w:rPr>
                <w:rFonts w:hint="eastAsia" w:ascii="Times New Roman" w:hAnsi="Times New Roman" w:eastAsia="宋体"/>
                <w:b/>
                <w:bCs/>
                <w:caps w:val="0"/>
                <w:color w:val="auto"/>
                <w:szCs w:val="21"/>
              </w:rPr>
            </w:pPr>
            <w:r>
              <w:rPr>
                <w:rFonts w:ascii="Times New Roman" w:hAnsi="Times New Roman" w:eastAsia="宋体"/>
                <w:b/>
                <w:bCs/>
                <w:caps w:val="0"/>
                <w:color w:val="auto"/>
                <w:szCs w:val="21"/>
              </w:rPr>
              <w:t>表</w:t>
            </w:r>
            <w:r>
              <w:rPr>
                <w:rFonts w:hint="eastAsia" w:ascii="Times New Roman" w:hAnsi="Times New Roman" w:eastAsia="宋体"/>
                <w:b/>
                <w:bCs/>
                <w:caps w:val="0"/>
                <w:color w:val="auto"/>
                <w:szCs w:val="21"/>
              </w:rPr>
              <w:t>2</w:t>
            </w:r>
            <w:r>
              <w:rPr>
                <w:rFonts w:ascii="Times New Roman" w:hAnsi="Times New Roman" w:eastAsia="宋体"/>
                <w:b/>
                <w:bCs/>
                <w:caps w:val="0"/>
                <w:color w:val="auto"/>
                <w:szCs w:val="21"/>
              </w:rPr>
              <w:t>-</w:t>
            </w:r>
            <w:r>
              <w:rPr>
                <w:rFonts w:hint="eastAsia" w:ascii="Times New Roman" w:hAnsi="Times New Roman" w:eastAsia="宋体"/>
                <w:b/>
                <w:bCs/>
                <w:caps w:val="0"/>
                <w:color w:val="auto"/>
                <w:szCs w:val="21"/>
                <w:lang w:val="en-US" w:eastAsia="zh-CN"/>
              </w:rPr>
              <w:t>7</w:t>
            </w:r>
            <w:r>
              <w:rPr>
                <w:rFonts w:ascii="Times New Roman" w:hAnsi="Times New Roman" w:eastAsia="宋体"/>
                <w:b/>
                <w:bCs/>
                <w:caps w:val="0"/>
                <w:color w:val="auto"/>
                <w:szCs w:val="21"/>
              </w:rPr>
              <w:t xml:space="preserve"> </w:t>
            </w:r>
            <w:r>
              <w:rPr>
                <w:rFonts w:hint="eastAsia" w:ascii="Times New Roman" w:hAnsi="Times New Roman" w:eastAsia="宋体"/>
                <w:b/>
                <w:bCs/>
                <w:caps w:val="0"/>
                <w:color w:val="auto"/>
                <w:szCs w:val="21"/>
              </w:rPr>
              <w:t>建设项目主要原辅材料理化性质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4076"/>
              <w:gridCol w:w="629"/>
              <w:gridCol w:w="2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ascii="Times New Roman" w:hAnsi="Times New Roman" w:eastAsia="宋体"/>
                      <w:b/>
                      <w:bCs/>
                      <w:caps w:val="0"/>
                      <w:color w:val="auto"/>
                      <w:sz w:val="21"/>
                      <w:szCs w:val="21"/>
                      <w:lang w:val="en-GB"/>
                    </w:rPr>
                  </w:pPr>
                  <w:r>
                    <w:rPr>
                      <w:rFonts w:hint="eastAsia" w:ascii="Times New Roman" w:hAnsi="Times New Roman" w:eastAsia="宋体"/>
                      <w:b/>
                      <w:bCs/>
                      <w:caps w:val="0"/>
                      <w:color w:val="auto"/>
                      <w:sz w:val="21"/>
                      <w:szCs w:val="21"/>
                      <w:lang w:val="en-GB"/>
                    </w:rPr>
                    <w:t>名称</w:t>
                  </w:r>
                </w:p>
              </w:tc>
              <w:tc>
                <w:tcPr>
                  <w:tcW w:w="2448" w:type="pct"/>
                  <w:tcBorders>
                    <w:tl2br w:val="nil"/>
                    <w:tr2bl w:val="nil"/>
                  </w:tcBorders>
                  <w:vAlign w:val="center"/>
                </w:tcPr>
                <w:p>
                  <w:pPr>
                    <w:spacing w:line="240" w:lineRule="auto"/>
                    <w:ind w:firstLine="8" w:firstLineChars="4"/>
                    <w:jc w:val="center"/>
                    <w:rPr>
                      <w:rFonts w:ascii="Times New Roman" w:hAnsi="Times New Roman" w:eastAsia="宋体"/>
                      <w:b/>
                      <w:bCs/>
                      <w:caps w:val="0"/>
                      <w:color w:val="auto"/>
                      <w:sz w:val="21"/>
                      <w:szCs w:val="21"/>
                    </w:rPr>
                  </w:pPr>
                  <w:r>
                    <w:rPr>
                      <w:rFonts w:hint="eastAsia" w:ascii="Times New Roman" w:hAnsi="Times New Roman" w:eastAsia="宋体"/>
                      <w:b/>
                      <w:bCs/>
                      <w:caps w:val="0"/>
                      <w:color w:val="auto"/>
                      <w:sz w:val="21"/>
                      <w:szCs w:val="21"/>
                    </w:rPr>
                    <w:t>理化性质</w:t>
                  </w:r>
                </w:p>
              </w:tc>
              <w:tc>
                <w:tcPr>
                  <w:tcW w:w="378" w:type="pct"/>
                  <w:tcBorders>
                    <w:tl2br w:val="nil"/>
                    <w:tr2bl w:val="nil"/>
                  </w:tcBorders>
                  <w:vAlign w:val="center"/>
                </w:tcPr>
                <w:p>
                  <w:pPr>
                    <w:spacing w:line="240" w:lineRule="auto"/>
                    <w:ind w:firstLine="8" w:firstLineChars="4"/>
                    <w:jc w:val="center"/>
                    <w:rPr>
                      <w:rFonts w:ascii="Times New Roman" w:hAnsi="Times New Roman" w:eastAsia="宋体"/>
                      <w:b/>
                      <w:bCs/>
                      <w:caps w:val="0"/>
                      <w:color w:val="auto"/>
                      <w:sz w:val="21"/>
                      <w:szCs w:val="21"/>
                    </w:rPr>
                  </w:pPr>
                  <w:r>
                    <w:rPr>
                      <w:rFonts w:hint="eastAsia" w:ascii="Times New Roman" w:hAnsi="Times New Roman" w:eastAsia="宋体"/>
                      <w:b/>
                      <w:bCs/>
                      <w:caps w:val="0"/>
                      <w:color w:val="auto"/>
                      <w:sz w:val="21"/>
                      <w:szCs w:val="21"/>
                    </w:rPr>
                    <w:t>燃烧特性</w:t>
                  </w:r>
                </w:p>
              </w:tc>
              <w:tc>
                <w:tcPr>
                  <w:tcW w:w="1527" w:type="pct"/>
                  <w:tcBorders>
                    <w:tl2br w:val="nil"/>
                    <w:tr2bl w:val="nil"/>
                  </w:tcBorders>
                  <w:vAlign w:val="center"/>
                </w:tcPr>
                <w:p>
                  <w:pPr>
                    <w:spacing w:line="240" w:lineRule="auto"/>
                    <w:ind w:firstLine="8" w:firstLineChars="4"/>
                    <w:jc w:val="center"/>
                    <w:rPr>
                      <w:rFonts w:ascii="Times New Roman" w:hAnsi="Times New Roman" w:eastAsia="宋体"/>
                      <w:b/>
                      <w:bCs/>
                      <w:caps w:val="0"/>
                      <w:color w:val="auto"/>
                      <w:sz w:val="21"/>
                      <w:szCs w:val="21"/>
                    </w:rPr>
                  </w:pPr>
                  <w:r>
                    <w:rPr>
                      <w:rFonts w:hint="eastAsia" w:ascii="Times New Roman" w:hAnsi="Times New Roman" w:eastAsia="宋体"/>
                      <w:b/>
                      <w:bCs/>
                      <w:caps w:val="0"/>
                      <w:color w:val="auto"/>
                      <w:sz w:val="21"/>
                      <w:szCs w:val="21"/>
                    </w:rPr>
                    <w:t>毒性毒理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645" w:type="pct"/>
                  <w:tcBorders>
                    <w:tl2br w:val="nil"/>
                    <w:tr2bl w:val="nil"/>
                  </w:tcBorders>
                  <w:vAlign w:val="center"/>
                </w:tcPr>
                <w:p>
                  <w:pPr>
                    <w:spacing w:line="240" w:lineRule="auto"/>
                    <w:jc w:val="center"/>
                    <w:rPr>
                      <w:rFonts w:ascii="Times New Roman" w:hAnsi="Times New Roman" w:eastAsia="宋体"/>
                      <w:caps w:val="0"/>
                      <w:color w:val="auto"/>
                      <w:sz w:val="21"/>
                      <w:szCs w:val="21"/>
                      <w:lang w:val="en-GB"/>
                    </w:rPr>
                  </w:pPr>
                  <w:r>
                    <w:rPr>
                      <w:rFonts w:hint="eastAsia" w:ascii="Times New Roman" w:hAnsi="Times New Roman" w:eastAsia="宋体"/>
                      <w:caps w:val="0"/>
                      <w:color w:val="auto"/>
                      <w:sz w:val="21"/>
                      <w:szCs w:val="21"/>
                    </w:rPr>
                    <w:t>二甲苯</w:t>
                  </w:r>
                </w:p>
              </w:tc>
              <w:tc>
                <w:tcPr>
                  <w:tcW w:w="2448" w:type="pct"/>
                  <w:tcBorders>
                    <w:tl2br w:val="nil"/>
                    <w:tr2bl w:val="nil"/>
                  </w:tcBorders>
                  <w:vAlign w:val="center"/>
                </w:tcPr>
                <w:p>
                  <w:pPr>
                    <w:spacing w:line="240" w:lineRule="auto"/>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C</w:t>
                  </w:r>
                  <w:r>
                    <w:rPr>
                      <w:rFonts w:ascii="Times New Roman" w:hAnsi="Times New Roman" w:eastAsia="宋体"/>
                      <w:caps w:val="0"/>
                      <w:color w:val="auto"/>
                      <w:sz w:val="21"/>
                      <w:szCs w:val="21"/>
                      <w:vertAlign w:val="subscript"/>
                    </w:rPr>
                    <w:t>8</w:t>
                  </w:r>
                  <w:r>
                    <w:rPr>
                      <w:rFonts w:ascii="Times New Roman" w:hAnsi="Times New Roman" w:eastAsia="宋体"/>
                      <w:caps w:val="0"/>
                      <w:color w:val="auto"/>
                      <w:sz w:val="21"/>
                      <w:szCs w:val="21"/>
                    </w:rPr>
                    <w:t>H</w:t>
                  </w:r>
                  <w:r>
                    <w:rPr>
                      <w:rFonts w:ascii="Times New Roman" w:hAnsi="Times New Roman" w:eastAsia="宋体"/>
                      <w:caps w:val="0"/>
                      <w:color w:val="auto"/>
                      <w:sz w:val="21"/>
                      <w:szCs w:val="21"/>
                      <w:vertAlign w:val="subscript"/>
                    </w:rPr>
                    <w:t>10</w:t>
                  </w:r>
                  <w:r>
                    <w:rPr>
                      <w:rFonts w:hint="eastAsia" w:ascii="Times New Roman" w:hAnsi="Times New Roman" w:eastAsia="宋体"/>
                      <w:caps w:val="0"/>
                      <w:color w:val="auto"/>
                      <w:sz w:val="21"/>
                      <w:szCs w:val="21"/>
                    </w:rPr>
                    <w:t>，无色透明液体，有类似甲苯的气味，熔点</w:t>
                  </w:r>
                  <w:r>
                    <w:rPr>
                      <w:rFonts w:ascii="Times New Roman" w:hAnsi="Times New Roman" w:eastAsia="宋体"/>
                      <w:caps w:val="0"/>
                      <w:color w:val="auto"/>
                      <w:sz w:val="21"/>
                      <w:szCs w:val="21"/>
                    </w:rPr>
                    <w:t>-25</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144.4</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，闪点</w:t>
                  </w:r>
                  <w:r>
                    <w:rPr>
                      <w:rFonts w:ascii="Times New Roman" w:hAnsi="Times New Roman" w:eastAsia="宋体"/>
                      <w:caps w:val="0"/>
                      <w:color w:val="auto"/>
                      <w:sz w:val="21"/>
                      <w:szCs w:val="21"/>
                    </w:rPr>
                    <w:t>30</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，相对密度（水</w:t>
                  </w:r>
                  <w:r>
                    <w:rPr>
                      <w:rFonts w:ascii="Times New Roman" w:hAnsi="Times New Roman" w:eastAsia="宋体"/>
                      <w:caps w:val="0"/>
                      <w:color w:val="auto"/>
                      <w:sz w:val="21"/>
                      <w:szCs w:val="21"/>
                    </w:rPr>
                    <w:t>=1</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0.88</w:t>
                  </w:r>
                  <w:r>
                    <w:rPr>
                      <w:rFonts w:hint="eastAsia" w:ascii="Times New Roman" w:hAnsi="Times New Roman" w:eastAsia="宋体"/>
                      <w:caps w:val="0"/>
                      <w:color w:val="auto"/>
                      <w:sz w:val="21"/>
                      <w:szCs w:val="21"/>
                    </w:rPr>
                    <w:t>，相对蒸汽密度（空气</w:t>
                  </w:r>
                  <w:r>
                    <w:rPr>
                      <w:rFonts w:ascii="Times New Roman" w:hAnsi="Times New Roman" w:eastAsia="宋体"/>
                      <w:caps w:val="0"/>
                      <w:color w:val="auto"/>
                      <w:sz w:val="21"/>
                      <w:szCs w:val="21"/>
                    </w:rPr>
                    <w:t>=1</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3.66</w:t>
                  </w:r>
                  <w:r>
                    <w:rPr>
                      <w:rFonts w:hint="eastAsia" w:ascii="Times New Roman" w:hAnsi="Times New Roman" w:eastAsia="宋体"/>
                      <w:caps w:val="0"/>
                      <w:color w:val="auto"/>
                      <w:sz w:val="21"/>
                      <w:szCs w:val="21"/>
                    </w:rPr>
                    <w:t>，饱和蒸气压</w:t>
                  </w:r>
                  <w:r>
                    <w:rPr>
                      <w:rFonts w:ascii="Times New Roman" w:hAnsi="Times New Roman" w:eastAsia="宋体"/>
                      <w:caps w:val="0"/>
                      <w:color w:val="auto"/>
                      <w:sz w:val="21"/>
                      <w:szCs w:val="21"/>
                    </w:rPr>
                    <w:t>1.33</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32</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w:t>
                  </w:r>
                </w:p>
              </w:tc>
              <w:tc>
                <w:tcPr>
                  <w:tcW w:w="378"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4300mg/kg</w:t>
                  </w:r>
                  <w:r>
                    <w:rPr>
                      <w:rFonts w:hint="eastAsia" w:ascii="Times New Roman" w:hAnsi="Times New Roman" w:eastAsia="宋体"/>
                      <w:caps w:val="0"/>
                      <w:color w:val="auto"/>
                      <w:sz w:val="21"/>
                      <w:szCs w:val="21"/>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ascii="Times New Roman" w:hAnsi="Times New Roman" w:eastAsia="宋体"/>
                      <w:caps w:val="0"/>
                      <w:color w:val="auto"/>
                      <w:sz w:val="21"/>
                      <w:szCs w:val="21"/>
                      <w:lang w:val="en-GB"/>
                    </w:rPr>
                  </w:pPr>
                  <w:r>
                    <w:rPr>
                      <w:rFonts w:hint="eastAsia" w:ascii="Times New Roman" w:hAnsi="Times New Roman" w:eastAsia="宋体"/>
                      <w:caps w:val="0"/>
                      <w:color w:val="auto"/>
                      <w:sz w:val="21"/>
                      <w:szCs w:val="21"/>
                    </w:rPr>
                    <w:t>醋酸丁酯</w:t>
                  </w:r>
                </w:p>
              </w:tc>
              <w:tc>
                <w:tcPr>
                  <w:tcW w:w="2448" w:type="pct"/>
                  <w:tcBorders>
                    <w:tl2br w:val="nil"/>
                    <w:tr2bl w:val="nil"/>
                  </w:tcBorders>
                  <w:vAlign w:val="center"/>
                </w:tcPr>
                <w:p>
                  <w:pPr>
                    <w:spacing w:line="240" w:lineRule="auto"/>
                    <w:ind w:firstLine="8" w:firstLineChars="4"/>
                    <w:rPr>
                      <w:rFonts w:ascii="Times New Roman" w:hAnsi="Times New Roman" w:eastAsia="宋体"/>
                      <w:caps w:val="0"/>
                      <w:color w:val="auto"/>
                      <w:sz w:val="21"/>
                      <w:szCs w:val="21"/>
                    </w:rPr>
                  </w:pPr>
                  <w:r>
                    <w:rPr>
                      <w:rFonts w:ascii="Times New Roman" w:hAnsi="Times New Roman" w:eastAsia="宋体"/>
                      <w:caps w:val="0"/>
                      <w:color w:val="auto"/>
                      <w:sz w:val="21"/>
                      <w:szCs w:val="21"/>
                    </w:rPr>
                    <w:t>CH</w:t>
                  </w:r>
                  <w:r>
                    <w:rPr>
                      <w:rFonts w:ascii="Times New Roman" w:hAnsi="Times New Roman" w:eastAsia="宋体"/>
                      <w:caps w:val="0"/>
                      <w:color w:val="auto"/>
                      <w:sz w:val="21"/>
                      <w:szCs w:val="21"/>
                      <w:vertAlign w:val="subscript"/>
                    </w:rPr>
                    <w:t>3</w:t>
                  </w:r>
                  <w:r>
                    <w:rPr>
                      <w:rFonts w:ascii="Times New Roman" w:hAnsi="Times New Roman" w:eastAsia="宋体"/>
                      <w:caps w:val="0"/>
                      <w:color w:val="auto"/>
                      <w:sz w:val="21"/>
                      <w:szCs w:val="21"/>
                    </w:rPr>
                    <w:t>COO(CH</w:t>
                  </w:r>
                  <w:r>
                    <w:rPr>
                      <w:rFonts w:ascii="Times New Roman" w:hAnsi="Times New Roman" w:eastAsia="宋体"/>
                      <w:caps w:val="0"/>
                      <w:color w:val="auto"/>
                      <w:sz w:val="21"/>
                      <w:szCs w:val="21"/>
                      <w:vertAlign w:val="subscript"/>
                    </w:rPr>
                    <w:t>2</w:t>
                  </w:r>
                  <w:r>
                    <w:rPr>
                      <w:rFonts w:ascii="Times New Roman" w:hAnsi="Times New Roman" w:eastAsia="宋体"/>
                      <w:caps w:val="0"/>
                      <w:color w:val="auto"/>
                      <w:sz w:val="21"/>
                      <w:szCs w:val="21"/>
                    </w:rPr>
                    <w:t>)</w:t>
                  </w:r>
                  <w:r>
                    <w:rPr>
                      <w:rFonts w:ascii="Times New Roman" w:hAnsi="Times New Roman" w:eastAsia="宋体"/>
                      <w:caps w:val="0"/>
                      <w:color w:val="auto"/>
                      <w:sz w:val="21"/>
                      <w:szCs w:val="21"/>
                      <w:vertAlign w:val="subscript"/>
                    </w:rPr>
                    <w:t>3</w:t>
                  </w:r>
                  <w:r>
                    <w:rPr>
                      <w:rFonts w:ascii="Times New Roman" w:hAnsi="Times New Roman" w:eastAsia="宋体"/>
                      <w:caps w:val="0"/>
                      <w:color w:val="auto"/>
                      <w:sz w:val="21"/>
                      <w:szCs w:val="21"/>
                    </w:rPr>
                    <w:t>CH</w:t>
                  </w:r>
                  <w:r>
                    <w:rPr>
                      <w:rFonts w:ascii="Times New Roman" w:hAnsi="Times New Roman" w:eastAsia="宋体"/>
                      <w:caps w:val="0"/>
                      <w:color w:val="auto"/>
                      <w:sz w:val="21"/>
                      <w:szCs w:val="21"/>
                      <w:vertAlign w:val="subscript"/>
                    </w:rPr>
                    <w:t>3</w:t>
                  </w:r>
                  <w:r>
                    <w:rPr>
                      <w:rFonts w:hint="eastAsia" w:ascii="Times New Roman" w:hAnsi="Times New Roman" w:eastAsia="宋体"/>
                      <w:caps w:val="0"/>
                      <w:color w:val="auto"/>
                      <w:sz w:val="21"/>
                      <w:szCs w:val="21"/>
                    </w:rPr>
                    <w:t>，无色透明液体，有果子香味；熔点</w:t>
                  </w:r>
                  <w:r>
                    <w:rPr>
                      <w:rFonts w:ascii="Times New Roman" w:hAnsi="Times New Roman" w:eastAsia="宋体"/>
                      <w:caps w:val="0"/>
                      <w:color w:val="auto"/>
                      <w:sz w:val="21"/>
                      <w:szCs w:val="21"/>
                    </w:rPr>
                    <w:t>-73.5</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126.1</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，闪点</w:t>
                  </w:r>
                  <w:r>
                    <w:rPr>
                      <w:rFonts w:ascii="Times New Roman" w:hAnsi="Times New Roman" w:eastAsia="宋体"/>
                      <w:caps w:val="0"/>
                      <w:color w:val="auto"/>
                      <w:sz w:val="21"/>
                      <w:szCs w:val="21"/>
                    </w:rPr>
                    <w:t>22</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，饱和蒸气压</w:t>
                  </w:r>
                  <w:r>
                    <w:rPr>
                      <w:rFonts w:ascii="Times New Roman" w:hAnsi="Times New Roman" w:eastAsia="宋体"/>
                      <w:caps w:val="0"/>
                      <w:color w:val="auto"/>
                      <w:sz w:val="21"/>
                      <w:szCs w:val="21"/>
                    </w:rPr>
                    <w:t>2.0kPa</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25</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），自然</w:t>
                  </w:r>
                  <w:r>
                    <w:rPr>
                      <w:rFonts w:ascii="Times New Roman" w:hAnsi="Times New Roman" w:eastAsia="宋体"/>
                      <w:caps w:val="0"/>
                      <w:color w:val="auto"/>
                      <w:sz w:val="21"/>
                      <w:szCs w:val="21"/>
                    </w:rPr>
                    <w:t>370</w:t>
                  </w:r>
                  <w:r>
                    <w:rPr>
                      <w:rFonts w:hint="eastAsia" w:ascii="Times New Roman" w:hAnsi="Times New Roman" w:eastAsia="宋体" w:cs="宋体"/>
                      <w:caps w:val="0"/>
                      <w:color w:val="auto"/>
                      <w:sz w:val="21"/>
                      <w:szCs w:val="21"/>
                    </w:rPr>
                    <w:t>℃</w:t>
                  </w:r>
                  <w:r>
                    <w:rPr>
                      <w:rFonts w:hint="eastAsia" w:ascii="Times New Roman" w:hAnsi="Times New Roman" w:eastAsia="宋体"/>
                      <w:caps w:val="0"/>
                      <w:color w:val="auto"/>
                      <w:sz w:val="21"/>
                      <w:szCs w:val="21"/>
                    </w:rPr>
                    <w:t>，溶于水，溶于醇、醚等多数有机溶剂。</w:t>
                  </w:r>
                </w:p>
              </w:tc>
              <w:tc>
                <w:tcPr>
                  <w:tcW w:w="378" w:type="pct"/>
                  <w:tcBorders>
                    <w:tl2br w:val="nil"/>
                    <w:tr2bl w:val="nil"/>
                  </w:tcBorders>
                  <w:vAlign w:val="center"/>
                </w:tcPr>
                <w:p>
                  <w:pPr>
                    <w:spacing w:line="240" w:lineRule="auto"/>
                    <w:ind w:firstLine="8" w:firstLineChars="4"/>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ind w:firstLine="8" w:firstLineChars="4"/>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13100mg/kg</w:t>
                  </w:r>
                  <w:r>
                    <w:rPr>
                      <w:rFonts w:hint="eastAsia" w:ascii="Times New Roman" w:hAnsi="Times New Roman" w:eastAsia="宋体"/>
                      <w:caps w:val="0"/>
                      <w:color w:val="auto"/>
                      <w:sz w:val="21"/>
                      <w:szCs w:val="21"/>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ascii="Times New Roman" w:hAnsi="Times New Roman" w:eastAsia="宋体"/>
                      <w:caps w:val="0"/>
                      <w:color w:val="auto"/>
                      <w:sz w:val="21"/>
                      <w:szCs w:val="21"/>
                      <w:lang w:val="en-GB"/>
                    </w:rPr>
                  </w:pPr>
                  <w:r>
                    <w:rPr>
                      <w:rFonts w:hint="eastAsia" w:ascii="Times New Roman" w:hAnsi="Times New Roman" w:eastAsia="宋体"/>
                      <w:caps w:val="0"/>
                      <w:color w:val="auto"/>
                      <w:kern w:val="0"/>
                      <w:sz w:val="21"/>
                      <w:szCs w:val="21"/>
                    </w:rPr>
                    <w:t>丙二醇甲醚醋酸酯</w:t>
                  </w:r>
                </w:p>
              </w:tc>
              <w:tc>
                <w:tcPr>
                  <w:tcW w:w="2448" w:type="pct"/>
                  <w:tcBorders>
                    <w:tl2br w:val="nil"/>
                    <w:tr2bl w:val="nil"/>
                  </w:tcBorders>
                  <w:vAlign w:val="center"/>
                </w:tcPr>
                <w:p>
                  <w:pPr>
                    <w:spacing w:line="240" w:lineRule="auto"/>
                    <w:ind w:firstLine="8" w:firstLineChars="4"/>
                    <w:rPr>
                      <w:rFonts w:ascii="Times New Roman" w:hAnsi="Times New Roman" w:eastAsia="宋体"/>
                      <w:caps w:val="0"/>
                      <w:color w:val="auto"/>
                      <w:sz w:val="21"/>
                      <w:szCs w:val="21"/>
                      <w:lang w:val="en-GB"/>
                    </w:rPr>
                  </w:pPr>
                  <w:r>
                    <w:rPr>
                      <w:rFonts w:ascii="Times New Roman" w:hAnsi="Times New Roman" w:eastAsia="宋体"/>
                      <w:caps w:val="0"/>
                      <w:color w:val="auto"/>
                      <w:sz w:val="21"/>
                      <w:szCs w:val="21"/>
                      <w:shd w:val="clear" w:color="auto" w:fill="FFFFFF"/>
                    </w:rPr>
                    <w:t>C</w:t>
                  </w:r>
                  <w:r>
                    <w:rPr>
                      <w:rFonts w:ascii="Times New Roman" w:hAnsi="Times New Roman" w:eastAsia="宋体"/>
                      <w:caps w:val="0"/>
                      <w:color w:val="auto"/>
                      <w:sz w:val="21"/>
                      <w:szCs w:val="21"/>
                      <w:shd w:val="clear" w:color="auto" w:fill="FFFFFF"/>
                      <w:vertAlign w:val="subscript"/>
                    </w:rPr>
                    <w:t>6</w:t>
                  </w:r>
                  <w:r>
                    <w:rPr>
                      <w:rFonts w:ascii="Times New Roman" w:hAnsi="Times New Roman" w:eastAsia="宋体"/>
                      <w:caps w:val="0"/>
                      <w:color w:val="auto"/>
                      <w:sz w:val="21"/>
                      <w:szCs w:val="21"/>
                      <w:shd w:val="clear" w:color="auto" w:fill="FFFFFF"/>
                    </w:rPr>
                    <w:t>H</w:t>
                  </w:r>
                  <w:r>
                    <w:rPr>
                      <w:rFonts w:ascii="Times New Roman" w:hAnsi="Times New Roman" w:eastAsia="宋体"/>
                      <w:caps w:val="0"/>
                      <w:color w:val="auto"/>
                      <w:sz w:val="21"/>
                      <w:szCs w:val="21"/>
                      <w:shd w:val="clear" w:color="auto" w:fill="FFFFFF"/>
                      <w:vertAlign w:val="subscript"/>
                    </w:rPr>
                    <w:t>12</w:t>
                  </w:r>
                  <w:r>
                    <w:rPr>
                      <w:rFonts w:ascii="Times New Roman" w:hAnsi="Times New Roman" w:eastAsia="宋体"/>
                      <w:caps w:val="0"/>
                      <w:color w:val="auto"/>
                      <w:sz w:val="21"/>
                      <w:szCs w:val="21"/>
                      <w:shd w:val="clear" w:color="auto" w:fill="FFFFFF"/>
                    </w:rPr>
                    <w:t>O</w:t>
                  </w:r>
                  <w:r>
                    <w:rPr>
                      <w:rFonts w:ascii="Times New Roman" w:hAnsi="Times New Roman" w:eastAsia="宋体"/>
                      <w:caps w:val="0"/>
                      <w:color w:val="auto"/>
                      <w:sz w:val="21"/>
                      <w:szCs w:val="21"/>
                      <w:shd w:val="clear" w:color="auto" w:fill="FFFFFF"/>
                      <w:vertAlign w:val="subscript"/>
                    </w:rPr>
                    <w:t>3</w:t>
                  </w:r>
                  <w:r>
                    <w:rPr>
                      <w:rFonts w:hint="eastAsia" w:ascii="Times New Roman" w:hAnsi="Times New Roman" w:eastAsia="宋体"/>
                      <w:caps w:val="0"/>
                      <w:color w:val="auto"/>
                      <w:sz w:val="21"/>
                      <w:szCs w:val="21"/>
                    </w:rPr>
                    <w:t>，无色透明液体。熔点</w:t>
                  </w:r>
                  <w:r>
                    <w:rPr>
                      <w:rFonts w:ascii="Times New Roman" w:hAnsi="Times New Roman" w:eastAsia="宋体"/>
                      <w:caps w:val="0"/>
                      <w:color w:val="auto"/>
                      <w:sz w:val="21"/>
                      <w:szCs w:val="21"/>
                    </w:rPr>
                    <w:t>-87</w:t>
                  </w:r>
                  <w:r>
                    <w:rPr>
                      <w:rFonts w:hint="eastAsia" w:ascii="Times New Roman" w:hAnsi="Times New Roman" w:eastAsia="宋体"/>
                      <w:caps w:val="0"/>
                      <w:color w:val="auto"/>
                      <w:sz w:val="21"/>
                      <w:szCs w:val="21"/>
                    </w:rPr>
                    <w:t>℃，密度</w:t>
                  </w:r>
                  <w:r>
                    <w:rPr>
                      <w:rFonts w:ascii="Times New Roman" w:hAnsi="Times New Roman" w:eastAsia="宋体"/>
                      <w:caps w:val="0"/>
                      <w:color w:val="auto"/>
                      <w:sz w:val="21"/>
                      <w:szCs w:val="21"/>
                    </w:rPr>
                    <w:t>0.96g/mL</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145</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-146</w:t>
                  </w:r>
                  <w:r>
                    <w:rPr>
                      <w:rFonts w:hint="eastAsia" w:ascii="Times New Roman" w:hAnsi="Times New Roman" w:eastAsia="宋体"/>
                      <w:caps w:val="0"/>
                      <w:color w:val="auto"/>
                      <w:sz w:val="21"/>
                      <w:szCs w:val="21"/>
                    </w:rPr>
                    <w:t>℃，闪点</w:t>
                  </w:r>
                  <w:r>
                    <w:rPr>
                      <w:rFonts w:ascii="Times New Roman" w:hAnsi="Times New Roman" w:eastAsia="宋体"/>
                      <w:caps w:val="0"/>
                      <w:color w:val="auto"/>
                      <w:sz w:val="21"/>
                      <w:szCs w:val="21"/>
                    </w:rPr>
                    <w:t>47.9</w:t>
                  </w:r>
                  <w:r>
                    <w:rPr>
                      <w:rFonts w:hint="eastAsia" w:ascii="Times New Roman" w:hAnsi="Times New Roman" w:eastAsia="宋体" w:cs="宋体"/>
                      <w:caps w:val="0"/>
                      <w:color w:val="auto"/>
                      <w:sz w:val="21"/>
                      <w:szCs w:val="21"/>
                      <w:lang w:eastAsia="ja-JP"/>
                    </w:rPr>
                    <w:t>℃</w:t>
                  </w:r>
                  <w:r>
                    <w:rPr>
                      <w:rFonts w:hint="eastAsia" w:ascii="Times New Roman" w:hAnsi="Times New Roman" w:eastAsia="宋体"/>
                      <w:caps w:val="0"/>
                      <w:color w:val="auto"/>
                      <w:sz w:val="21"/>
                      <w:szCs w:val="21"/>
                    </w:rPr>
                    <w:t>，易燃，高于</w:t>
                  </w:r>
                  <w:r>
                    <w:rPr>
                      <w:rFonts w:ascii="Times New Roman" w:hAnsi="Times New Roman" w:eastAsia="宋体"/>
                      <w:caps w:val="0"/>
                      <w:color w:val="auto"/>
                      <w:sz w:val="21"/>
                      <w:szCs w:val="21"/>
                    </w:rPr>
                    <w:t>42</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C</w:t>
                  </w:r>
                  <w:r>
                    <w:rPr>
                      <w:rFonts w:hint="eastAsia" w:ascii="Times New Roman" w:hAnsi="Times New Roman" w:eastAsia="宋体"/>
                      <w:caps w:val="0"/>
                      <w:color w:val="auto"/>
                      <w:sz w:val="21"/>
                      <w:szCs w:val="21"/>
                    </w:rPr>
                    <w:t>时可能形成爆炸性蒸汽</w:t>
                  </w:r>
                  <w:r>
                    <w:rPr>
                      <w:rFonts w:ascii="Times New Roman" w:hAnsi="Times New Roman" w:eastAsia="宋体"/>
                      <w:caps w:val="0"/>
                      <w:color w:val="auto"/>
                      <w:sz w:val="21"/>
                      <w:szCs w:val="21"/>
                    </w:rPr>
                    <w:t>/</w:t>
                  </w:r>
                  <w:r>
                    <w:rPr>
                      <w:rFonts w:hint="eastAsia" w:ascii="Times New Roman" w:hAnsi="Times New Roman" w:eastAsia="宋体"/>
                      <w:caps w:val="0"/>
                      <w:color w:val="auto"/>
                      <w:sz w:val="21"/>
                      <w:szCs w:val="21"/>
                    </w:rPr>
                    <w:t>空气混合物，可溶于水。</w:t>
                  </w:r>
                </w:p>
              </w:tc>
              <w:tc>
                <w:tcPr>
                  <w:tcW w:w="378" w:type="pct"/>
                  <w:tcBorders>
                    <w:tl2br w:val="nil"/>
                    <w:tr2bl w:val="nil"/>
                  </w:tcBorders>
                  <w:vAlign w:val="center"/>
                </w:tcPr>
                <w:p>
                  <w:pPr>
                    <w:spacing w:line="240" w:lineRule="auto"/>
                    <w:ind w:firstLine="8" w:firstLineChars="4"/>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ind w:firstLine="8" w:firstLineChars="4"/>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hint="default"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卡必醇</w:t>
                  </w:r>
                </w:p>
              </w:tc>
              <w:tc>
                <w:tcPr>
                  <w:tcW w:w="2448" w:type="pct"/>
                  <w:tcBorders>
                    <w:tl2br w:val="nil"/>
                    <w:tr2bl w:val="nil"/>
                  </w:tcBorders>
                  <w:vAlign w:val="center"/>
                </w:tcPr>
                <w:p>
                  <w:pPr>
                    <w:spacing w:line="240" w:lineRule="auto"/>
                    <w:rPr>
                      <w:rFonts w:ascii="Times New Roman" w:hAnsi="Times New Roman" w:eastAsia="宋体"/>
                      <w:caps w:val="0"/>
                      <w:color w:val="auto"/>
                      <w:sz w:val="21"/>
                      <w:szCs w:val="21"/>
                    </w:rPr>
                  </w:pPr>
                  <w:r>
                    <w:rPr>
                      <w:rFonts w:ascii="Times New Roman" w:hAnsi="Times New Roman" w:eastAsia="宋体"/>
                      <w:caps w:val="0"/>
                      <w:color w:val="auto"/>
                      <w:sz w:val="21"/>
                      <w:szCs w:val="21"/>
                    </w:rPr>
                    <w:t>无色、</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"https://baike.baidu.com/item/%E5%90%B8%E6%B0%B4%E6%80%A7/10930650?fromModule=lemma_inlink"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吸水性</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稳定的液体，可燃。高沸点溶剂。用于纤维素、树脂、</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"https://baike.baidu.com/item/%E6%A0%91%E8%83%B6/425207?fromModule=lemma_inlink"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树胶</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、涂料、印刷用</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"https://baike.baidu.com/item/%E6%B2%B9%E5%A2%A8/3109234?fromModule=lemma_inlink"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油墨</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、染料的溶剂，矿物油-皂和矿物油-硫化油混合物的</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"https://baike.baidu.com/item/%E4%BA%92%E6%BA%B6%E5%89%82/3461102?fromModule=lemma_inlink"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互溶剂</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，非油漆着色剂，纤维印染剂，</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"https://baike.baidu.com/item/%E6%B8%85%E6%BC%86/10379356?fromModule=lemma_inlink"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清漆</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和</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"https://baike.baidu.com/item/%E6%B2%B9%E6%BC%86/976227?fromModule=lemma_inlink"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油漆</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的</w:t>
                  </w:r>
                  <w:r>
                    <w:rPr>
                      <w:rFonts w:hint="default" w:ascii="Times New Roman" w:hAnsi="Times New Roman" w:eastAsia="宋体"/>
                      <w:caps w:val="0"/>
                      <w:color w:val="auto"/>
                      <w:sz w:val="21"/>
                      <w:szCs w:val="21"/>
                    </w:rPr>
                    <w:fldChar w:fldCharType="begin"/>
                  </w:r>
                  <w:r>
                    <w:rPr>
                      <w:rFonts w:hint="default" w:ascii="Times New Roman" w:hAnsi="Times New Roman" w:eastAsia="宋体"/>
                      <w:caps w:val="0"/>
                      <w:color w:val="auto"/>
                      <w:sz w:val="21"/>
                      <w:szCs w:val="21"/>
                    </w:rPr>
                    <w:instrText xml:space="preserve"> HYPERLINK "https://baike.baidu.com/item/%E7%A8%80%E9%87%8A%E5%89%82/5910135?fromModule=lemma_inlink" \t "https://baike.baidu.com/item/%E4%BA%8C%E7%94%98%E9%86%87%E5%8D%95%E4%B9%99%E9%86%9A/_blank" </w:instrText>
                  </w:r>
                  <w:r>
                    <w:rPr>
                      <w:rFonts w:hint="default" w:ascii="Times New Roman" w:hAnsi="Times New Roman" w:eastAsia="宋体"/>
                      <w:caps w:val="0"/>
                      <w:color w:val="auto"/>
                      <w:sz w:val="21"/>
                      <w:szCs w:val="21"/>
                    </w:rPr>
                    <w:fldChar w:fldCharType="separate"/>
                  </w:r>
                  <w:r>
                    <w:rPr>
                      <w:rFonts w:hint="default" w:ascii="Times New Roman" w:hAnsi="Times New Roman" w:eastAsia="宋体"/>
                      <w:caps w:val="0"/>
                      <w:color w:val="auto"/>
                      <w:sz w:val="21"/>
                      <w:szCs w:val="21"/>
                    </w:rPr>
                    <w:t>稀释剂</w:t>
                  </w:r>
                  <w:r>
                    <w:rPr>
                      <w:rFonts w:hint="default" w:ascii="Times New Roman" w:hAnsi="Times New Roman" w:eastAsia="宋体"/>
                      <w:caps w:val="0"/>
                      <w:color w:val="auto"/>
                      <w:sz w:val="21"/>
                      <w:szCs w:val="21"/>
                    </w:rPr>
                    <w:fldChar w:fldCharType="end"/>
                  </w:r>
                  <w:r>
                    <w:rPr>
                      <w:rFonts w:hint="default" w:ascii="Times New Roman" w:hAnsi="Times New Roman" w:eastAsia="宋体"/>
                      <w:caps w:val="0"/>
                      <w:color w:val="auto"/>
                      <w:sz w:val="21"/>
                      <w:szCs w:val="21"/>
                    </w:rPr>
                    <w:t>。</w:t>
                  </w:r>
                </w:p>
              </w:tc>
              <w:tc>
                <w:tcPr>
                  <w:tcW w:w="378"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hint="default" w:ascii="Times New Roman" w:hAnsi="Times New Roman" w:eastAsia="宋体"/>
                      <w:caps w:val="0"/>
                      <w:color w:val="auto"/>
                      <w:sz w:val="21"/>
                      <w:szCs w:val="21"/>
                    </w:rPr>
                    <w:t>可燃</w:t>
                  </w:r>
                </w:p>
              </w:tc>
              <w:tc>
                <w:tcPr>
                  <w:tcW w:w="1527"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lang w:eastAsia="zh-CN"/>
                    </w:rPr>
                    <w:t>：</w:t>
                  </w:r>
                  <w:r>
                    <w:rPr>
                      <w:rFonts w:ascii="Times New Roman" w:hAnsi="Times New Roman" w:eastAsia="宋体"/>
                      <w:caps w:val="0"/>
                      <w:color w:val="auto"/>
                      <w:sz w:val="21"/>
                      <w:szCs w:val="21"/>
                    </w:rPr>
                    <w:t>5500mg/kg</w:t>
                  </w:r>
                  <w:r>
                    <w:rPr>
                      <w:rFonts w:hint="eastAsia" w:ascii="Times New Roman" w:hAnsi="Times New Roman" w:eastAsia="宋体"/>
                      <w:caps w:val="0"/>
                      <w:color w:val="auto"/>
                      <w:sz w:val="21"/>
                      <w:szCs w:val="21"/>
                    </w:rPr>
                    <w:t>（大鼠</w:t>
                  </w:r>
                  <w:r>
                    <w:rPr>
                      <w:rFonts w:hint="eastAsia" w:ascii="Times New Roman" w:hAnsi="Times New Roman" w:eastAsia="宋体"/>
                      <w:caps w:val="0"/>
                      <w:color w:val="auto"/>
                      <w:sz w:val="21"/>
                      <w:szCs w:val="21"/>
                      <w:lang w:val="en-US" w:eastAsia="zh-CN"/>
                    </w:rPr>
                    <w:t>口服</w:t>
                  </w:r>
                  <w:r>
                    <w:rPr>
                      <w:rFonts w:hint="eastAsia" w:ascii="Times New Roman" w:hAnsi="Times New Roman" w:eastAsia="宋体"/>
                      <w:caps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ascii="Times New Roman" w:hAnsi="Times New Roman" w:eastAsia="宋体"/>
                      <w:bCs/>
                      <w:caps w:val="0"/>
                      <w:color w:val="auto"/>
                      <w:sz w:val="21"/>
                      <w:szCs w:val="21"/>
                    </w:rPr>
                  </w:pPr>
                  <w:r>
                    <w:rPr>
                      <w:rFonts w:hint="eastAsia" w:ascii="Times New Roman" w:hAnsi="Times New Roman" w:eastAsia="宋体"/>
                      <w:caps w:val="0"/>
                      <w:color w:val="auto"/>
                      <w:kern w:val="0"/>
                      <w:sz w:val="21"/>
                      <w:szCs w:val="21"/>
                    </w:rPr>
                    <w:t>正丁醇</w:t>
                  </w:r>
                </w:p>
              </w:tc>
              <w:tc>
                <w:tcPr>
                  <w:tcW w:w="2448" w:type="pct"/>
                  <w:tcBorders>
                    <w:tl2br w:val="nil"/>
                    <w:tr2bl w:val="nil"/>
                  </w:tcBorders>
                  <w:vAlign w:val="center"/>
                </w:tcPr>
                <w:p>
                  <w:pPr>
                    <w:spacing w:line="240" w:lineRule="auto"/>
                    <w:rPr>
                      <w:rFonts w:ascii="Times New Roman" w:hAnsi="Times New Roman" w:eastAsia="宋体"/>
                      <w:caps w:val="0"/>
                      <w:color w:val="auto"/>
                      <w:sz w:val="21"/>
                      <w:szCs w:val="21"/>
                    </w:rPr>
                  </w:pPr>
                  <w:r>
                    <w:rPr>
                      <w:rFonts w:ascii="Times New Roman" w:hAnsi="Times New Roman" w:eastAsia="宋体"/>
                      <w:caps w:val="0"/>
                      <w:color w:val="auto"/>
                      <w:sz w:val="21"/>
                      <w:szCs w:val="21"/>
                      <w:shd w:val="clear" w:color="auto" w:fill="FFFFFF"/>
                    </w:rPr>
                    <w:t>C</w:t>
                  </w:r>
                  <w:r>
                    <w:rPr>
                      <w:rFonts w:ascii="Times New Roman" w:hAnsi="Times New Roman" w:eastAsia="宋体"/>
                      <w:caps w:val="0"/>
                      <w:color w:val="auto"/>
                      <w:sz w:val="18"/>
                      <w:szCs w:val="18"/>
                      <w:shd w:val="clear" w:color="auto" w:fill="FFFFFF"/>
                      <w:vertAlign w:val="subscript"/>
                    </w:rPr>
                    <w:t>4</w:t>
                  </w:r>
                  <w:r>
                    <w:rPr>
                      <w:rFonts w:ascii="Times New Roman" w:hAnsi="Times New Roman" w:eastAsia="宋体"/>
                      <w:caps w:val="0"/>
                      <w:color w:val="auto"/>
                      <w:sz w:val="21"/>
                      <w:szCs w:val="21"/>
                      <w:shd w:val="clear" w:color="auto" w:fill="FFFFFF"/>
                    </w:rPr>
                    <w:t>H</w:t>
                  </w:r>
                  <w:r>
                    <w:rPr>
                      <w:rFonts w:ascii="Times New Roman" w:hAnsi="Times New Roman" w:eastAsia="宋体"/>
                      <w:caps w:val="0"/>
                      <w:color w:val="auto"/>
                      <w:sz w:val="18"/>
                      <w:szCs w:val="18"/>
                      <w:shd w:val="clear" w:color="auto" w:fill="FFFFFF"/>
                      <w:vertAlign w:val="subscript"/>
                    </w:rPr>
                    <w:t>10</w:t>
                  </w:r>
                  <w:r>
                    <w:rPr>
                      <w:rFonts w:ascii="Times New Roman" w:hAnsi="Times New Roman" w:eastAsia="宋体"/>
                      <w:caps w:val="0"/>
                      <w:color w:val="auto"/>
                      <w:sz w:val="21"/>
                      <w:szCs w:val="21"/>
                      <w:shd w:val="clear" w:color="auto" w:fill="FFFFFF"/>
                    </w:rPr>
                    <w:t>O，</w:t>
                  </w:r>
                  <w:r>
                    <w:rPr>
                      <w:rFonts w:hint="eastAsia" w:ascii="Times New Roman" w:hAnsi="Times New Roman" w:eastAsia="宋体"/>
                      <w:caps w:val="0"/>
                      <w:color w:val="auto"/>
                      <w:sz w:val="21"/>
                      <w:szCs w:val="21"/>
                    </w:rPr>
                    <w:t>无色透明液体，密度</w:t>
                  </w:r>
                  <w:r>
                    <w:rPr>
                      <w:rFonts w:ascii="Times New Roman" w:hAnsi="Times New Roman" w:eastAsia="宋体"/>
                      <w:caps w:val="0"/>
                      <w:color w:val="auto"/>
                      <w:sz w:val="21"/>
                      <w:szCs w:val="21"/>
                    </w:rPr>
                    <w:t>0.81g/cm</w:t>
                  </w:r>
                  <w:r>
                    <w:rPr>
                      <w:rFonts w:ascii="Times New Roman" w:hAnsi="Times New Roman" w:eastAsia="宋体"/>
                      <w:caps w:val="0"/>
                      <w:color w:val="auto"/>
                      <w:sz w:val="21"/>
                      <w:szCs w:val="21"/>
                      <w:vertAlign w:val="superscript"/>
                    </w:rPr>
                    <w:t>3</w:t>
                  </w:r>
                  <w:r>
                    <w:rPr>
                      <w:rFonts w:hint="eastAsia" w:ascii="Times New Roman" w:hAnsi="Times New Roman" w:eastAsia="宋体"/>
                      <w:caps w:val="0"/>
                      <w:color w:val="auto"/>
                      <w:sz w:val="21"/>
                      <w:szCs w:val="21"/>
                    </w:rPr>
                    <w:t>，熔点</w:t>
                  </w:r>
                  <w:r>
                    <w:rPr>
                      <w:rFonts w:ascii="Times New Roman" w:hAnsi="Times New Roman" w:eastAsia="宋体"/>
                      <w:caps w:val="0"/>
                      <w:color w:val="auto"/>
                      <w:sz w:val="21"/>
                      <w:szCs w:val="21"/>
                    </w:rPr>
                    <w:t>-89</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117.6</w:t>
                  </w:r>
                  <w:r>
                    <w:rPr>
                      <w:rFonts w:hint="eastAsia" w:ascii="Times New Roman" w:hAnsi="Times New Roman" w:eastAsia="宋体"/>
                      <w:caps w:val="0"/>
                      <w:color w:val="auto"/>
                      <w:sz w:val="21"/>
                      <w:szCs w:val="21"/>
                    </w:rPr>
                    <w:t>℃，闪点</w:t>
                  </w:r>
                  <w:r>
                    <w:rPr>
                      <w:rFonts w:ascii="Times New Roman" w:hAnsi="Times New Roman" w:eastAsia="宋体"/>
                      <w:caps w:val="0"/>
                      <w:color w:val="auto"/>
                      <w:sz w:val="21"/>
                      <w:szCs w:val="21"/>
                    </w:rPr>
                    <w:t>29</w:t>
                  </w:r>
                  <w:r>
                    <w:rPr>
                      <w:rFonts w:hint="eastAsia" w:ascii="Times New Roman" w:hAnsi="Times New Roman" w:eastAsia="宋体"/>
                      <w:caps w:val="0"/>
                      <w:color w:val="auto"/>
                      <w:sz w:val="21"/>
                      <w:szCs w:val="21"/>
                    </w:rPr>
                    <w:t>℃，微溶于水，溶于乙醇、乙醚等多数有机溶剂。</w:t>
                  </w:r>
                </w:p>
              </w:tc>
              <w:tc>
                <w:tcPr>
                  <w:tcW w:w="378"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790mg/kg</w:t>
                  </w:r>
                  <w:r>
                    <w:rPr>
                      <w:rFonts w:hint="eastAsia" w:ascii="Times New Roman" w:hAnsi="Times New Roman" w:eastAsia="宋体"/>
                      <w:caps w:val="0"/>
                      <w:color w:val="auto"/>
                      <w:sz w:val="21"/>
                      <w:szCs w:val="21"/>
                    </w:rPr>
                    <w:t>（大鼠经口）；</w:t>
                  </w:r>
                  <w:r>
                    <w:rPr>
                      <w:rFonts w:ascii="Times New Roman" w:hAnsi="Times New Roman" w:eastAsia="宋体"/>
                      <w:caps w:val="0"/>
                      <w:color w:val="auto"/>
                      <w:sz w:val="21"/>
                      <w:szCs w:val="21"/>
                    </w:rPr>
                    <w:t>100mg/kg</w:t>
                  </w:r>
                  <w:r>
                    <w:rPr>
                      <w:rFonts w:hint="eastAsia" w:ascii="Times New Roman" w:hAnsi="Times New Roman" w:eastAsia="宋体"/>
                      <w:caps w:val="0"/>
                      <w:color w:val="auto"/>
                      <w:sz w:val="21"/>
                      <w:szCs w:val="21"/>
                    </w:rPr>
                    <w:t>（小鼠经口）；</w:t>
                  </w:r>
                  <w:r>
                    <w:rPr>
                      <w:rFonts w:ascii="Times New Roman" w:hAnsi="Times New Roman" w:eastAsia="宋体"/>
                      <w:caps w:val="0"/>
                      <w:color w:val="auto"/>
                      <w:sz w:val="21"/>
                      <w:szCs w:val="21"/>
                    </w:rPr>
                    <w:t>3484mg/kg</w:t>
                  </w:r>
                  <w:r>
                    <w:rPr>
                      <w:rFonts w:hint="eastAsia" w:ascii="Times New Roman" w:hAnsi="Times New Roman" w:eastAsia="宋体"/>
                      <w:caps w:val="0"/>
                      <w:color w:val="auto"/>
                      <w:sz w:val="21"/>
                      <w:szCs w:val="21"/>
                    </w:rPr>
                    <w:t>（兔经口）；</w:t>
                  </w:r>
                  <w:r>
                    <w:rPr>
                      <w:rFonts w:ascii="Times New Roman" w:hAnsi="Times New Roman" w:eastAsia="宋体"/>
                      <w:caps w:val="0"/>
                      <w:color w:val="auto"/>
                      <w:sz w:val="21"/>
                      <w:szCs w:val="21"/>
                    </w:rPr>
                    <w:t>3400mg/kg</w:t>
                  </w:r>
                  <w:r>
                    <w:rPr>
                      <w:rFonts w:hint="eastAsia" w:ascii="Times New Roman" w:hAnsi="Times New Roman" w:eastAsia="宋体"/>
                      <w:caps w:val="0"/>
                      <w:color w:val="auto"/>
                      <w:sz w:val="21"/>
                      <w:szCs w:val="21"/>
                    </w:rPr>
                    <w:t>（兔经皮）；</w:t>
                  </w:r>
                </w:p>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LC</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8000ppm</w:t>
                  </w:r>
                  <w:r>
                    <w:rPr>
                      <w:rFonts w:hint="eastAsia" w:ascii="Times New Roman" w:hAnsi="Times New Roman" w:eastAsia="宋体"/>
                      <w:caps w:val="0"/>
                      <w:color w:val="auto"/>
                      <w:sz w:val="21"/>
                      <w:szCs w:val="21"/>
                    </w:rPr>
                    <w:t>（大鼠吸入，</w:t>
                  </w:r>
                  <w:r>
                    <w:rPr>
                      <w:rFonts w:ascii="Times New Roman" w:hAnsi="Times New Roman" w:eastAsia="宋体"/>
                      <w:caps w:val="0"/>
                      <w:color w:val="auto"/>
                      <w:sz w:val="21"/>
                      <w:szCs w:val="21"/>
                    </w:rPr>
                    <w:t>4h</w:t>
                  </w:r>
                  <w:r>
                    <w:rPr>
                      <w:rFonts w:hint="eastAsia" w:ascii="Times New Roman" w:hAnsi="Times New Roman" w:eastAsia="宋体"/>
                      <w:caps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hint="eastAsia" w:ascii="Times New Roman" w:hAnsi="Times New Roman" w:eastAsia="宋体"/>
                      <w:caps w:val="0"/>
                      <w:color w:val="auto"/>
                      <w:kern w:val="0"/>
                      <w:sz w:val="21"/>
                      <w:szCs w:val="21"/>
                    </w:rPr>
                    <w:t>异丁酸异丁酯</w:t>
                  </w:r>
                </w:p>
              </w:tc>
              <w:tc>
                <w:tcPr>
                  <w:tcW w:w="2448"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shd w:val="clear" w:color="auto" w:fill="FFFFFF"/>
                    </w:rPr>
                    <w:t>C</w:t>
                  </w:r>
                  <w:r>
                    <w:rPr>
                      <w:rFonts w:ascii="Times New Roman" w:hAnsi="Times New Roman" w:eastAsia="宋体"/>
                      <w:caps w:val="0"/>
                      <w:color w:val="auto"/>
                      <w:sz w:val="18"/>
                      <w:szCs w:val="18"/>
                      <w:shd w:val="clear" w:color="auto" w:fill="FFFFFF"/>
                      <w:vertAlign w:val="subscript"/>
                    </w:rPr>
                    <w:t>8</w:t>
                  </w:r>
                  <w:r>
                    <w:rPr>
                      <w:rFonts w:ascii="Times New Roman" w:hAnsi="Times New Roman" w:eastAsia="宋体"/>
                      <w:caps w:val="0"/>
                      <w:color w:val="auto"/>
                      <w:sz w:val="21"/>
                      <w:szCs w:val="21"/>
                      <w:shd w:val="clear" w:color="auto" w:fill="FFFFFF"/>
                    </w:rPr>
                    <w:t>H</w:t>
                  </w:r>
                  <w:r>
                    <w:rPr>
                      <w:rFonts w:ascii="Times New Roman" w:hAnsi="Times New Roman" w:eastAsia="宋体"/>
                      <w:caps w:val="0"/>
                      <w:color w:val="auto"/>
                      <w:sz w:val="18"/>
                      <w:szCs w:val="18"/>
                      <w:shd w:val="clear" w:color="auto" w:fill="FFFFFF"/>
                      <w:vertAlign w:val="subscript"/>
                    </w:rPr>
                    <w:t>16</w:t>
                  </w:r>
                  <w:r>
                    <w:rPr>
                      <w:rFonts w:ascii="Times New Roman" w:hAnsi="Times New Roman" w:eastAsia="宋体"/>
                      <w:caps w:val="0"/>
                      <w:color w:val="auto"/>
                      <w:sz w:val="21"/>
                      <w:szCs w:val="21"/>
                      <w:shd w:val="clear" w:color="auto" w:fill="FFFFFF"/>
                    </w:rPr>
                    <w:t>O</w:t>
                  </w:r>
                  <w:r>
                    <w:rPr>
                      <w:rFonts w:ascii="Times New Roman" w:hAnsi="Times New Roman" w:eastAsia="宋体"/>
                      <w:caps w:val="0"/>
                      <w:color w:val="auto"/>
                      <w:sz w:val="18"/>
                      <w:szCs w:val="18"/>
                      <w:shd w:val="clear" w:color="auto" w:fill="FFFFFF"/>
                      <w:vertAlign w:val="subscript"/>
                    </w:rPr>
                    <w:t>2</w:t>
                  </w:r>
                  <w:r>
                    <w:rPr>
                      <w:rFonts w:ascii="Times New Roman" w:hAnsi="Times New Roman" w:eastAsia="宋体"/>
                      <w:caps w:val="0"/>
                      <w:color w:val="auto"/>
                      <w:sz w:val="21"/>
                      <w:szCs w:val="21"/>
                      <w:shd w:val="clear" w:color="auto" w:fill="FFFFFF"/>
                    </w:rPr>
                    <w:t>，</w:t>
                  </w:r>
                  <w:r>
                    <w:rPr>
                      <w:rFonts w:ascii="Times New Roman" w:hAnsi="Times New Roman" w:eastAsia="宋体"/>
                      <w:caps w:val="0"/>
                      <w:color w:val="auto"/>
                      <w:sz w:val="21"/>
                      <w:szCs w:val="21"/>
                    </w:rPr>
                    <w:t>无</w:t>
                  </w:r>
                  <w:r>
                    <w:rPr>
                      <w:rFonts w:hint="eastAsia" w:ascii="Times New Roman" w:hAnsi="Times New Roman" w:eastAsia="宋体"/>
                      <w:caps w:val="0"/>
                      <w:color w:val="auto"/>
                      <w:sz w:val="21"/>
                      <w:szCs w:val="21"/>
                    </w:rPr>
                    <w:t>色液体，密度</w:t>
                  </w:r>
                  <w:r>
                    <w:rPr>
                      <w:rFonts w:ascii="Times New Roman" w:hAnsi="Times New Roman" w:eastAsia="宋体"/>
                      <w:caps w:val="0"/>
                      <w:color w:val="auto"/>
                      <w:sz w:val="21"/>
                      <w:szCs w:val="21"/>
                    </w:rPr>
                    <w:t>0.855g/cm</w:t>
                  </w:r>
                  <w:r>
                    <w:rPr>
                      <w:rFonts w:ascii="Times New Roman" w:hAnsi="Times New Roman" w:eastAsia="宋体"/>
                      <w:caps w:val="0"/>
                      <w:color w:val="auto"/>
                      <w:sz w:val="21"/>
                      <w:szCs w:val="21"/>
                      <w:vertAlign w:val="superscript"/>
                    </w:rPr>
                    <w:t>3</w:t>
                  </w:r>
                  <w:r>
                    <w:rPr>
                      <w:rFonts w:hint="eastAsia" w:ascii="Times New Roman" w:hAnsi="Times New Roman" w:eastAsia="宋体"/>
                      <w:caps w:val="0"/>
                      <w:color w:val="auto"/>
                      <w:sz w:val="21"/>
                      <w:szCs w:val="21"/>
                    </w:rPr>
                    <w:t>，熔点</w:t>
                  </w:r>
                  <w:r>
                    <w:rPr>
                      <w:rFonts w:ascii="Times New Roman" w:hAnsi="Times New Roman" w:eastAsia="宋体"/>
                      <w:caps w:val="0"/>
                      <w:color w:val="auto"/>
                      <w:sz w:val="21"/>
                      <w:szCs w:val="21"/>
                    </w:rPr>
                    <w:t>-81</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145-152</w:t>
                  </w:r>
                  <w:r>
                    <w:rPr>
                      <w:rFonts w:hint="eastAsia" w:ascii="Times New Roman" w:hAnsi="Times New Roman" w:eastAsia="宋体"/>
                      <w:caps w:val="0"/>
                      <w:color w:val="auto"/>
                      <w:sz w:val="21"/>
                      <w:szCs w:val="21"/>
                    </w:rPr>
                    <w:t>℃，不溶于水，可混溶于乙醇、乙醚、丙酮等多数有机溶剂。</w:t>
                  </w:r>
                </w:p>
              </w:tc>
              <w:tc>
                <w:tcPr>
                  <w:tcW w:w="378"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12800mg/kg</w:t>
                  </w:r>
                  <w:r>
                    <w:rPr>
                      <w:rFonts w:hint="eastAsia" w:ascii="Times New Roman" w:hAnsi="Times New Roman" w:eastAsia="宋体"/>
                      <w:caps w:val="0"/>
                      <w:color w:val="auto"/>
                      <w:sz w:val="21"/>
                      <w:szCs w:val="21"/>
                    </w:rPr>
                    <w:t>（大鼠经口）；</w:t>
                  </w:r>
                  <w:r>
                    <w:rPr>
                      <w:rFonts w:ascii="Times New Roman" w:hAnsi="Times New Roman" w:eastAsia="宋体"/>
                      <w:caps w:val="0"/>
                      <w:color w:val="auto"/>
                      <w:sz w:val="21"/>
                      <w:szCs w:val="21"/>
                    </w:rPr>
                    <w:t>12800mg/kg</w:t>
                  </w:r>
                  <w:r>
                    <w:rPr>
                      <w:rFonts w:hint="eastAsia" w:ascii="Times New Roman" w:hAnsi="Times New Roman" w:eastAsia="宋体"/>
                      <w:caps w:val="0"/>
                      <w:color w:val="auto"/>
                      <w:sz w:val="21"/>
                      <w:szCs w:val="21"/>
                    </w:rPr>
                    <w:t>（小鼠经口）；</w:t>
                  </w:r>
                </w:p>
                <w:p>
                  <w:pPr>
                    <w:spacing w:line="240" w:lineRule="auto"/>
                    <w:jc w:val="center"/>
                    <w:rPr>
                      <w:rFonts w:ascii="Times New Roman" w:hAnsi="Times New Roman" w:eastAsia="宋体"/>
                      <w:caps w:val="0"/>
                      <w:color w:val="auto"/>
                      <w:sz w:val="21"/>
                      <w:szCs w:val="21"/>
                    </w:rPr>
                  </w:pP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8600mg/kg</w:t>
                  </w:r>
                  <w:r>
                    <w:rPr>
                      <w:rFonts w:hint="eastAsia" w:ascii="Times New Roman" w:hAnsi="Times New Roman" w:eastAsia="宋体"/>
                      <w:caps w:val="0"/>
                      <w:color w:val="auto"/>
                      <w:sz w:val="21"/>
                      <w:szCs w:val="21"/>
                    </w:rPr>
                    <w:t>（兔经皮）；</w:t>
                  </w:r>
                </w:p>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LC</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5000ppm</w:t>
                  </w:r>
                  <w:r>
                    <w:rPr>
                      <w:rFonts w:hint="eastAsia" w:ascii="Times New Roman" w:hAnsi="Times New Roman" w:eastAsia="宋体"/>
                      <w:caps w:val="0"/>
                      <w:color w:val="auto"/>
                      <w:sz w:val="21"/>
                      <w:szCs w:val="21"/>
                    </w:rPr>
                    <w:t>（大鼠吸入，</w:t>
                  </w:r>
                  <w:r>
                    <w:rPr>
                      <w:rFonts w:ascii="Times New Roman" w:hAnsi="Times New Roman" w:eastAsia="宋体"/>
                      <w:caps w:val="0"/>
                      <w:color w:val="auto"/>
                      <w:sz w:val="21"/>
                      <w:szCs w:val="21"/>
                    </w:rPr>
                    <w:t>6h</w:t>
                  </w:r>
                  <w:r>
                    <w:rPr>
                      <w:rFonts w:hint="eastAsia" w:ascii="Times New Roman" w:hAnsi="Times New Roman" w:eastAsia="宋体"/>
                      <w:caps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kern w:val="0"/>
                      <w:sz w:val="21"/>
                      <w:szCs w:val="21"/>
                    </w:rPr>
                    <w:t>醋酸乙酯</w:t>
                  </w:r>
                </w:p>
              </w:tc>
              <w:tc>
                <w:tcPr>
                  <w:tcW w:w="2448" w:type="pct"/>
                  <w:tcBorders>
                    <w:tl2br w:val="nil"/>
                    <w:tr2bl w:val="nil"/>
                  </w:tcBorders>
                  <w:vAlign w:val="center"/>
                </w:tcPr>
                <w:p>
                  <w:pPr>
                    <w:spacing w:line="240" w:lineRule="auto"/>
                    <w:jc w:val="center"/>
                    <w:rPr>
                      <w:rFonts w:ascii="Times New Roman" w:hAnsi="Times New Roman" w:eastAsia="宋体" w:cs="Times New Roman"/>
                      <w:caps w:val="0"/>
                      <w:color w:val="auto"/>
                      <w:kern w:val="2"/>
                      <w:sz w:val="21"/>
                      <w:szCs w:val="21"/>
                      <w:lang w:val="en-US" w:eastAsia="zh-CN" w:bidi="ar-SA"/>
                    </w:rPr>
                  </w:pPr>
                  <w:r>
                    <w:rPr>
                      <w:rFonts w:ascii="Times New Roman" w:hAnsi="Times New Roman" w:eastAsia="宋体"/>
                      <w:caps w:val="0"/>
                      <w:color w:val="auto"/>
                      <w:sz w:val="21"/>
                      <w:szCs w:val="21"/>
                    </w:rPr>
                    <w:t>C</w:t>
                  </w:r>
                  <w:r>
                    <w:rPr>
                      <w:rFonts w:ascii="Times New Roman" w:hAnsi="Times New Roman" w:eastAsia="宋体"/>
                      <w:caps w:val="0"/>
                      <w:color w:val="auto"/>
                      <w:sz w:val="21"/>
                      <w:szCs w:val="21"/>
                      <w:vertAlign w:val="subscript"/>
                    </w:rPr>
                    <w:t>4</w:t>
                  </w:r>
                  <w:r>
                    <w:rPr>
                      <w:rFonts w:ascii="Times New Roman" w:hAnsi="Times New Roman" w:eastAsia="宋体"/>
                      <w:caps w:val="0"/>
                      <w:color w:val="auto"/>
                      <w:sz w:val="21"/>
                      <w:szCs w:val="21"/>
                    </w:rPr>
                    <w:t>H</w:t>
                  </w:r>
                  <w:r>
                    <w:rPr>
                      <w:rFonts w:ascii="Times New Roman" w:hAnsi="Times New Roman" w:eastAsia="宋体"/>
                      <w:caps w:val="0"/>
                      <w:color w:val="auto"/>
                      <w:sz w:val="21"/>
                      <w:szCs w:val="21"/>
                      <w:vertAlign w:val="subscript"/>
                    </w:rPr>
                    <w:t>8</w:t>
                  </w:r>
                  <w:r>
                    <w:rPr>
                      <w:rFonts w:ascii="Times New Roman" w:hAnsi="Times New Roman" w:eastAsia="宋体"/>
                      <w:caps w:val="0"/>
                      <w:color w:val="auto"/>
                      <w:sz w:val="21"/>
                      <w:szCs w:val="21"/>
                    </w:rPr>
                    <w:t>O</w:t>
                  </w:r>
                  <w:r>
                    <w:rPr>
                      <w:rFonts w:ascii="Times New Roman" w:hAnsi="Times New Roman" w:eastAsia="宋体"/>
                      <w:caps w:val="0"/>
                      <w:color w:val="auto"/>
                      <w:sz w:val="21"/>
                      <w:szCs w:val="21"/>
                      <w:vertAlign w:val="subscript"/>
                    </w:rPr>
                    <w:t>2</w:t>
                  </w:r>
                  <w:r>
                    <w:rPr>
                      <w:rFonts w:hint="eastAsia" w:ascii="Times New Roman" w:hAnsi="Times New Roman" w:eastAsia="宋体"/>
                      <w:caps w:val="0"/>
                      <w:color w:val="auto"/>
                      <w:sz w:val="21"/>
                      <w:szCs w:val="21"/>
                    </w:rPr>
                    <w:t>，无色液体，密度</w:t>
                  </w:r>
                  <w:r>
                    <w:rPr>
                      <w:rFonts w:ascii="Times New Roman" w:hAnsi="Times New Roman" w:eastAsia="宋体"/>
                      <w:caps w:val="0"/>
                      <w:color w:val="auto"/>
                      <w:sz w:val="21"/>
                      <w:szCs w:val="21"/>
                    </w:rPr>
                    <w:t>0.942g/cm</w:t>
                  </w:r>
                  <w:r>
                    <w:rPr>
                      <w:rFonts w:ascii="Times New Roman" w:hAnsi="Times New Roman" w:eastAsia="宋体"/>
                      <w:caps w:val="0"/>
                      <w:color w:val="auto"/>
                      <w:sz w:val="21"/>
                      <w:szCs w:val="21"/>
                      <w:vertAlign w:val="superscript"/>
                    </w:rPr>
                    <w:t>3</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25</w:t>
                  </w:r>
                  <w:r>
                    <w:rPr>
                      <w:rFonts w:hint="eastAsia" w:ascii="Times New Roman" w:hAnsi="Times New Roman" w:eastAsia="宋体"/>
                      <w:caps w:val="0"/>
                      <w:color w:val="auto"/>
                      <w:sz w:val="21"/>
                      <w:szCs w:val="21"/>
                    </w:rPr>
                    <w:t>℃），熔点</w:t>
                  </w:r>
                  <w:r>
                    <w:rPr>
                      <w:rFonts w:ascii="Times New Roman" w:hAnsi="Times New Roman" w:eastAsia="宋体"/>
                      <w:caps w:val="0"/>
                      <w:color w:val="auto"/>
                      <w:sz w:val="21"/>
                      <w:szCs w:val="21"/>
                    </w:rPr>
                    <w:t>-63</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192</w:t>
                  </w:r>
                  <w:r>
                    <w:rPr>
                      <w:rFonts w:hint="eastAsia" w:ascii="Times New Roman" w:hAnsi="Times New Roman" w:eastAsia="宋体"/>
                      <w:caps w:val="0"/>
                      <w:color w:val="auto"/>
                      <w:sz w:val="21"/>
                      <w:szCs w:val="21"/>
                    </w:rPr>
                    <w:t>℃，闪点</w:t>
                  </w:r>
                  <w:r>
                    <w:rPr>
                      <w:rFonts w:ascii="Times New Roman" w:hAnsi="Times New Roman" w:eastAsia="宋体"/>
                      <w:caps w:val="0"/>
                      <w:color w:val="auto"/>
                      <w:sz w:val="21"/>
                      <w:szCs w:val="21"/>
                    </w:rPr>
                    <w:t xml:space="preserve">129 </w:t>
                  </w:r>
                  <w:r>
                    <w:rPr>
                      <w:rFonts w:hint="eastAsia" w:ascii="Times New Roman" w:hAnsi="Times New Roman" w:eastAsia="宋体"/>
                      <w:caps w:val="0"/>
                      <w:color w:val="auto"/>
                      <w:sz w:val="21"/>
                      <w:szCs w:val="21"/>
                    </w:rPr>
                    <w:t>℉，微溶于水，溶于乙醇、丙酮、乙醚、氯仿、苯等多数有机溶剂。</w:t>
                  </w:r>
                </w:p>
              </w:tc>
              <w:tc>
                <w:tcPr>
                  <w:tcW w:w="378" w:type="pct"/>
                  <w:tcBorders>
                    <w:tl2br w:val="nil"/>
                    <w:tr2bl w:val="nil"/>
                  </w:tcBorders>
                  <w:vAlign w:val="center"/>
                </w:tcPr>
                <w:p>
                  <w:pPr>
                    <w:spacing w:line="240" w:lineRule="auto"/>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jc w:val="center"/>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5620mg/kg</w:t>
                  </w:r>
                  <w:r>
                    <w:rPr>
                      <w:rFonts w:hint="eastAsia" w:ascii="Times New Roman" w:hAnsi="Times New Roman" w:eastAsia="宋体"/>
                      <w:caps w:val="0"/>
                      <w:color w:val="auto"/>
                      <w:sz w:val="21"/>
                      <w:szCs w:val="21"/>
                    </w:rPr>
                    <w:t>（大鼠经口）；</w:t>
                  </w:r>
                  <w:r>
                    <w:rPr>
                      <w:rFonts w:ascii="Times New Roman" w:hAnsi="Times New Roman" w:eastAsia="宋体"/>
                      <w:caps w:val="0"/>
                      <w:color w:val="auto"/>
                      <w:sz w:val="21"/>
                      <w:szCs w:val="21"/>
                    </w:rPr>
                    <w:t>4940mg/kg</w:t>
                  </w:r>
                  <w:r>
                    <w:rPr>
                      <w:rFonts w:hint="eastAsia" w:ascii="Times New Roman" w:hAnsi="Times New Roman" w:eastAsia="宋体"/>
                      <w:caps w:val="0"/>
                      <w:color w:val="auto"/>
                      <w:sz w:val="21"/>
                      <w:szCs w:val="21"/>
                    </w:rPr>
                    <w:t>（兔经皮）；</w:t>
                  </w:r>
                </w:p>
                <w:p>
                  <w:pPr>
                    <w:spacing w:line="240" w:lineRule="auto"/>
                    <w:jc w:val="center"/>
                    <w:rPr>
                      <w:rFonts w:ascii="Times New Roman" w:hAnsi="Times New Roman" w:eastAsia="宋体" w:cs="Times New Roman"/>
                      <w:caps w:val="0"/>
                      <w:color w:val="auto"/>
                      <w:kern w:val="2"/>
                      <w:sz w:val="21"/>
                      <w:szCs w:val="21"/>
                      <w:lang w:val="en-US" w:eastAsia="zh-CN" w:bidi="ar-SA"/>
                    </w:rPr>
                  </w:pPr>
                  <w:r>
                    <w:rPr>
                      <w:rFonts w:ascii="Times New Roman" w:hAnsi="Times New Roman" w:eastAsia="宋体"/>
                      <w:caps w:val="0"/>
                      <w:color w:val="auto"/>
                      <w:sz w:val="21"/>
                      <w:szCs w:val="21"/>
                    </w:rPr>
                    <w:t>LC</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200g/m</w:t>
                  </w:r>
                  <w:r>
                    <w:rPr>
                      <w:rFonts w:ascii="Times New Roman" w:hAnsi="Times New Roman" w:eastAsia="宋体"/>
                      <w:caps w:val="0"/>
                      <w:color w:val="auto"/>
                      <w:sz w:val="21"/>
                      <w:szCs w:val="21"/>
                      <w:vertAlign w:val="superscript"/>
                    </w:rPr>
                    <w:t>3</w:t>
                  </w:r>
                  <w:r>
                    <w:rPr>
                      <w:rFonts w:hint="eastAsia" w:ascii="Times New Roman" w:hAnsi="Times New Roman" w:eastAsia="宋体"/>
                      <w:caps w:val="0"/>
                      <w:color w:val="auto"/>
                      <w:sz w:val="21"/>
                      <w:szCs w:val="21"/>
                    </w:rPr>
                    <w:t>（大鼠吸入）；</w:t>
                  </w:r>
                  <w:r>
                    <w:rPr>
                      <w:rFonts w:ascii="Times New Roman" w:hAnsi="Times New Roman" w:eastAsia="宋体"/>
                      <w:caps w:val="0"/>
                      <w:color w:val="auto"/>
                      <w:sz w:val="21"/>
                      <w:szCs w:val="21"/>
                    </w:rPr>
                    <w:t>45g/m</w:t>
                  </w:r>
                  <w:r>
                    <w:rPr>
                      <w:rFonts w:ascii="Times New Roman" w:hAnsi="Times New Roman" w:eastAsia="宋体"/>
                      <w:caps w:val="0"/>
                      <w:color w:val="auto"/>
                      <w:sz w:val="21"/>
                      <w:szCs w:val="21"/>
                      <w:vertAlign w:val="superscript"/>
                    </w:rPr>
                    <w:t>3</w:t>
                  </w:r>
                  <w:r>
                    <w:rPr>
                      <w:rFonts w:hint="eastAsia" w:ascii="Times New Roman" w:hAnsi="Times New Roman" w:eastAsia="宋体"/>
                      <w:caps w:val="0"/>
                      <w:color w:val="auto"/>
                      <w:sz w:val="21"/>
                      <w:szCs w:val="21"/>
                    </w:rPr>
                    <w:t>（小鼠吸入，</w:t>
                  </w:r>
                  <w:r>
                    <w:rPr>
                      <w:rFonts w:ascii="Times New Roman" w:hAnsi="Times New Roman" w:eastAsia="宋体"/>
                      <w:caps w:val="0"/>
                      <w:color w:val="auto"/>
                      <w:sz w:val="21"/>
                      <w:szCs w:val="21"/>
                    </w:rPr>
                    <w:t>2h</w:t>
                  </w:r>
                  <w:r>
                    <w:rPr>
                      <w:rFonts w:hint="eastAsia" w:ascii="Times New Roman" w:hAnsi="Times New Roman" w:eastAsia="宋体"/>
                      <w:caps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645" w:type="pct"/>
                  <w:tcBorders>
                    <w:tl2br w:val="nil"/>
                    <w:tr2bl w:val="nil"/>
                  </w:tcBorders>
                  <w:vAlign w:val="center"/>
                </w:tcPr>
                <w:p>
                  <w:pPr>
                    <w:spacing w:line="240" w:lineRule="auto"/>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kern w:val="0"/>
                      <w:sz w:val="21"/>
                      <w:szCs w:val="21"/>
                      <w:highlight w:val="none"/>
                    </w:rPr>
                    <w:t>乙酸正丁酯</w:t>
                  </w:r>
                </w:p>
              </w:tc>
              <w:tc>
                <w:tcPr>
                  <w:tcW w:w="2448" w:type="pct"/>
                  <w:tcBorders>
                    <w:tl2br w:val="nil"/>
                    <w:tr2bl w:val="nil"/>
                  </w:tcBorders>
                  <w:vAlign w:val="center"/>
                </w:tcPr>
                <w:p>
                  <w:pPr>
                    <w:spacing w:line="240" w:lineRule="auto"/>
                    <w:jc w:val="center"/>
                    <w:rPr>
                      <w:rFonts w:ascii="Times New Roman" w:hAnsi="Times New Roman" w:eastAsia="宋体" w:cs="Times New Roman"/>
                      <w:caps w:val="0"/>
                      <w:color w:val="auto"/>
                      <w:kern w:val="2"/>
                      <w:sz w:val="21"/>
                      <w:szCs w:val="21"/>
                      <w:lang w:val="en-US" w:eastAsia="zh-CN" w:bidi="ar-SA"/>
                    </w:rPr>
                  </w:pPr>
                  <w:r>
                    <w:rPr>
                      <w:rFonts w:ascii="Times New Roman" w:hAnsi="Times New Roman" w:eastAsia="宋体"/>
                      <w:caps w:val="0"/>
                      <w:color w:val="auto"/>
                      <w:sz w:val="21"/>
                      <w:szCs w:val="21"/>
                      <w:shd w:val="clear" w:color="auto" w:fill="FFFFFF"/>
                    </w:rPr>
                    <w:t>CH</w:t>
                  </w:r>
                  <w:r>
                    <w:rPr>
                      <w:rFonts w:ascii="Times New Roman" w:hAnsi="Times New Roman" w:eastAsia="宋体"/>
                      <w:caps w:val="0"/>
                      <w:color w:val="auto"/>
                      <w:sz w:val="18"/>
                      <w:szCs w:val="18"/>
                      <w:shd w:val="clear" w:color="auto" w:fill="FFFFFF"/>
                      <w:vertAlign w:val="subscript"/>
                    </w:rPr>
                    <w:t>3</w:t>
                  </w:r>
                  <w:r>
                    <w:rPr>
                      <w:rFonts w:ascii="Times New Roman" w:hAnsi="Times New Roman" w:eastAsia="宋体"/>
                      <w:caps w:val="0"/>
                      <w:color w:val="auto"/>
                      <w:sz w:val="21"/>
                      <w:szCs w:val="21"/>
                      <w:shd w:val="clear" w:color="auto" w:fill="FFFFFF"/>
                    </w:rPr>
                    <w:t>COO(CH</w:t>
                  </w:r>
                  <w:r>
                    <w:rPr>
                      <w:rFonts w:ascii="Times New Roman" w:hAnsi="Times New Roman" w:eastAsia="宋体"/>
                      <w:caps w:val="0"/>
                      <w:color w:val="auto"/>
                      <w:sz w:val="18"/>
                      <w:szCs w:val="18"/>
                      <w:shd w:val="clear" w:color="auto" w:fill="FFFFFF"/>
                      <w:vertAlign w:val="subscript"/>
                    </w:rPr>
                    <w:t>2</w:t>
                  </w:r>
                  <w:r>
                    <w:rPr>
                      <w:rFonts w:ascii="Times New Roman" w:hAnsi="Times New Roman" w:eastAsia="宋体"/>
                      <w:caps w:val="0"/>
                      <w:color w:val="auto"/>
                      <w:sz w:val="21"/>
                      <w:szCs w:val="21"/>
                      <w:shd w:val="clear" w:color="auto" w:fill="FFFFFF"/>
                    </w:rPr>
                    <w:t>)</w:t>
                  </w:r>
                  <w:r>
                    <w:rPr>
                      <w:rFonts w:ascii="Times New Roman" w:hAnsi="Times New Roman" w:eastAsia="宋体"/>
                      <w:caps w:val="0"/>
                      <w:color w:val="auto"/>
                      <w:sz w:val="18"/>
                      <w:szCs w:val="18"/>
                      <w:shd w:val="clear" w:color="auto" w:fill="FFFFFF"/>
                      <w:vertAlign w:val="subscript"/>
                    </w:rPr>
                    <w:t>3</w:t>
                  </w:r>
                  <w:r>
                    <w:rPr>
                      <w:rFonts w:ascii="Times New Roman" w:hAnsi="Times New Roman" w:eastAsia="宋体"/>
                      <w:caps w:val="0"/>
                      <w:color w:val="auto"/>
                      <w:sz w:val="21"/>
                      <w:szCs w:val="21"/>
                      <w:shd w:val="clear" w:color="auto" w:fill="FFFFFF"/>
                    </w:rPr>
                    <w:t>CH</w:t>
                  </w:r>
                  <w:r>
                    <w:rPr>
                      <w:rFonts w:ascii="Times New Roman" w:hAnsi="Times New Roman" w:eastAsia="宋体"/>
                      <w:caps w:val="0"/>
                      <w:color w:val="auto"/>
                      <w:sz w:val="18"/>
                      <w:szCs w:val="18"/>
                      <w:shd w:val="clear" w:color="auto" w:fill="FFFFFF"/>
                      <w:vertAlign w:val="subscript"/>
                    </w:rPr>
                    <w:t>3</w:t>
                  </w:r>
                  <w:r>
                    <w:rPr>
                      <w:rFonts w:ascii="Times New Roman" w:hAnsi="Times New Roman" w:eastAsia="宋体"/>
                      <w:caps w:val="0"/>
                      <w:color w:val="auto"/>
                      <w:sz w:val="21"/>
                      <w:szCs w:val="21"/>
                    </w:rPr>
                    <w:t>，</w:t>
                  </w:r>
                  <w:r>
                    <w:rPr>
                      <w:rFonts w:hint="eastAsia" w:ascii="Times New Roman" w:hAnsi="Times New Roman" w:eastAsia="宋体"/>
                      <w:caps w:val="0"/>
                      <w:color w:val="auto"/>
                      <w:sz w:val="21"/>
                      <w:szCs w:val="21"/>
                    </w:rPr>
                    <w:t>无色透明液体，密度</w:t>
                  </w:r>
                  <w:r>
                    <w:rPr>
                      <w:rFonts w:ascii="Times New Roman" w:hAnsi="Times New Roman" w:eastAsia="宋体"/>
                      <w:caps w:val="0"/>
                      <w:color w:val="auto"/>
                      <w:sz w:val="21"/>
                      <w:szCs w:val="21"/>
                    </w:rPr>
                    <w:t>0.8825g/cm</w:t>
                  </w:r>
                  <w:r>
                    <w:rPr>
                      <w:rFonts w:ascii="Times New Roman" w:hAnsi="Times New Roman" w:eastAsia="宋体"/>
                      <w:caps w:val="0"/>
                      <w:color w:val="auto"/>
                      <w:sz w:val="21"/>
                      <w:szCs w:val="21"/>
                      <w:vertAlign w:val="superscript"/>
                    </w:rPr>
                    <w:t>3</w:t>
                  </w:r>
                  <w:r>
                    <w:rPr>
                      <w:rFonts w:hint="eastAsia" w:ascii="Times New Roman" w:hAnsi="Times New Roman" w:eastAsia="宋体"/>
                      <w:caps w:val="0"/>
                      <w:color w:val="auto"/>
                      <w:sz w:val="21"/>
                      <w:szCs w:val="21"/>
                    </w:rPr>
                    <w:t>，熔点</w:t>
                  </w:r>
                  <w:r>
                    <w:rPr>
                      <w:rFonts w:ascii="Times New Roman" w:hAnsi="Times New Roman" w:eastAsia="宋体"/>
                      <w:caps w:val="0"/>
                      <w:color w:val="auto"/>
                      <w:sz w:val="21"/>
                      <w:szCs w:val="21"/>
                    </w:rPr>
                    <w:t>-84</w:t>
                  </w:r>
                  <w:r>
                    <w:rPr>
                      <w:rFonts w:hint="eastAsia" w:ascii="Times New Roman" w:hAnsi="Times New Roman" w:eastAsia="宋体"/>
                      <w:caps w:val="0"/>
                      <w:color w:val="auto"/>
                      <w:sz w:val="21"/>
                      <w:szCs w:val="21"/>
                    </w:rPr>
                    <w:t>℃，沸点</w:t>
                  </w:r>
                  <w:r>
                    <w:rPr>
                      <w:rFonts w:ascii="Times New Roman" w:hAnsi="Times New Roman" w:eastAsia="宋体"/>
                      <w:caps w:val="0"/>
                      <w:color w:val="auto"/>
                      <w:sz w:val="21"/>
                      <w:szCs w:val="21"/>
                    </w:rPr>
                    <w:t>76.6-77.5</w:t>
                  </w:r>
                  <w:r>
                    <w:rPr>
                      <w:rFonts w:hint="eastAsia" w:ascii="Times New Roman" w:hAnsi="Times New Roman" w:eastAsia="宋体"/>
                      <w:caps w:val="0"/>
                      <w:color w:val="auto"/>
                      <w:sz w:val="21"/>
                      <w:szCs w:val="21"/>
                    </w:rPr>
                    <w:t>℃，闪点</w:t>
                  </w:r>
                  <w:r>
                    <w:rPr>
                      <w:rFonts w:ascii="Times New Roman" w:hAnsi="Times New Roman" w:eastAsia="宋体"/>
                      <w:caps w:val="0"/>
                      <w:color w:val="auto"/>
                      <w:sz w:val="21"/>
                      <w:szCs w:val="21"/>
                    </w:rPr>
                    <w:t>-4</w:t>
                  </w:r>
                  <w:r>
                    <w:rPr>
                      <w:rFonts w:hint="eastAsia" w:ascii="Times New Roman" w:hAnsi="Times New Roman" w:eastAsia="宋体"/>
                      <w:caps w:val="0"/>
                      <w:color w:val="auto"/>
                      <w:sz w:val="21"/>
                      <w:szCs w:val="21"/>
                    </w:rPr>
                    <w:t>℃，微溶于水，溶于乙醇、乙醚、烃类等多数有机溶剂。</w:t>
                  </w:r>
                </w:p>
              </w:tc>
              <w:tc>
                <w:tcPr>
                  <w:tcW w:w="378" w:type="pct"/>
                  <w:tcBorders>
                    <w:tl2br w:val="nil"/>
                    <w:tr2bl w:val="nil"/>
                  </w:tcBorders>
                  <w:vAlign w:val="center"/>
                </w:tcPr>
                <w:p>
                  <w:pPr>
                    <w:spacing w:line="240" w:lineRule="auto"/>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易燃</w:t>
                  </w:r>
                </w:p>
              </w:tc>
              <w:tc>
                <w:tcPr>
                  <w:tcW w:w="1527" w:type="pct"/>
                  <w:tcBorders>
                    <w:tl2br w:val="nil"/>
                    <w:tr2bl w:val="nil"/>
                  </w:tcBorders>
                  <w:vAlign w:val="center"/>
                </w:tcPr>
                <w:p>
                  <w:pPr>
                    <w:spacing w:line="240" w:lineRule="auto"/>
                    <w:rPr>
                      <w:rFonts w:ascii="Times New Roman" w:hAnsi="Times New Roman" w:eastAsia="宋体"/>
                      <w:caps w:val="0"/>
                      <w:color w:val="auto"/>
                      <w:sz w:val="21"/>
                      <w:szCs w:val="21"/>
                    </w:rPr>
                  </w:pPr>
                  <w:r>
                    <w:rPr>
                      <w:rFonts w:ascii="Times New Roman" w:hAnsi="Times New Roman" w:eastAsia="宋体"/>
                      <w:caps w:val="0"/>
                      <w:color w:val="auto"/>
                      <w:sz w:val="21"/>
                      <w:szCs w:val="21"/>
                    </w:rPr>
                    <w:t>LD</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10768mg/kg</w:t>
                  </w:r>
                  <w:r>
                    <w:rPr>
                      <w:rFonts w:hint="eastAsia" w:ascii="Times New Roman" w:hAnsi="Times New Roman" w:eastAsia="宋体"/>
                      <w:caps w:val="0"/>
                      <w:color w:val="auto"/>
                      <w:sz w:val="21"/>
                      <w:szCs w:val="21"/>
                    </w:rPr>
                    <w:t>（大鼠经口）；＞</w:t>
                  </w:r>
                  <w:r>
                    <w:rPr>
                      <w:rFonts w:ascii="Times New Roman" w:hAnsi="Times New Roman" w:eastAsia="宋体"/>
                      <w:caps w:val="0"/>
                      <w:color w:val="auto"/>
                      <w:sz w:val="21"/>
                      <w:szCs w:val="21"/>
                    </w:rPr>
                    <w:t>17600mg/kg</w:t>
                  </w:r>
                  <w:r>
                    <w:rPr>
                      <w:rFonts w:hint="eastAsia" w:ascii="Times New Roman" w:hAnsi="Times New Roman" w:eastAsia="宋体"/>
                      <w:caps w:val="0"/>
                      <w:color w:val="auto"/>
                      <w:sz w:val="21"/>
                      <w:szCs w:val="21"/>
                    </w:rPr>
                    <w:t>（兔经皮）；</w:t>
                  </w:r>
                </w:p>
                <w:p>
                  <w:pPr>
                    <w:spacing w:line="240" w:lineRule="auto"/>
                    <w:jc w:val="center"/>
                    <w:rPr>
                      <w:rFonts w:ascii="Times New Roman" w:hAnsi="Times New Roman" w:eastAsia="宋体" w:cs="Times New Roman"/>
                      <w:caps w:val="0"/>
                      <w:color w:val="auto"/>
                      <w:kern w:val="2"/>
                      <w:sz w:val="21"/>
                      <w:szCs w:val="21"/>
                      <w:lang w:val="en-US" w:eastAsia="zh-CN" w:bidi="ar-SA"/>
                    </w:rPr>
                  </w:pPr>
                  <w:r>
                    <w:rPr>
                      <w:rFonts w:ascii="Times New Roman" w:hAnsi="Times New Roman" w:eastAsia="宋体"/>
                      <w:caps w:val="0"/>
                      <w:color w:val="auto"/>
                      <w:sz w:val="21"/>
                      <w:szCs w:val="21"/>
                    </w:rPr>
                    <w:t>LC</w:t>
                  </w:r>
                  <w:r>
                    <w:rPr>
                      <w:rFonts w:ascii="Times New Roman" w:hAnsi="Times New Roman" w:eastAsia="宋体"/>
                      <w:caps w:val="0"/>
                      <w:color w:val="auto"/>
                      <w:sz w:val="21"/>
                      <w:szCs w:val="21"/>
                      <w:vertAlign w:val="subscript"/>
                    </w:rPr>
                    <w:t>50</w:t>
                  </w:r>
                  <w:r>
                    <w:rPr>
                      <w:rFonts w:hint="eastAsia" w:ascii="Times New Roman" w:hAnsi="Times New Roman" w:eastAsia="宋体"/>
                      <w:caps w:val="0"/>
                      <w:color w:val="auto"/>
                      <w:sz w:val="21"/>
                      <w:szCs w:val="21"/>
                    </w:rPr>
                    <w:t>：</w:t>
                  </w:r>
                  <w:r>
                    <w:rPr>
                      <w:rFonts w:ascii="Times New Roman" w:hAnsi="Times New Roman" w:eastAsia="宋体"/>
                      <w:caps w:val="0"/>
                      <w:color w:val="auto"/>
                      <w:sz w:val="21"/>
                      <w:szCs w:val="21"/>
                    </w:rPr>
                    <w:t>390ppm</w:t>
                  </w:r>
                  <w:r>
                    <w:rPr>
                      <w:rFonts w:hint="eastAsia" w:ascii="Times New Roman" w:hAnsi="Times New Roman" w:eastAsia="宋体"/>
                      <w:caps w:val="0"/>
                      <w:color w:val="auto"/>
                      <w:sz w:val="21"/>
                      <w:szCs w:val="21"/>
                    </w:rPr>
                    <w:t>（大鼠吸入，</w:t>
                  </w:r>
                  <w:r>
                    <w:rPr>
                      <w:rFonts w:ascii="Times New Roman" w:hAnsi="Times New Roman" w:eastAsia="宋体"/>
                      <w:caps w:val="0"/>
                      <w:color w:val="auto"/>
                      <w:sz w:val="21"/>
                      <w:szCs w:val="21"/>
                    </w:rPr>
                    <w:t>4h</w:t>
                  </w:r>
                  <w:r>
                    <w:rPr>
                      <w:rFonts w:hint="eastAsia" w:ascii="Times New Roman" w:hAnsi="Times New Roman" w:eastAsia="宋体"/>
                      <w:caps w:val="0"/>
                      <w:color w:val="auto"/>
                      <w:sz w:val="21"/>
                      <w:szCs w:val="21"/>
                    </w:rPr>
                    <w:t>）</w:t>
                  </w:r>
                </w:p>
              </w:tc>
            </w:tr>
          </w:tbl>
          <w:p>
            <w:pPr>
              <w:spacing w:line="360" w:lineRule="auto"/>
              <w:ind w:firstLine="482" w:firstLineChars="200"/>
              <w:rPr>
                <w:rFonts w:ascii="Times New Roman" w:hAnsi="Times New Roman" w:eastAsia="宋体"/>
                <w:caps w:val="0"/>
                <w:color w:val="auto"/>
                <w:sz w:val="24"/>
              </w:rPr>
            </w:pPr>
            <w:r>
              <w:rPr>
                <w:rFonts w:hint="eastAsia" w:ascii="Times New Roman" w:hAnsi="Times New Roman" w:eastAsia="宋体"/>
                <w:b/>
                <w:bCs/>
                <w:caps w:val="0"/>
                <w:color w:val="auto"/>
                <w:kern w:val="0"/>
                <w:sz w:val="24"/>
              </w:rPr>
              <w:t>6、项目水平衡</w:t>
            </w:r>
          </w:p>
          <w:p>
            <w:pPr>
              <w:pStyle w:val="9"/>
              <w:adjustRightInd w:val="0"/>
              <w:snapToGrid w:val="0"/>
              <w:spacing w:line="360" w:lineRule="auto"/>
              <w:ind w:firstLine="470" w:firstLineChars="196"/>
              <w:jc w:val="left"/>
              <w:rPr>
                <w:rFonts w:ascii="Times New Roman" w:hAnsi="Times New Roman" w:eastAsia="宋体"/>
                <w:caps w:val="0"/>
                <w:color w:val="auto"/>
                <w:szCs w:val="21"/>
              </w:rPr>
            </w:pPr>
            <w:r>
              <w:rPr>
                <w:rFonts w:hint="eastAsia" w:ascii="Times New Roman" w:hAnsi="Times New Roman" w:eastAsia="宋体"/>
                <w:caps w:val="0"/>
                <w:color w:val="auto"/>
                <w:sz w:val="24"/>
              </w:rPr>
              <w:t>本次</w:t>
            </w:r>
            <w:r>
              <w:rPr>
                <w:rFonts w:hint="eastAsia" w:ascii="Times New Roman" w:hAnsi="Times New Roman" w:eastAsia="宋体"/>
                <w:caps w:val="0"/>
                <w:color w:val="auto"/>
                <w:sz w:val="24"/>
                <w:lang w:val="en-US" w:eastAsia="zh-CN"/>
              </w:rPr>
              <w:t>技改</w:t>
            </w:r>
            <w:r>
              <w:rPr>
                <w:rFonts w:hint="eastAsia" w:ascii="Times New Roman" w:hAnsi="Times New Roman" w:eastAsia="宋体"/>
                <w:caps w:val="0"/>
                <w:color w:val="auto"/>
                <w:sz w:val="24"/>
              </w:rPr>
              <w:t>项目水平衡见下图：</w:t>
            </w:r>
          </w:p>
          <w:p>
            <w:pPr>
              <w:jc w:val="center"/>
              <w:rPr>
                <w:rFonts w:hint="eastAsia" w:ascii="Times New Roman" w:hAnsi="Times New Roman" w:eastAsia="宋体"/>
                <w:b/>
                <w:bCs/>
                <w:caps w:val="0"/>
                <w:color w:val="auto"/>
                <w:sz w:val="24"/>
              </w:rPr>
            </w:pPr>
            <w:r>
              <w:rPr>
                <w:rFonts w:ascii="Times New Roman" w:hAnsi="Times New Roman" w:eastAsia="宋体"/>
                <w:caps w:val="0"/>
                <w:color w:val="auto"/>
                <w:szCs w:val="21"/>
              </w:rPr>
              <mc:AlternateContent>
                <mc:Choice Requires="wpc">
                  <w:drawing>
                    <wp:inline distT="0" distB="0" distL="114300" distR="114300">
                      <wp:extent cx="5067300" cy="1464310"/>
                      <wp:effectExtent l="0" t="0" r="0" b="0"/>
                      <wp:docPr id="19" name="画布 3"/>
                      <wp:cNvGraphicFramePr/>
                      <a:graphic xmlns:a="http://schemas.openxmlformats.org/drawingml/2006/main">
                        <a:graphicData uri="http://schemas.microsoft.com/office/word/2010/wordprocessingCanvas">
                          <wpc:wpc>
                            <wpc:bg>
                              <a:noFill/>
                            </wpc:bg>
                            <wpc:whole>
                              <a:ln>
                                <a:noFill/>
                              </a:ln>
                            </wpc:whole>
                            <wps:wsp>
                              <wps:cNvPr id="31" name="文本框 970"/>
                              <wps:cNvSpPr txBox="1"/>
                              <wps:spPr>
                                <a:xfrm>
                                  <a:off x="254000" y="642620"/>
                                  <a:ext cx="546100" cy="241300"/>
                                </a:xfrm>
                                <a:prstGeom prst="rect">
                                  <a:avLst/>
                                </a:prstGeom>
                                <a:solidFill>
                                  <a:srgbClr val="FFFFFF"/>
                                </a:solidFill>
                                <a:ln>
                                  <a:noFill/>
                                </a:ln>
                              </wps:spPr>
                              <wps:txbx>
                                <w:txbxContent>
                                  <w:p>
                                    <w:pPr>
                                      <w:rPr>
                                        <w:rFonts w:hint="default" w:eastAsia="宋体"/>
                                        <w:sz w:val="18"/>
                                        <w:szCs w:val="21"/>
                                        <w:lang w:val="en-US" w:eastAsia="zh-CN"/>
                                      </w:rPr>
                                    </w:pPr>
                                    <w:r>
                                      <w:rPr>
                                        <w:rFonts w:hint="eastAsia"/>
                                        <w:sz w:val="18"/>
                                        <w:szCs w:val="21"/>
                                        <w:lang w:val="en-US" w:eastAsia="zh-CN"/>
                                      </w:rPr>
                                      <w:t>153.5</w:t>
                                    </w:r>
                                  </w:p>
                                </w:txbxContent>
                              </wps:txbx>
                              <wps:bodyPr vert="horz" wrap="square" anchor="t" anchorCtr="0" upright="1"/>
                            </wps:wsp>
                            <wps:wsp>
                              <wps:cNvPr id="62" name="文本框 972"/>
                              <wps:cNvSpPr txBox="1"/>
                              <wps:spPr>
                                <a:xfrm>
                                  <a:off x="1078865" y="429895"/>
                                  <a:ext cx="92710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18"/>
                                        <w:szCs w:val="18"/>
                                      </w:rPr>
                                      <w:t>职工生活用水</w:t>
                                    </w:r>
                                  </w:p>
                                </w:txbxContent>
                              </wps:txbx>
                              <wps:bodyPr vert="horz" wrap="square" anchor="t" anchorCtr="0" upright="1"/>
                            </wps:wsp>
                            <wps:wsp>
                              <wps:cNvPr id="77" name="文本框 973"/>
                              <wps:cNvSpPr txBox="1"/>
                              <wps:spPr>
                                <a:xfrm>
                                  <a:off x="2593975" y="438150"/>
                                  <a:ext cx="800100" cy="260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化粪池</w:t>
                                    </w:r>
                                  </w:p>
                                </w:txbxContent>
                              </wps:txbx>
                              <wps:bodyPr vert="horz" wrap="square" anchor="t" anchorCtr="0" upright="1"/>
                            </wps:wsp>
                            <wps:wsp>
                              <wps:cNvPr id="81" name="直线 974"/>
                              <wps:cNvCnPr/>
                              <wps:spPr>
                                <a:xfrm flipV="1">
                                  <a:off x="3416300" y="568960"/>
                                  <a:ext cx="646430" cy="6985"/>
                                </a:xfrm>
                                <a:prstGeom prst="line">
                                  <a:avLst/>
                                </a:prstGeom>
                                <a:ln w="9525" cap="flat" cmpd="sng">
                                  <a:solidFill>
                                    <a:srgbClr val="000000"/>
                                  </a:solidFill>
                                  <a:prstDash val="solid"/>
                                  <a:headEnd type="none" w="med" len="med"/>
                                  <a:tailEnd type="triangle" w="med" len="med"/>
                                </a:ln>
                              </wps:spPr>
                              <wps:bodyPr/>
                            </wps:wsp>
                            <wps:wsp>
                              <wps:cNvPr id="83" name="自选图形 984"/>
                              <wps:cNvCnPr/>
                              <wps:spPr>
                                <a:xfrm flipV="1">
                                  <a:off x="1490980" y="273685"/>
                                  <a:ext cx="305435" cy="156845"/>
                                </a:xfrm>
                                <a:prstGeom prst="curvedConnector3">
                                  <a:avLst>
                                    <a:gd name="adj1" fmla="val 50104"/>
                                  </a:avLst>
                                </a:prstGeom>
                                <a:ln w="9525" cap="flat" cmpd="sng">
                                  <a:solidFill>
                                    <a:srgbClr val="000000"/>
                                  </a:solidFill>
                                  <a:prstDash val="solid"/>
                                  <a:headEnd type="none" w="med" len="med"/>
                                  <a:tailEnd type="arrow" w="med" len="med"/>
                                </a:ln>
                              </wps:spPr>
                              <wps:bodyPr/>
                            </wps:wsp>
                            <wps:wsp>
                              <wps:cNvPr id="88" name="文本框 985"/>
                              <wps:cNvSpPr txBox="1"/>
                              <wps:spPr>
                                <a:xfrm>
                                  <a:off x="1555750" y="12700"/>
                                  <a:ext cx="874395" cy="26797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30</w:t>
                                    </w:r>
                                  </w:p>
                                </w:txbxContent>
                              </wps:txbx>
                              <wps:bodyPr vert="horz" wrap="square" anchor="t" anchorCtr="0" upright="1"/>
                            </wps:wsp>
                            <wps:wsp>
                              <wps:cNvPr id="89" name="文本框 986"/>
                              <wps:cNvSpPr txBox="1"/>
                              <wps:spPr>
                                <a:xfrm>
                                  <a:off x="2061210" y="347980"/>
                                  <a:ext cx="551180"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120</w:t>
                                    </w:r>
                                  </w:p>
                                </w:txbxContent>
                              </wps:txbx>
                              <wps:bodyPr vert="horz" wrap="square" anchor="t" anchorCtr="0" upright="1"/>
                            </wps:wsp>
                            <wps:wsp>
                              <wps:cNvPr id="95" name="文本框 986"/>
                              <wps:cNvSpPr txBox="1"/>
                              <wps:spPr>
                                <a:xfrm>
                                  <a:off x="3493135" y="378460"/>
                                  <a:ext cx="510540" cy="2032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120</w:t>
                                    </w:r>
                                  </w:p>
                                </w:txbxContent>
                              </wps:txbx>
                              <wps:bodyPr vert="horz" wrap="square" anchor="t" anchorCtr="0" upright="1"/>
                            </wps:wsp>
                            <wps:wsp>
                              <wps:cNvPr id="96" name="任意多边形 13"/>
                              <wps:cNvSpPr/>
                              <wps:spPr>
                                <a:xfrm>
                                  <a:off x="251460" y="899795"/>
                                  <a:ext cx="517525" cy="76200"/>
                                </a:xfrm>
                                <a:custGeom>
                                  <a:avLst/>
                                  <a:gdLst/>
                                  <a:ahLst/>
                                  <a:cxnLst/>
                                  <a:rect l="0" t="0" r="0" b="0"/>
                                  <a:pathLst>
                                    <a:path w="925" h="1">
                                      <a:moveTo>
                                        <a:pt x="0" y="0"/>
                                      </a:moveTo>
                                      <a:cubicBezTo>
                                        <a:pt x="308" y="0"/>
                                        <a:pt x="617" y="0"/>
                                        <a:pt x="925"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97" name="任意多边形 14"/>
                              <wps:cNvSpPr/>
                              <wps:spPr>
                                <a:xfrm>
                                  <a:off x="2018665" y="568325"/>
                                  <a:ext cx="563880" cy="635"/>
                                </a:xfrm>
                                <a:custGeom>
                                  <a:avLst/>
                                  <a:gdLst/>
                                  <a:ahLst/>
                                  <a:cxnLst/>
                                  <a:rect l="0" t="0" r="0" b="0"/>
                                  <a:pathLst>
                                    <a:path w="888" h="1">
                                      <a:moveTo>
                                        <a:pt x="0" y="0"/>
                                      </a:moveTo>
                                      <a:cubicBezTo>
                                        <a:pt x="296" y="0"/>
                                        <a:pt x="592" y="0"/>
                                        <a:pt x="888"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98" name="文本框 396"/>
                              <wps:cNvSpPr txBox="1"/>
                              <wps:spPr>
                                <a:xfrm>
                                  <a:off x="4036060" y="410210"/>
                                  <a:ext cx="1020445" cy="379730"/>
                                </a:xfrm>
                                <a:prstGeom prst="rect">
                                  <a:avLst/>
                                </a:prstGeom>
                                <a:noFill/>
                                <a:ln>
                                  <a:noFill/>
                                </a:ln>
                              </wps:spPr>
                              <wps:txbx>
                                <w:txbxContent>
                                  <w:p>
                                    <w:pPr>
                                      <w:jc w:val="center"/>
                                      <w:rPr>
                                        <w:rFonts w:hint="eastAsia" w:ascii="宋体" w:hAnsi="宋体" w:eastAsia="宋体" w:cs="宋体"/>
                                        <w:sz w:val="18"/>
                                        <w:szCs w:val="18"/>
                                        <w:lang w:eastAsia="zh-CN"/>
                                      </w:rPr>
                                    </w:pPr>
                                    <w:r>
                                      <w:rPr>
                                        <w:rFonts w:hint="eastAsia" w:ascii="宋体" w:hAnsi="宋体" w:cs="宋体"/>
                                        <w:sz w:val="18"/>
                                        <w:szCs w:val="18"/>
                                      </w:rPr>
                                      <w:t>接管</w:t>
                                    </w:r>
                                    <w:r>
                                      <w:rPr>
                                        <w:rFonts w:hint="eastAsia" w:ascii="宋体" w:hAnsi="宋体" w:cs="宋体"/>
                                        <w:sz w:val="18"/>
                                        <w:szCs w:val="18"/>
                                        <w:lang w:eastAsia="zh-CN"/>
                                      </w:rPr>
                                      <w:t>如皋市下原镇污水处理厂</w:t>
                                    </w:r>
                                  </w:p>
                                </w:txbxContent>
                              </wps:txbx>
                              <wps:bodyPr vert="horz" wrap="square" lIns="0" tIns="0" rIns="0" bIns="0" anchor="t" anchorCtr="0" upright="1"/>
                            </wps:wsp>
                            <wps:wsp>
                              <wps:cNvPr id="99" name="文本框 985"/>
                              <wps:cNvSpPr txBox="1"/>
                              <wps:spPr>
                                <a:xfrm>
                                  <a:off x="224790" y="913130"/>
                                  <a:ext cx="549910" cy="251460"/>
                                </a:xfrm>
                                <a:prstGeom prst="rect">
                                  <a:avLst/>
                                </a:prstGeom>
                                <a:noFill/>
                                <a:ln>
                                  <a:noFill/>
                                </a:ln>
                              </wps:spPr>
                              <wps:txbx>
                                <w:txbxContent>
                                  <w:p>
                                    <w:pPr>
                                      <w:rPr>
                                        <w:sz w:val="18"/>
                                        <w:szCs w:val="21"/>
                                      </w:rPr>
                                    </w:pPr>
                                    <w:r>
                                      <w:rPr>
                                        <w:rFonts w:hint="eastAsia"/>
                                        <w:sz w:val="18"/>
                                        <w:szCs w:val="21"/>
                                      </w:rPr>
                                      <w:t>自来水</w:t>
                                    </w:r>
                                  </w:p>
                                </w:txbxContent>
                              </wps:txbx>
                              <wps:bodyPr vert="horz" wrap="square" anchor="t" anchorCtr="0" upright="1"/>
                            </wps:wsp>
                            <wps:wsp>
                              <wps:cNvPr id="100" name="任意多边形 13"/>
                              <wps:cNvSpPr/>
                              <wps:spPr>
                                <a:xfrm>
                                  <a:off x="780415" y="560070"/>
                                  <a:ext cx="293370" cy="76200"/>
                                </a:xfrm>
                                <a:custGeom>
                                  <a:avLst/>
                                  <a:gdLst/>
                                  <a:ahLst/>
                                  <a:cxnLst/>
                                  <a:rect l="0" t="0" r="0" b="0"/>
                                  <a:pathLst>
                                    <a:path w="925" h="1">
                                      <a:moveTo>
                                        <a:pt x="0" y="0"/>
                                      </a:moveTo>
                                      <a:cubicBezTo>
                                        <a:pt x="308" y="0"/>
                                        <a:pt x="617" y="0"/>
                                        <a:pt x="925"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101" name="直接连接符 64"/>
                              <wps:cNvCnPr/>
                              <wps:spPr>
                                <a:xfrm>
                                  <a:off x="780415" y="544830"/>
                                  <a:ext cx="6985" cy="711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文本框 972"/>
                              <wps:cNvSpPr txBox="1"/>
                              <wps:spPr>
                                <a:xfrm>
                                  <a:off x="1079500" y="1144905"/>
                                  <a:ext cx="102171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18"/>
                                        <w:szCs w:val="18"/>
                                        <w:lang w:val="en-US" w:eastAsia="zh-CN"/>
                                      </w:rPr>
                                      <w:t>切削液配制</w:t>
                                    </w:r>
                                    <w:r>
                                      <w:rPr>
                                        <w:rFonts w:hint="eastAsia"/>
                                        <w:sz w:val="18"/>
                                        <w:szCs w:val="18"/>
                                      </w:rPr>
                                      <w:t>用水</w:t>
                                    </w:r>
                                  </w:p>
                                </w:txbxContent>
                              </wps:txbx>
                              <wps:bodyPr vert="horz" wrap="square" anchor="t" anchorCtr="0" upright="1"/>
                            </wps:wsp>
                            <wps:wsp>
                              <wps:cNvPr id="103" name="任意多边形 13"/>
                              <wps:cNvSpPr/>
                              <wps:spPr>
                                <a:xfrm>
                                  <a:off x="782320" y="1268730"/>
                                  <a:ext cx="293370" cy="76200"/>
                                </a:xfrm>
                                <a:custGeom>
                                  <a:avLst/>
                                  <a:gdLst/>
                                  <a:ahLst/>
                                  <a:cxnLst/>
                                  <a:rect l="0" t="0" r="0" b="0"/>
                                  <a:pathLst>
                                    <a:path w="925" h="1">
                                      <a:moveTo>
                                        <a:pt x="0" y="0"/>
                                      </a:moveTo>
                                      <a:cubicBezTo>
                                        <a:pt x="308" y="0"/>
                                        <a:pt x="617" y="0"/>
                                        <a:pt x="925"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104" name="自选图形 984"/>
                              <wps:cNvCnPr/>
                              <wps:spPr>
                                <a:xfrm flipV="1">
                                  <a:off x="1438910" y="985520"/>
                                  <a:ext cx="305435" cy="156845"/>
                                </a:xfrm>
                                <a:prstGeom prst="curvedConnector3">
                                  <a:avLst>
                                    <a:gd name="adj1" fmla="val 50104"/>
                                  </a:avLst>
                                </a:prstGeom>
                                <a:ln w="9525" cap="flat" cmpd="sng">
                                  <a:solidFill>
                                    <a:srgbClr val="000000"/>
                                  </a:solidFill>
                                  <a:prstDash val="solid"/>
                                  <a:headEnd type="none" w="med" len="med"/>
                                  <a:tailEnd type="arrow" w="med" len="med"/>
                                </a:ln>
                              </wps:spPr>
                              <wps:bodyPr/>
                            </wps:wsp>
                            <wps:wsp>
                              <wps:cNvPr id="105" name="文本框 986"/>
                              <wps:cNvSpPr txBox="1"/>
                              <wps:spPr>
                                <a:xfrm>
                                  <a:off x="767715" y="1057910"/>
                                  <a:ext cx="334645"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3.5</w:t>
                                    </w:r>
                                  </w:p>
                                </w:txbxContent>
                              </wps:txbx>
                              <wps:bodyPr vert="horz" wrap="square" anchor="t" anchorCtr="0" upright="1"/>
                            </wps:wsp>
                            <wps:wsp>
                              <wps:cNvPr id="106" name="直线 974"/>
                              <wps:cNvCnPr/>
                              <wps:spPr>
                                <a:xfrm flipV="1">
                                  <a:off x="2110105" y="1268095"/>
                                  <a:ext cx="646430" cy="6985"/>
                                </a:xfrm>
                                <a:prstGeom prst="line">
                                  <a:avLst/>
                                </a:prstGeom>
                                <a:ln w="9525" cap="flat" cmpd="sng">
                                  <a:solidFill>
                                    <a:srgbClr val="000000"/>
                                  </a:solidFill>
                                  <a:prstDash val="solid"/>
                                  <a:headEnd type="none" w="med" len="med"/>
                                  <a:tailEnd type="triangle" w="med" len="med"/>
                                </a:ln>
                              </wps:spPr>
                              <wps:bodyPr/>
                            </wps:wsp>
                            <wps:wsp>
                              <wps:cNvPr id="107" name="文本框 396"/>
                              <wps:cNvSpPr txBox="1"/>
                              <wps:spPr>
                                <a:xfrm>
                                  <a:off x="2748915" y="1181100"/>
                                  <a:ext cx="1143000" cy="205740"/>
                                </a:xfrm>
                                <a:prstGeom prst="rect">
                                  <a:avLst/>
                                </a:prstGeom>
                                <a:noFill/>
                                <a:ln>
                                  <a:noFill/>
                                </a:ln>
                              </wps:spPr>
                              <wps:txbx>
                                <w:txbxContent>
                                  <w:p>
                                    <w:pPr>
                                      <w:jc w:val="center"/>
                                      <w:rPr>
                                        <w:rFonts w:hint="default" w:eastAsia="宋体"/>
                                        <w:sz w:val="18"/>
                                        <w:szCs w:val="18"/>
                                        <w:lang w:val="en-US" w:eastAsia="zh-CN"/>
                                      </w:rPr>
                                    </w:pPr>
                                    <w:r>
                                      <w:rPr>
                                        <w:rFonts w:hint="eastAsia" w:eastAsia="宋体"/>
                                        <w:sz w:val="18"/>
                                        <w:szCs w:val="18"/>
                                        <w:lang w:val="en-US" w:eastAsia="zh-CN"/>
                                      </w:rPr>
                                      <w:t>委托有资质单位处置</w:t>
                                    </w:r>
                                  </w:p>
                                  <w:p>
                                    <w:pPr>
                                      <w:rPr>
                                        <w:rFonts w:hint="eastAsia"/>
                                        <w:lang w:eastAsia="zh-CN"/>
                                      </w:rPr>
                                    </w:pPr>
                                  </w:p>
                                </w:txbxContent>
                              </wps:txbx>
                              <wps:bodyPr vert="horz" wrap="square" lIns="0" tIns="0" rIns="0" bIns="0" anchor="t" anchorCtr="0" upright="1"/>
                            </wps:wsp>
                            <wps:wsp>
                              <wps:cNvPr id="108" name="文本框 986"/>
                              <wps:cNvSpPr txBox="1"/>
                              <wps:spPr>
                                <a:xfrm>
                                  <a:off x="2247900" y="1086485"/>
                                  <a:ext cx="358775"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0.7</w:t>
                                    </w:r>
                                  </w:p>
                                </w:txbxContent>
                              </wps:txbx>
                              <wps:bodyPr vert="horz" wrap="square" anchor="t" anchorCtr="0" upright="1"/>
                            </wps:wsp>
                            <wps:wsp>
                              <wps:cNvPr id="109" name="文本框 986"/>
                              <wps:cNvSpPr txBox="1"/>
                              <wps:spPr>
                                <a:xfrm>
                                  <a:off x="1746885" y="861695"/>
                                  <a:ext cx="326390"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2.8</w:t>
                                    </w:r>
                                  </w:p>
                                </w:txbxContent>
                              </wps:txbx>
                              <wps:bodyPr vert="horz" wrap="square" anchor="t" anchorCtr="0" upright="1"/>
                            </wps:wsp>
                            <wps:wsp>
                              <wps:cNvPr id="4" name="文本框 986"/>
                              <wps:cNvSpPr txBox="1"/>
                              <wps:spPr>
                                <a:xfrm>
                                  <a:off x="717550" y="276225"/>
                                  <a:ext cx="374650"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150</w:t>
                                    </w:r>
                                  </w:p>
                                </w:txbxContent>
                              </wps:txbx>
                              <wps:bodyPr vert="horz" wrap="square" anchor="t" anchorCtr="0" upright="1"/>
                            </wps:wsp>
                          </wpc:wpc>
                        </a:graphicData>
                      </a:graphic>
                    </wp:inline>
                  </w:drawing>
                </mc:Choice>
                <mc:Fallback>
                  <w:pict>
                    <v:group id="画布 3" o:spid="_x0000_s1026" o:spt="203" style="height:115.3pt;width:399pt;" coordsize="5067300,1464310" editas="canvas" o:gfxdata="UEsFBgAAAAAAAAAAAAAAAAAAAAAAAFBLAwQKAAAAAACHTuJAAAAAAAAAAAAAAAAABAAAAGRycy9Q&#10;SwMEFAAAAAgAh07iQHE4PFPXAAAABQEAAA8AAABkcnMvZG93bnJldi54bWxNj0FLw0AQhe9C/8My&#10;ghexu63Q1phND4ViEaE01Z632TEJZmfT7Dap/97Ri708eLzhvW/S5cU1oscu1J40TMYKBFLhbU2l&#10;hvf9+mEBIkRD1jSeUMM3Blhmo5vUJNYPtMM+j6XgEgqJ0VDF2CZShqJCZ8LYt0icffrOmci2K6Xt&#10;zMDlrpFTpWbSmZp4oTItriosvvKz0zAU2/6wf3uR2/vDxtNpc1rlH69a391O1DOIiJf4fwy/+IwO&#10;GTMd/ZlsEI0GfiT+KWfzpwXbo4bpo5qBzFJ5TZ/9AFBLAwQUAAAACACHTuJAHS4GEcsHAACSNQAA&#10;DgAAAGRycy9lMm9Eb2MueG1s7VtPj9tEFL8j8R0s32k8HntsR81W6m5bISGo1MLd6ziJkf8xdjbZ&#10;npBAVFzggjhQhAQCDqhHDkBF+2XY3fIteG/GkziO091kV8tumx62k7Ez9rz3e+/93nuTm7emSawd&#10;hLyIsrSnkxuGroVpkPWjdNjTP3x49x1X14rST/t+nKVhTz8MC/3Wzttv3Zzk3dDMRlncD7kGi6RF&#10;d5L39FFZ5t1OpwhGYeIXN7I8TOHiIOOJX8JHPuz0uT+B1ZO4YxoG60wy3s95FoRFAbN78qJercjP&#10;smA2GERBuJcF4yRMS7kqD2O/hC0Voygv9B3xtoNBGJQfDAZFWGpxT4edluIvPATG+/i3s3PT7w65&#10;n4+ioHoF/yyv0NhT4kcpPHS21J5f+tqYR0tLJVHAsyIblDeCLOnIjQiJwC6I0ZDNPZ6Nc7GXYXcy&#10;zGdCB0U1pL7xssH7B/e5FvUBCZ6upX4CGj/55tnRH59pFIUzyYdduOcezx/k93k1MZSfcL/TAU/w&#10;f9iJNhViPZyJNZyWWgCTtsEcaoDEA7hGLGZRUgk+GIF2lr4XjO6c8s2OenAH32/2OpMcIFnM5VSc&#10;T04PRn4eCvEXKINKTpQoOR1/+/j4+6fHP36heY7YED4fbkRJaeX0dgZ7J1KIRbeAyRaBmbZloGhA&#10;MswymVkJZiY6ixElOdMiKEXQwWz7fjfnRXkvzBINBz2dA+AFDv2D94pS3qpuwacXWRz170ZxLD7w&#10;4f5uzLUDH4zjrvhXrb5wW5zizWmGX5Mr4gxIXm0KR+V0fyrQUXT3s/4hCABcDLzQKOOPdG0CBtbT&#10;i0/GPg91zU8DmO7ppRrultIixzmPhiP4lpCaeAKoE0F4CXplZpteTaW/NfVKDMd1mS0Ua5me69m4&#10;kN9VivVMZ65Y5lQAumzFapOe7tkmvGaAChqAC4VhkoM7KNKhANICFIo6YgC3CF0JiYXbEHF7fjGS&#10;yBKX5O6TqAy5kMMo9Pt30r5WHubgcVKINICSnp6EfV2LQwhMOBJ3ln4Un+VOkN1riUvHacNl5Zw3&#10;8Dce9ZwKl9QldsPhuAaEocpVm8yg8voWl1tcSjc8j4PuLA6ePPn95K8XEAQttNgqCO6mFV1QUUKG&#10;bG0QR/lH6OHRG1asgVqECYIAUdBmrscaoGTIGSpQMs8VrnQ1JOMInAmuviIGxullu71NnV3JIz8d&#10;xitcY7vDk9EXnXIVNS8pfLpUuamXj3/799Mvj548P/r7J81zNwUFsTzDcyU1Mh3KpNrnEZQatkUx&#10;ciGpBNRYp8AiGPODsL+bpSlwpIzTOUQQK8N+RX79/scA7EESQxoAxEizwR+KLYC4BaAE/apzquuD&#10;J5/zbNIeZ68YmCAHlblIjWNLAFTuZR2OTWzbdiCQIckmpiM5yxxIrmNRoGcCSOYFULEZU5aE5A2g&#10;zu4sdayri9WiwTrqMg1GTMgQUV3UctAHCCKoqLNtE4J+AQ2/Sp/Q3amUcO2c6M3TF6J92bw21Re1&#10;PErQE6O+HNdqRm+bgKdW+jIo1IBQn1t9tVV82ksOHlP6+ufZs+PPvz76+buXz//E8EqaeQBIFj3k&#10;ymoDlF+kZbme5zSTUps4MhkETTpQi2gqKhjLYkOdXGHolKUGiI8jNQqmqRpiSeKV1bfcL/F7uCgO&#10;BTnDlHSkWGKSHYQPM3G9bBSLAEXzq8F4Pwpuh4/q91IDQglsp/IhuViAEcipmpMePlNNwrr11eAj&#10;vpoM/ep1xT1zgSy4kdefYV67+o43y6OXjKhOUTFSnWJEBnFZVdoB3kkBN/CFOZ+wGXVVfGLgF+Ei&#10;QEUVSi/NhlwXkH8hNmSi/1GWAZYgbMj2oF7WnBTPVJNbG6pU31KWuqY1Uq+Fl1NAR2Uwa9ZILYMy&#10;owpHFjGQ8y0YEkwZFqR1gulRqJFCDWDRmFQadsbq94KLRpOdTQBWW7S0TlE7fjeFdgPE1lINuBrs&#10;q8HVLHx7rexd+K0Nki3TBMouKYZHgBc2dGpbnofcXpJ3wUaurEqvprpEeVay96VAth4bdFzDIpL0&#10;2MwwZA9rHsdMj1KYE6rassEatwRnsWWD2M1E93BNIxkx6uXr469+efniB/h78vRXjdXp4IoyNgaP&#10;qnhdtyLLcpsOT9SrpQ0RspxSNSLYabXrWcDCeIVJBhBMNNG27p3mx0NopAUlF6XOhQ7dhTTytDhK&#10;ejp0jOZtwJYg+n8VpIE9qKy5VpVyztHQ9WzsjAG9JcSC4nSD9iOBcdCditB2AXXE1Qp7Va/+sjPP&#10;bUsXjiKtPMHTXs8hxqxZcu4QbkJBTYLSZG7FkLcxXKSo24rO0nGK9jzn2sZwS3n4C+s5UlekJ+Dk&#10;oc9sN49jbXuOax/YuTY9R+hSKDTV+IK7aXHDYY5gA0gXDNtBVC0UNyiFQw2KLchDgNtEGE4Gn70r&#10;QoxZW+TcJ1BMAgkBAgDVBYHUaLZGtkdQ2k7nvSqcIJoxQby8E5xw5nLZgjcvT5qOBcGgwgRxASEN&#10;E4Y0AE4tVRUSE4wcupxX1oavb32SYAvv4trVskBZcWbDZdbSwSLbdfCE5PZ8wem/UFiV37SWlDcN&#10;pcSxmAtaQufsMsKavpmajGLJeauwTRU249EXwnzgFEF12sqEunGzPUpBm6JmBdp87Y7vQMQTP9UR&#10;Ld/qZ0X4W6D6ZxEX5z+l2v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FgAAAGRycy9QSwECFAAUAAAACACHTuJAcTg8U9cAAAAFAQAADwAA&#10;AAAAAAABACAAAAA4AAAAZHJzL2Rvd25yZXYueG1sUEsBAhQAFAAAAAgAh07iQB0uBhHLBwAAkjUA&#10;AA4AAAAAAAAAAQAgAAAAPAEAAGRycy9lMm9Eb2MueG1sUEsFBgAAAAAGAAYAWQEAAHkLAAAAAA==&#10;">
                      <o:lock v:ext="edit" aspectratio="f"/>
                      <v:shape id="画布 3" o:spid="_x0000_s1026" style="position:absolute;left:0;top:0;height:1464310;width:5067300;" filled="f" stroked="f" coordsize="21600,21600" o:gfxdata="UEsFBgAAAAAAAAAAAAAAAAAAAAAAAFBLAwQKAAAAAACHTuJAAAAAAAAAAAAAAAAABAAAAGRycy9Q&#10;SwMEFAAAAAgAh07iQHE4PFPXAAAABQEAAA8AAABkcnMvZG93bnJldi54bWxNj0FLw0AQhe9C/8My&#10;ghexu63Q1phND4ViEaE01Z632TEJZmfT7Dap/97Ri708eLzhvW/S5cU1oscu1J40TMYKBFLhbU2l&#10;hvf9+mEBIkRD1jSeUMM3Blhmo5vUJNYPtMM+j6XgEgqJ0VDF2CZShqJCZ8LYt0icffrOmci2K6Xt&#10;zMDlrpFTpWbSmZp4oTItriosvvKz0zAU2/6wf3uR2/vDxtNpc1rlH69a391O1DOIiJf4fwy/+IwO&#10;GTMd/ZlsEI0GfiT+KWfzpwXbo4bpo5qBzFJ5TZ/9AFBLAwQUAAAACACHTuJAdLYxZZIHAAAONQAA&#10;DgAAAGRycy9lMm9Eb2MueG1s7VvPj9tEFL4j8T9YvtP1ePxz1Wyl7lKEhKBSC3ev4yRG/oXt3aQ9&#10;cUBUXODGgSIkEHBAPXKBivafodvyX/C9GTtxHGd3k02X3ZI9ZCczk4ln3vfe+957k5u3JnGkHAd5&#10;EaZJT2U3NFUJEj/th8mwp358/847jqoUpZf0vShNgp76ICjUW3tvv3VznO0GejpKo36QK1gkKXbH&#10;WU8dlWW2u7NT+KMg9oobaRYkGBykeeyVeJsPd/q5N8bqcbSja5q1M07zfpanflAU6D2Qg2q1Yn6e&#10;BdPBIPSDg9Q/ioOklKvmQeSV2FIxCrNC3RNPOxgEfvnRYFAEpRL1VOy0FK/4ErQP6XVn76a3O8y9&#10;bBT61SN453mE1p5iL0zwpdOlDrzSU47ycGGpOPTztEgH5Q0/jXfkRsSJYBdMa53Nvpcce3IzPs66&#10;fkC0Nrju4ZCeO0nvhFGE09jB6rvUR//HkHZAw1EyP0n2iLnVnHEGOBTZFBjFxR7x3sjLAiHGYtf/&#10;8PhuroT9nsqZqiReDFSefPvo5PsnJz9+qbi2kCJ9PybeyzC1nNxOJ8A2SZf6C3TS808GeUz/cewK&#10;xnXT0DQA4UFPtQzd0is0BJNS8TFsGhajYR/jusE42nQ+s2WyvCjfC9JYoUZPzQE2gQHv+IOilFPr&#10;KfStRRqFfTpl8SYfHu5HuXLsAZh3xF+1+ty0pedeb4q2V04OJ9VOD9P+AxwA1BsPNErzh6oyBrh7&#10;avHZkZcHquIlPrp7alk390upDUdZHg5H+JQ4NUhWiFOe32uXq6V3yVWv5beiXJlmO45lCsEauuu4&#10;Ji3k7daCdXV7JljLrgB02YJVxj3VNXU8pk8CGsB8oRlngHmRDAWQ5qBQNBED3BJ0JcjmphHiDrxi&#10;JJElhuTu47AMcnEOo8Drv5v0lfJBBk1KYOWBkp4aB31ViQI4BWqJmaUXRueZibMjpArUSGV7M3Bp&#10;21245HQ4tMEVcambLnftCpfcYWbL4DgaXEBtcCyNy/EtLre4nMKt8oPO1A++fPz7yz+fwwkaDVDu&#10;J3dJ0wmiTdenDKIw+4QsfMMJcoNZ5NrIC5qW41otUFqGZfAKlJbrCFO6HJJRCGNCqy/xgVFy2WZv&#10;XWNX5qGXDKMlprHb4Envi5O/ZPfp8NpMvXr02z+ff/Xi8bMXf/2kuM66oGCGq7mOBIVuc0uKfeZB&#10;uWYanDwXQMOAGuMMWPhH+XHQ30+TBBwpzfkMIoSVYb8idV7/UwB7EEeg4CBGigl7KLaA4xaAEvSr&#10;yamuD568PE/H3X72ioEJ8d8Cx5YAWMPnMdM0bTgyMi9MtyVnmQHJsQ0OeiY59gao2DSMOSVkqY3i&#10;m0FRHLdLXFbDG6wUEmkW05kUFzdssgGCCNbU2TQZI7sgYiIZPpG5Wzsm+v/Ji9C+qF7ryosbLmdk&#10;iaFe3HaMtvc2GSx1LS+NI/9C8tzKqyvb0p1ycK1aXn8/fXryxTcvfv7u1bM/yL2ydhyAk21TrgbR&#10;0k1G4iFJOa5rt4NSk9kyGMS4jVxEW1D+kUw2NMkVuU6ZaoB/HNUtf5LUTUpJnJr5yrySPkeLUlOQ&#10;MwpJRzVLjNPj4H4qxkvKmcgN1A83G/WPDkP/dvCwOZdrcCXYTmVDMrGAxRBTtTtd+s66E+hsroa3&#10;9GjS9dePK+bMDmTOjLz5DPPa5XfcaRy9oERNikqe6gwl0phjVakd8E4O3OADMz5hWtyp/ZMFu4jB&#10;hrG7NB1yHCB/Izqkk/2pNQOaIHTIdJEva3eK76w7tzpUib4jLXVNc6RuBy/nQEelMCvmogyNW1rl&#10;jgymEeebUyR0aQbCOsH0OHKkyAHMK1Mdhp0z+z1nokllpx3AaoeUVklqR+8nKDfANZV1I68bh3Xj&#10;aia+3U72LuzWGsGWroOySw/tMvDClkxNw3WJ20vyLtjIlRXp1RSXSM9K9r7gyFZjg7ajGUySHtPS&#10;NFnDmvkx3eUcfUJUWzbY4JYwFls2SNVMMg/X1JMxrZm+Pvn6l1fPf8Dryye/KlaTDi5JY5PzqCq4&#10;TS0yDKdt8ES+WuoQY4shVcuDnZW7njos8lcUZIBgkop2Ve8ULxqikOaXuUh1zlXoNlLIU6IwRiDZ&#10;LAN2ONH/KiEN9lBHzc1C/QUKuq5Z1SgYM5CcbtF+IjA2mVPh2jaQR1wusNNq9ZcdeW5LurgGtPT2&#10;THc+h2nTYsmFXbiOhJoIxJhuORVD3vpwEaJuMzoL1ym645xr68ON2sJvrObIHRGeIIeBOrMJ1ZqL&#10;SLc1x5Uv7FybmiOqFDWaGnzBWTe5YVu2YANAEla2CVXzUOK41FCzhW0Viy7TruxFp2WRC99A0RkC&#10;AgIAiQuOVGuXRrZXULpu553mTiitQwEiLm7KSPG13+DEnctFDV4/PanbBpxBhQnmACEtFUYYgFtL&#10;dTILSo4q55VNZl3f/CSjEt7mytUyQVlxZs2xjIWLRaZj0w3J7f2Cs38dsCy+6Uwpr+tKmW1YDqRE&#10;xtmxmNW2zVy3OKWctwJbV2BTHr0R5oNbBNVtKx1543Z5lEOaImcFaVa/friyRnPlCgA8Hn6xkvmi&#10;5Fv9pId+h9N8L/zi7GdMe/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AoAAFtDb250ZW50X1R5cGVzXS54bWxQSwECFAAKAAAAAACHTuJAAAAA&#10;AAAAAAAAAAAABgAAAAAAAAAAABAAAAD6CAAAX3JlbHMvUEsBAhQAFAAAAAgAh07iQIoUZjzRAAAA&#10;lAEAAAsAAAAAAAAAAQAgAAAAHgkAAF9yZWxzLy5yZWxzUEsBAhQACgAAAAAAh07iQAAAAAAAAAAA&#10;AAAAAAQAAAAAAAAAAAAQAAAAFgAAAGRycy9QSwECFAAUAAAACACHTuJAcTg8U9cAAAAFAQAADwAA&#10;AAAAAAABACAAAAA4AAAAZHJzL2Rvd25yZXYueG1sUEsBAhQAFAAAAAgAh07iQHS2MWWSBwAADjUA&#10;AA4AAAAAAAAAAQAgAAAAPAEAAGRycy9lMm9Eb2MueG1sUEsFBgAAAAAGAAYAWQEAAEALAAAAAA==&#10;">
                        <v:fill on="f" focussize="0,0"/>
                        <v:stroke on="f"/>
                        <v:imagedata o:title=""/>
                        <o:lock v:ext="edit" aspectratio="f"/>
                      </v:shape>
                      <v:shape id="文本框 970" o:spid="_x0000_s1026" o:spt="202" type="#_x0000_t202" style="position:absolute;left:254000;top:642620;height:241300;width:546100;" fillcolor="#FFFFFF" filled="t" stroked="f" coordsize="21600,21600" o:gfxdata="UEsFBgAAAAAAAAAAAAAAAAAAAAAAAFBLAwQKAAAAAACHTuJAAAAAAAAAAAAAAAAABAAAAGRycy9Q&#10;SwMEFAAAAAgAh07iQCCfXhvUAAAABQEAAA8AAABkcnMvZG93bnJldi54bWxNj8FOwzAQRO9I/IO1&#10;SFwQdVogadM4lUACcW3pB2zibRI1Xkex27R/z8IFLiONZjXztthcXK/ONIbOs4H5LAFFXHvbcWNg&#10;//X+uAQVIrLF3jMZuFKATXl7U2Bu/cRbOu9io6SEQ44G2hiHXOtQt+QwzPxALNnBjw6j2LHRdsRJ&#10;yl2vF0mSaocdy0KLA721VB93J2fg8Dk9vKym6iPus+1z+opdVvmrMfd382QNKtIl/h3DD76gQylM&#10;lT+xDao3II/EX5UsWy3FVgYWT0kKuiz0f/ryG1BLAwQUAAAACACHTuJAMnhUMOgBAAC2AwAADgAA&#10;AGRycy9lMm9Eb2MueG1srVPNjtMwEL4j8Q6W7zRptlvYqOlKbFUuCJAWHsB1nMSS/xi7TcoDwBtw&#10;4sJ9n6vPwdjJbpflsgdycMYz42/m+zxeXQ9akYMAL62p6HyWUyIMt7U0bUW/fN6+ekOJD8zUTFkj&#10;KnoUnl6vX75Y9a4Uhe2sqgUQBDG+7F1FuxBcmWWed0IzP7NOGAw2FjQLuIU2q4H1iK5VVuT5Must&#10;1A4sF96jdzMG6YQIzwG0TSO52Fi+18KEERWEYgEp+U46T9ep26YRPHxsGi8CURVFpiGtWATtXVyz&#10;9YqVLTDXST61wJ7TwhNOmkmDRR+gNiwwsgf5D5SWHKy3TZhxq7ORSFIEWczzJ9rcdsyJxAWl9u5B&#10;dP//YPmHwycgsq7oxZwSwzTe+Onnj9Ovu9Pv7+TqdVKod77ExFuHqWF4awecm6hc9Ht0RuJDAzr+&#10;kRLBeHG5yHMU+VjR5aJYFpPSYgiEY/hysZzHMMd4sZhfoI142RnGgQ/vhNUkGhUFvMikLzu892FM&#10;vU+JVb1Vst5KpdIG2t2NAnJgeOnb9E3of6UpE5ONjcdGxOjJzqSiFYbdMDHd2fqIAuDTwYY6C98o&#10;6XFwKuq/7hkISpjh6K5ouDdvwjhpewey7fBUUi1VwOtMfKfRi/PyeJ/6OD+3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gn14b1AAAAAUBAAAPAAAAAAAAAAEAIAAAADgAAABkcnMvZG93bnJldi54&#10;bWxQSwECFAAUAAAACACHTuJAMnhUMOgBAAC2AwAADgAAAAAAAAABACAAAAA5AQAAZHJzL2Uyb0Rv&#10;Yy54bWxQSwUGAAAAAAYABgBZAQAAkwUAAAAA&#10;">
                        <v:fill on="t"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153.5</w:t>
                              </w:r>
                            </w:p>
                          </w:txbxContent>
                        </v:textbox>
                      </v:shape>
                      <v:shape id="文本框 972" o:spid="_x0000_s1026" o:spt="202" type="#_x0000_t202" style="position:absolute;left:1078865;top:429895;height:267970;width:927100;" fillcolor="#FFFFFF" filled="t" stroked="t" coordsize="21600,21600" o:gfxdata="UEsFBgAAAAAAAAAAAAAAAAAAAAAAAFBLAwQKAAAAAACHTuJAAAAAAAAAAAAAAAAABAAAAGRycy9Q&#10;SwMEFAAAAAgAh07iQC7UGSzVAAAABQEAAA8AAABkcnMvZG93bnJldi54bWxNj8FOwzAQRO9I/IO1&#10;SFxQa7dFaRri9IAEghstqFzdZJtE2Otgu2n5exYucBlpNKuZt+X67KwYMcTek4bZVIFAqn3TU6vh&#10;7fVhkoOIyVBjrCfU8IUR1tXlRWmKxp9og+M2tYJLKBZGQ5fSUEgZ6w6diVM/IHF28MGZxDa0sgnm&#10;xOXOyrlSmXSmJ17ozID3HdYf26PTkN8+je/xefGyq7ODXaWb5fj4GbS+vpqpOxAJz+nvGH7wGR0q&#10;Ztr7IzVRWA38SPpVzparnO1ew3yhMpBVKf/TV99QSwMEFAAAAAgAh07iQBsQn4Q3AgAAdgQAAA4A&#10;AABkcnMvZTJvRG9jLnhtbK1US5LTMBDdU8UdVNoTe1xMfjXOVDEhbCigauAAiizHqtIPSUkcDgA3&#10;YMWG/Zwr5+BJznxhMQu8sFtS63W/192+uOy1Ijvhg7SmpmejkhJhuG2k2dT0y+fVqyklITLTMGWN&#10;qOlBBHq5ePniYu/morKdVY3wBCAmzPeupl2Mbl4UgXdCszCyThgcttZrFrH0m6LxbA90rYqqLMfF&#10;3vrGectFCNhdDof0hOifA2jbVnKxtHyrhYkDqheKRVAKnXSBLnK2bSt4/Ni2QUSiagqmMb8RBPY6&#10;vYvFBZtvPHOd5KcU2HNSeMJJM2kQ9A5qySIjWy//gtKSextsG0fc6mIgkhUBi7PyiTbXHXMic4HU&#10;wd2JHv4fLP+w++SJbGo6rigxTKPix58/jr9ujr+/k9mkSgrtXZjD8drBNfZvbI++ud0P2EzE+9br&#10;9AUlks7LyXQ6PqfkUNPX1Ww6Ox+kFn0kHOezanJWoggc59V4MpvkUhT3OM6H+E5YTZJRU49KZoHZ&#10;7n2IyAmuty4pbLBKNiupVF74zfpKebJjqPoqPyk6rjxyU4bskcl5hTQ5Qyu3aCGY2kGOYDY53qMb&#10;4SFwmZ9/AafElix0QwIZYWCvZRQ+t1wnWPPWNCQeHBQ3mDSaktGioUQJDGaysmdkUj3HE+yUAclU&#10;rKEoyYr9ugdMMte2OaCAGH3o2Vn/DRHR+KD6dcs84jPDsV1TaDCYV3GYlK3zctPhVq56joB2zIKe&#10;Rif1+8N1zuP+d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C7UGSzVAAAABQEAAA8AAAAAAAAA&#10;AQAgAAAAOAAAAGRycy9kb3ducmV2LnhtbFBLAQIUABQAAAAIAIdO4kAbEJ+ENwIAAHYEAAAOAAAA&#10;AAAAAAEAIAAAADoBAABkcnMvZTJvRG9jLnhtbFBLBQYAAAAABgAGAFkBAADjBQAAAAA=&#10;">
                        <v:fill on="t" focussize="0,0"/>
                        <v:stroke color="#000000" joinstyle="miter"/>
                        <v:imagedata o:title=""/>
                        <o:lock v:ext="edit" aspectratio="f"/>
                        <v:textbox>
                          <w:txbxContent>
                            <w:p>
                              <w:pPr>
                                <w:jc w:val="center"/>
                                <w:rPr>
                                  <w:szCs w:val="21"/>
                                </w:rPr>
                              </w:pPr>
                              <w:r>
                                <w:rPr>
                                  <w:rFonts w:hint="eastAsia"/>
                                  <w:sz w:val="18"/>
                                  <w:szCs w:val="18"/>
                                </w:rPr>
                                <w:t>职工生活用水</w:t>
                              </w:r>
                            </w:p>
                          </w:txbxContent>
                        </v:textbox>
                      </v:shape>
                      <v:shape id="文本框 973" o:spid="_x0000_s1026" o:spt="202" type="#_x0000_t202" style="position:absolute;left:2593975;top:438150;height:260350;width:800100;" fillcolor="#FFFFFF" filled="t" stroked="t" coordsize="21600,21600" o:gfxdata="UEsFBgAAAAAAAAAAAAAAAAAAAAAAAFBLAwQKAAAAAACHTuJAAAAAAAAAAAAAAAAABAAAAGRycy9Q&#10;SwMEFAAAAAgAh07iQC7UGSzVAAAABQEAAA8AAABkcnMvZG93bnJldi54bWxNj8FOwzAQRO9I/IO1&#10;SFxQa7dFaRri9IAEghstqFzdZJtE2Otgu2n5exYucBlpNKuZt+X67KwYMcTek4bZVIFAqn3TU6vh&#10;7fVhkoOIyVBjrCfU8IUR1tXlRWmKxp9og+M2tYJLKBZGQ5fSUEgZ6w6diVM/IHF28MGZxDa0sgnm&#10;xOXOyrlSmXSmJ17ozID3HdYf26PTkN8+je/xefGyq7ODXaWb5fj4GbS+vpqpOxAJz+nvGH7wGR0q&#10;Ztr7IzVRWA38SPpVzparnO1ew3yhMpBVKf/TV99QSwMEFAAAAAgAh07iQCRgYM83AgAAdgQAAA4A&#10;AABkcnMvZTJvRG9jLnhtbK1US5LTMBDdU8UdVNozdhIymaTiTBUTwoYCqgYOoMhyrCr9kJTE4QBw&#10;A1ZsZs+55hw8yZkvLLLAC7ulbr3u97rl+WWnFdkJH6Q1FR2clZQIw20tzaaiXz6vXl1QEiIzNVPW&#10;iIoeRKCXi5cv5ns3E0PbWlULTwBiwmzvKtrG6GZFEXgrNAtn1gkDZ2O9ZhFLvylqz/ZA16oYluV5&#10;sbe+dt5yEQJ2l72THhH9KYC2aSQXS8u3WpjYo3qhWASl0EoX6CJX2zSCx49NE0QkqqJgGvMbSWCv&#10;07tYzNls45lrJT+WwE4p4RknzaRB0nuoJYuMbL38C0pL7m2wTTzjVhc9kawIWAzKZ9pct8yJzAVS&#10;B3cvevh/sPzD7pMnsq7oZEKJYRodv/354/bX79ub72Q6GSWF9i7MEHjtEBq7N7bD3NztB2wm4l3j&#10;dfqCEoF/OJ6OppMxJYeKvh5dDMZHqUUXCYf/ogRdNIHDPzwvR72/eMBxPsR3wmqSjIp6dDILzHbv&#10;Q0RNCL0LSWmDVbJeSaXywm/WV8qTHUPXV/lJ5eLIkzBlyL6i0/EQZXKGUW4wQjC1gxzBbHK+JyfC&#10;Y+AyP/8CToUtWWj7AjJCCmMzLaPw2WoFq9+amsSDg+IGN42mYrSoKVECFzNZOTIyqU6JBDtlQDI1&#10;q29KsmK37gCTzLWtD2ggrj70bK3/howYfFD9umUe+Znh2K4oNOjNq9jflK3zctPiVO56zoBxzIIe&#10;r06a98frXMfD72L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C7UGSzVAAAABQEAAA8AAAAAAAAA&#10;AQAgAAAAOAAAAGRycy9kb3ducmV2LnhtbFBLAQIUABQAAAAIAIdO4kAkYGDPNwIAAHYEAAAOAAAA&#10;AAAAAAEAIAAAADoBAABkcnMvZTJvRG9jLnhtbFBLBQYAAAAABgAGAFkBAADjBQAAAAA=&#10;">
                        <v:fill on="t" focussize="0,0"/>
                        <v:stroke color="#000000" joinstyle="miter"/>
                        <v:imagedata o:title=""/>
                        <o:lock v:ext="edit" aspectratio="f"/>
                        <v:textbox>
                          <w:txbxContent>
                            <w:p>
                              <w:pPr>
                                <w:jc w:val="center"/>
                                <w:rPr>
                                  <w:sz w:val="18"/>
                                  <w:szCs w:val="18"/>
                                </w:rPr>
                              </w:pPr>
                              <w:r>
                                <w:rPr>
                                  <w:rFonts w:hint="eastAsia"/>
                                  <w:sz w:val="18"/>
                                  <w:szCs w:val="18"/>
                                </w:rPr>
                                <w:t>化粪池</w:t>
                              </w:r>
                            </w:p>
                          </w:txbxContent>
                        </v:textbox>
                      </v:shape>
                      <v:line id="直线 974" o:spid="_x0000_s1026" o:spt="20" style="position:absolute;left:3416300;top:568960;flip:y;height:6985;width:646430;" filled="f" stroked="t" coordsize="21600,21600" o:gfxdata="UEsFBgAAAAAAAAAAAAAAAAAAAAAAAFBLAwQKAAAAAACHTuJAAAAAAAAAAAAAAAAABAAAAGRycy9Q&#10;SwMEFAAAAAgAh07iQDQgNB/WAAAABQEAAA8AAABkcnMvZG93bnJldi54bWxNj8FOwzAQRO9I/IO1&#10;SNyokwKlDXF6QCBxQtAiJG5uvCSh8TrY26bw9Sxc4DLSaFYzb8vlwfdqjzF1gQzkkwwUUh1cR42B&#10;5/Xd2RxUYkvO9oHQwCcmWFbHR6UtXBjpCfcrbpSUUCqsgZZ5KLROdYvepkkYkCR7C9FbFhsb7aId&#10;pdz3epplM+1tR7LQ2gFvWqy3q503sFiPl+Exbl8u8u7j9ev2nYf7Bzbm9CTPrkExHvjvGH7wBR0q&#10;YdqEHbmkegPyCP+qZFeLudiNgel5NgNdlfo/ffUNUEsDBBQAAAAIAIdO4kBdlNl1/gEAAO0DAAAO&#10;AAAAZHJzL2Uyb0RvYy54bWytU0tu2zAQ3RfoHQjua/mr2oLlLOKmm6I10Db7MUVKBPgDyVj2WXqN&#10;rrrpcXKNDik1aVIUyKJaEEPO45t5T8Pt1VkrcuI+SGtqOptMKeGG2UaatqZfv9y8WVMSIpgGlDW8&#10;phce6NXu9att7yo+t51VDfcESUyoelfTLkZXFUVgHdcQJtZxg0lhvYaIW98WjYce2bUq5tNpWfTW&#10;N85bxkPA0/2QpCOjfwmhFUIyvrfsTnMTB1bPFUSUFDrpAt3lboXgLH4SIvBIVE1RacwrFsH4mNZi&#10;t4Wq9eA6ycYW4CUtPNOkQRos+kC1hwjkzsu/qLRk3gYr4oRZXQxCsiOoYjZ95s3nDhzPWtDq4B5M&#10;D/+Pln08HTyRTU3XM0oMaPzj99++3//4STZvl8me3oUKUdfm4MddcAeftJ6F10Qo6W5xjrJ61EPO&#10;NV0sZ+ViihZfaroq15ty9JmfI2GYL5flcoFphvlys16lMsXAl3idD/E9t5qkoKZKmmQCVHD6EOIA&#10;/Q1Jx8qQvqab1XyFjIATKXASMNQOVQXT5rvBKtncSKXSjeDb47Xy5ARpKvI3tvAElorsIXQDLqcS&#10;DKqOQ/PONCReHNpl8JnQ1ILmDSWK46tKUUZGkOoRGb0E06p/oNEBZdCIZPhgcYqOtrlk5/M5TkG2&#10;apzYNGZ/7vPtx1e6+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0IDQf1gAAAAUBAAAPAAAAAAAA&#10;AAEAIAAAADgAAABkcnMvZG93bnJldi54bWxQSwECFAAUAAAACACHTuJAXZTZdf4BAADtAwAADgAA&#10;AAAAAAABACAAAAA7AQAAZHJzL2Uyb0RvYy54bWxQSwUGAAAAAAYABgBZAQAAqwUAAAAA&#10;">
                        <v:fill on="f" focussize="0,0"/>
                        <v:stroke color="#000000" joinstyle="round" endarrow="block"/>
                        <v:imagedata o:title=""/>
                        <o:lock v:ext="edit" aspectratio="f"/>
                      </v:line>
                      <v:shape id="自选图形 984" o:spid="_x0000_s1026" o:spt="38" type="#_x0000_t38" style="position:absolute;left:1490980;top:273685;flip:y;height:156845;width:305435;" filled="f" stroked="t" coordsize="21600,21600" o:gfxdata="UEsFBgAAAAAAAAAAAAAAAAAAAAAAAFBLAwQKAAAAAACHTuJAAAAAAAAAAAAAAAAABAAAAGRycy9Q&#10;SwMEFAAAAAgAh07iQMPiqk7RAAAABQEAAA8AAABkcnMvZG93bnJldi54bWxNj8FOwzAMhu9IvENk&#10;JG4sWZFG2zXdYRJwRGw8QNaYpiNxqibburfHcIGLpV+/9flzs5mDF2ec0hBJw3KhQCB10Q7Ua/jY&#10;Pz+UIFI2ZI2PhBqumGDT3t40prbxQu943uVeMIRSbTS4nMdaytQ5DCYt4ojE3Wecgskcp17ayVwY&#10;HrwslFrJYAbiC86MuHXYfe1OQUNxrPavpcK3l3hVflbOb6vCa31/t1RrEBnn/LcMP/qsDi07HeKJ&#10;bBJeAz+Sfyd3T1XJ8cDgR7UC2Tbyv337DVBLAwQUAAAACACHTuJAvqNXlSoCAAArBAAADgAAAGRy&#10;cy9lMm9Eb2MueG1srVNLjhMxEN0jcQfLe9KdT4dOlM4sEoYNgpH47B1/0kb+yXbSyY4d4gzsWM4d&#10;4DYjwS0ou5sZGFjMgl60qlzlV/VelVcXJ63QkfsgrWnweFRixA21TJp9g9++uXxSYxQiMYwoa3iD&#10;zzzgi/XjR6vOLfnEtlYx7hGAmLDsXIPbGN2yKAJtuSZhZB03EBTWaxLB9fuCedIBulbFpCznRWc9&#10;c95SHgKcbvsgHhD9QwCtEJLyraUHzU3sUT1XJAKl0EoX8Dp3KwSn8ZUQgUekGgxMY/5DEbB36V+s&#10;V2S598S1kg4tkIe0cI+TJtJA0VuoLYkEHbz8C0pL6m2wIo6o1UVPJCsCLMblPW1et8TxzAWkDu5W&#10;9PD/YOnL45VHkjW4nmJkiIaJf/94/ePDp5vP326+fkGLepZE6lxYQu7GXPnBC+7KJ8Yn4TUSSrp3&#10;sE1ZA2CFTuDMFuWiBqHPDZ48nc7rqlebnyKiEJ+W1WxaYUQhPq7m9SzHix4xITsf4nNuNUpGg+nB&#10;HznbWGNgqtZPcy1yfBFiFp4N3RP2foyR0ArmeCQKVaBrpgDIQzZYv7DTVWVQ1+BFNUnNEFhpAasE&#10;pnYgSzD7XChYJdmlVCrdCH6/2yiPAB+WKH+JG+D+kZaKbElo+7wc6iVoOWHPDEPx7EBvA+8MpxY0&#10;ZxgpDs8yWXk1I5HqLpN4b7t/p0JtZaCFNKh+NMnaWXbOE8vnsEO5yWHf05L+7ufbd29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D4qpO0QAAAAUBAAAPAAAAAAAAAAEAIAAAADgAAABkcnMvZG93&#10;bnJldi54bWxQSwECFAAUAAAACACHTuJAvqNXlSoCAAArBAAADgAAAAAAAAABACAAAAA2AQAAZHJz&#10;L2Uyb0RvYy54bWxQSwUGAAAAAAYABgBZAQAA0gUAAAAA&#10;" adj="10822">
                        <v:fill on="f" focussize="0,0"/>
                        <v:stroke color="#000000" joinstyle="round" endarrow="open"/>
                        <v:imagedata o:title=""/>
                        <o:lock v:ext="edit" aspectratio="f"/>
                      </v:shape>
                      <v:shape id="文本框 985" o:spid="_x0000_s1026" o:spt="202" type="#_x0000_t202" style="position:absolute;left:1555750;top:12700;height:267970;width:874395;"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AUv/eC1wEAAI0DAAAOAAAA&#10;ZHJzL2Uyb0RvYy54bWytU82O0zAQviPxDpbvNNlCNm1UdyWolgsCpIUHcB2nsRT/MHablAeAN+DE&#10;hfs+V5+DsZPusruXPXBxxjOTb+b7Zry6GnRHDhK8sobRi1lOiTTC1srsGP365frVghIfuKl5Z41k&#10;9Cg9vVq/fLHqXSXntrVdLYEgiPFV7xhtQ3BVlnnRSs39zDppMNhY0DzgFXZZDbxHdN1l8zy/zHoL&#10;tQMrpPfo3YxBOiHCcwBt0yghN1bstTRhRAXZ8YCUfKucp+vUbdNIET41jZeBdIwi05BOLIL2Np7Z&#10;esWrHXDXKjG1wJ/TwiNOmiuDRe+gNjxwsgf1BEorAdbbJsyE1dlIJCmCLC7yR9rctNzJxAWl9u5O&#10;dP//YMXHw2cgqmZ0gXM3XOPET79+nn7fnv78IMtFERXqna8w8cZhahje2gH35uz36IzEhwZ0/CIl&#10;EuNFUZQFqnxEe17mk9JyCERgeFG+eb0sKBEYnl+WyzLFs3sYBz68l1aTaDAKOMikLz988AFbwtRz&#10;Sqxq7LXqujTMzjxwYGL0ZJHD2Gu0wrAdJmJbWx+RF74IrNNa+E5Jj/vAqP+25yAp4Uagm9FwNt+F&#10;cYH2DtSuxb+SGKkCTin1Nm1UXIN/76mP+1e0/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Cd50WR&#10;0wAAAAUBAAAPAAAAAAAAAAEAIAAAADgAAABkcnMvZG93bnJldi54bWxQSwECFAAUAAAACACHTuJA&#10;FL/3gtcBAACNAwAADgAAAAAAAAABACAAAAA4AQAAZHJzL2Uyb0RvYy54bWxQSwUGAAAAAAYABgBZ&#10;AQAAgQU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30</w:t>
                              </w:r>
                            </w:p>
                          </w:txbxContent>
                        </v:textbox>
                      </v:shape>
                      <v:shape id="文本框 986" o:spid="_x0000_s1026" o:spt="202" type="#_x0000_t202" style="position:absolute;left:2061210;top:347980;height:254000;width:551180;"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AooJ+W2AEAAI4DAAAOAAAA&#10;ZHJzL2Uyb0RvYy54bWytU82O0zAQviPxDpbvND9sSxvVXQmq5YIAaeEBXMdpLMUeY7tNygPAG3Di&#10;wn2fq8/B2El3YbnsgYsznpl8M9834/X1oDtylM4rMIwWs5wSaQTUyuwZ/fzp5sWSEh+4qXkHRjJ6&#10;kp5eb54/W/e2kiW00NXSEQQxvuoto20ItsoyL1qpuZ+BlQaDDTjNA17dPqsd7xFdd1mZ54usB1db&#10;B0J6j97tGKQTonsKIDSNEnIL4qClCSOqkx0PSMm3ynq6Sd02jRThQ9N4GUjHKDIN6cQiaO/imW3W&#10;vNo7blslphb4U1p4xElzZbDoPdSWB04OTv0DpZVw4KEJMwE6G4kkRZBFkT/S5rblViYuKLW396L7&#10;/wcr3h8/OqJqRpcrSgzXOPHzj+/nn3fnX9/IarmICvXWV5h4azE1DK9hwL25+D06I/GhcTp+kRLB&#10;eJkvirJAlU+Mvrx6tVpOUsshEIHx+bwo0EcExsv5VZ6nePaAY50PbyVoEg1GHU4yCcyP73zAnjD1&#10;khLLGrhRXZem2Zm/HJgYPVkkMTYbrTDshonZDuoTEsMngXVacF8p6XEhGPVfDtxJSrgR6GY0XMw3&#10;Ydygg3Vq3+JfSY1UAceUeptWKu7Bn/fUx8Mz2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nedF&#10;kdMAAAAFAQAADwAAAAAAAAABACAAAAA4AAAAZHJzL2Rvd25yZXYueG1sUEsBAhQAFAAAAAgAh07i&#10;QCign5bYAQAAjgMAAA4AAAAAAAAAAQAgAAAAOAEAAGRycy9lMm9Eb2MueG1sUEsFBgAAAAAGAAYA&#10;WQEAAIIFA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120</w:t>
                              </w:r>
                            </w:p>
                          </w:txbxContent>
                        </v:textbox>
                      </v:shape>
                      <v:shape id="文本框 986" o:spid="_x0000_s1026" o:spt="202" type="#_x0000_t202" style="position:absolute;left:3493135;top:378460;height:203200;width:510540;"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B7Y7ME1gEAAI4DAAAOAAAA&#10;ZHJzL2Uyb0RvYy54bWytU82O0zAQviPxDpbvNOkvbdV0JaiWCwKkhQdwHaexFHvM2G1SHgDegBMX&#10;7jxXn4Oxk+7CctkDF2c8M/lmvm/Gm5vONOyk0GuwBR+Pcs6UlVBqeyj4p4+3L5ac+SBsKRqwquBn&#10;5fnN9vmzTevWagI1NKVCRiDWr1tX8DoEt84yL2tlhB+BU5aCFaARga54yEoULaGbJpvk+SJrAUuH&#10;IJX35N31QT4g4lMAoaq0VDuQR6Ns6FFRNSIQJV9r5/k2dVtVSob3VeVVYE3BiWlIJxUhex/PbLsR&#10;6wMKV2s5tCCe0sIjTkZoS0XvoXYiCHZE/Q+U0RLBQxVGEkzWE0mKEItx/kibu1o4lbiQ1N7di+7/&#10;H6x8d/qATJcFX805s8LQxC/fv11+/Lr8/MpWy0VUqHV+TYl3jlJD9wo62pur35MzEu8qNPFLlBjF&#10;p7PVdDwlyDPZL5ezxSC16gKTFJ+P8/mMhiApPsmntBgRMHvAcejDGwWGRaPgSJNMAovTWx/61GtK&#10;LGvhVjdNmmZj/3IQZvRkkUTfbLRCt+8GZnsoz0SMngTVqQG/cNbSQhTcfz4KVJwJK8ld8HA1X4d+&#10;g44O9aGmv5IaqQKNKdEYViruwZ/31MfDM9r+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J3nRZHT&#10;AAAABQEAAA8AAAAAAAAAAQAgAAAAOAAAAGRycy9kb3ducmV2LnhtbFBLAQIUABQAAAAIAIdO4kB7&#10;Y7ME1gEAAI4DAAAOAAAAAAAAAAEAIAAAADgBAABkcnMvZTJvRG9jLnhtbFBLBQYAAAAABgAGAFkB&#10;AACABQ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120</w:t>
                              </w:r>
                            </w:p>
                          </w:txbxContent>
                        </v:textbox>
                      </v:shape>
                      <v:shape id="任意多边形 13" o:spid="_x0000_s1026" o:spt="100" style="position:absolute;left:251460;top:899795;height:76200;width:517525;" filled="f" stroked="t" coordsize="925,1" o:gfxdata="UEsFBgAAAAAAAAAAAAAAAAAAAAAAAFBLAwQKAAAAAACHTuJAAAAAAAAAAAAAAAAABAAAAGRycy9Q&#10;SwMEFAAAAAgAh07iQPU6T+7TAAAABQEAAA8AAABkcnMvZG93bnJldi54bWxNj81OwzAQhO9IvIO1&#10;SNyonYJKCNn0gMQJqUApgqMbL4lFvI5i94e3Z+ECl5FGs5r5tl4ew6D2NCUfGaGYGVDEbXSeO4TN&#10;y/1FCSply84OkQnhixIsm9OT2lYuHviZ9uvcKSnhVFmEPuex0jq1PQWbZnEkluwjTsFmsVOn3WQP&#10;Uh4GPTdmoYP1LAu9Hemup/ZzvQsIK/e6eYuP/onDw1UyRUme31eI52eFuQWV6Zj/juEHX9ChEaZt&#10;3LFLakCQR/KvSnZ9U4rdIswvzQJ0U+v/9M03UEsDBBQAAAAIAIdO4kDd/P2IfAIAACMFAAAOAAAA&#10;ZHJzL2Uyb0RvYy54bWytVM1uEzEQviPxDpbvZLMpSZoom0o0lAuCSi0PMPF6dy35D9v565k7d46I&#10;l0AVPA1FPAZjb/5oBeqBHDZjz/jzfN/MeHK2VpIsufPC6ILmnS4lXDNTCl0X9N31xbNTSnwAXYI0&#10;mhd0wz09mz59MlnZMe+ZxsiSO4Ig2o9XtqBNCHacZZ41XIHvGMs1OivjFARcujorHawQXcms1+0O&#10;spVxpXWGce9xd9Y66RbRPQbQVJVgfGbYQnEdWlTHJQSk5BthPZ2mbKuKs/C2qjwPRBYUmYb0xUvQ&#10;nsdvNp3AuHZgG8G2KcBjUrjHSYHQeOkeagYByMKJB1BKMGe8qUKHGZW1RJIiyCLv3tPmqgHLExeU&#10;2tu96P7/wbI3y0tHRFnQ0YASDQor/uP29ueHj3dfPv36/vXu22eSn0SZVtaPMfrKXrrtyqMZOa8r&#10;p+I/siHrgvb6+fMB6rsp6OloNBz1W5H5OhCG7n4+7Pf6lDD0DwfYEdGdHVDYwodX3CREWL72oS1R&#10;ubOg2VlsrXemw0L/s8QWQjwX04wmWSHhmEWDI5AKp8ySX5vkD5FFS2CX3MHLFnPBXvCb49iTLs4M&#10;0tm2k00Ag3z4cDPduYtE0sdouIypJTH26aaYgyDaXAgpkyJSJxKtloCDWOEAoKzKYjG9rhMrb6Qo&#10;45FIzLt6fi4dWUIchvTbav9HmHU+zMA3bVxytRVsOJQvdUnCxmKXaHwdaExB8ZISyfExiVbKLYCQ&#10;h8jgBOha/iUaGUqNpGN/tR0VrbkpN9iY+E7hyDbG3eBVOKXI7P0CHEKBZrhdUKTcmuehHeuFdaJu&#10;8FSeyEUwnJ2k6nbO43Aer9Plh7dt+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1Ok/u0wAAAAUB&#10;AAAPAAAAAAAAAAEAIAAAADgAAABkcnMvZG93bnJldi54bWxQSwECFAAUAAAACACHTuJA3fz9iHwC&#10;AAAjBQAADgAAAAAAAAABACAAAAA4AQAAZHJzL2Uyb0RvYy54bWxQSwUGAAAAAAYABgBZAQAAJgYA&#10;AAAA&#10;" path="m0,0c308,0,617,0,925,0e">
                        <v:fill on="f" focussize="0,0"/>
                        <v:stroke color="#000000" joinstyle="round" endarrow="block"/>
                        <v:imagedata o:title=""/>
                        <o:lock v:ext="edit" aspectratio="f"/>
                      </v:shape>
                      <v:shape id="任意多边形 14" o:spid="_x0000_s1026" o:spt="100" style="position:absolute;left:2018665;top:568325;height:635;width:563880;" filled="f" stroked="t" coordsize="888,1" o:gfxdata="UEsFBgAAAAAAAAAAAAAAAAAAAAAAAFBLAwQKAAAAAACHTuJAAAAAAAAAAAAAAAAABAAAAGRycy9Q&#10;SwMEFAAAAAgAh07iQC2crJHVAAAABQEAAA8AAABkcnMvZG93bnJldi54bWxNj0FPAjEQhe8m/Idm&#10;SLxJC0bEdbscTDyY6AEwMd5KO24Xt9PNtizIr3fkgpeXvLzJe9+Uy2NoxYB9aiJpmE4UCCQbXUO1&#10;hvfN880CRMqGnGkjoYYfTLCsRlelKVw80AqHda4Fl1AqjAafc1dImazHYNIkdkicfcU+mMy2r6Xr&#10;zYHLQytnSs1lMA3xgjcdPnm03+t90LALLxuyb69eDqf6M58+0h3urNbX46l6BJHxmC/H8IfP6FAx&#10;0zbuySXRauBH8lk5u39YsN1qmN2qOciqlP/pq19QSwMEFAAAAAgAh07iQEpxzAyAAgAAIgUAAA4A&#10;AABkcnMvZTJvRG9jLnhtbK1UzW4TMRC+I/EOlu90k5QsmyibSjSUC4JKLQ8w8Xp3LfkP2/nrmTt3&#10;jqgvgSp4Gop4DMbepAmtQD2Qw+bbnfE3882PJydrJcmSOy+MLmn/qEcJ18xUQjclfX959qygxAfQ&#10;FUijeUk33NOT6dMnk5Ud84Fpjay4I0ii/XhlS9qGYMdZ5lnLFfgjY7lGY22cgoCvrskqBytkVzIb&#10;9Hp5tjKuss4w7j1+nXVGumV0jyE0dS0Ynxm2UFyHjtVxCQEl+VZYT6cp27rmLLyra88DkSVFpSE9&#10;MQjieXxm0wmMGwe2FWybAjwmhXuaFAiNQe+oZhCALJx4QKUEc8abOhwxo7JOSKoIquj37tXmogXL&#10;kxYstbd3Rff/j5a9XZ47IqqSjl5QokFhx3/c3Pz8+On2+vOv719vv30h/eexTCvrx+h9Yc/d9s0j&#10;jJrXtVPxH9WQdUlRSJHnQ0o2JR3mxfFg2FWZrwNhaB/mx0WB9Wdoz4+TMduTsIUPr7lJhLB840PX&#10;oWqHoN0httY76LDP/+ywhRDPxSwjJKuSFgUOeosbkPqmzJJfmmQPUQTmh+ml+cDk9la2mAv2kl8d&#10;+g5G+d4bAySC4Wjw8GOKecB7yIZhYmrTyRakdBEfFkSbMyFlqojUUcRoiNUlDHAPa5x/hMpiL71u&#10;kipvpKjikSjMu2Z+Kh1ZQtyF9IuNwRB/uFnnwwx82/klU9e/lkP1SlckbCwOicbLgcYUFK8okRzv&#10;kohSbgGE3HsGJ0A38i/eGF5qzCKOVzdQEc1NtcG5xGsKN7Y17gpD4ZKisg8LcEgFmuHnkqLkDp6G&#10;bqsX1ommxVP9JC6S4eokmds1j7t5+J6C76+2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tnKyR&#10;1QAAAAUBAAAPAAAAAAAAAAEAIAAAADgAAABkcnMvZG93bnJldi54bWxQSwECFAAUAAAACACHTuJA&#10;SnHMDIACAAAiBQAADgAAAAAAAAABACAAAAA6AQAAZHJzL2Uyb0RvYy54bWxQSwUGAAAAAAYABgBZ&#10;AQAALAYAAAAA&#10;" path="m0,0c296,0,592,0,888,0e">
                        <v:fill on="f" focussize="0,0"/>
                        <v:stroke color="#000000" joinstyle="round" endarrow="block"/>
                        <v:imagedata o:title=""/>
                        <o:lock v:ext="edit" aspectratio="f"/>
                      </v:shape>
                      <v:shape id="文本框 396" o:spid="_x0000_s1026" o:spt="202" type="#_x0000_t202" style="position:absolute;left:4036060;top:410210;height:379730;width:1020445;" filled="f" stroked="f" coordsize="21600,21600" o:gfxdata="UEsFBgAAAAAAAAAAAAAAAAAAAAAAAFBLAwQKAAAAAACHTuJAAAAAAAAAAAAAAAAABAAAAGRycy9Q&#10;SwMEFAAAAAgAh07iQPBaBRfVAAAABQEAAA8AAABkcnMvZG93bnJldi54bWxNj81OwzAQhO9IvIO1&#10;lbhRu0UKbRqnQghOSIg0HDg68TaxGq9D7P7w9ixc4DLSaFYz3xbbix/ECafoAmlYzBUIpDZYR52G&#10;9/r5dgUiJkPWDIFQwxdG2JbXV4XJbThThadd6gSXUMyNhj6lMZcytj16E+dhROJsHyZvEtupk3Yy&#10;Zy73g1wqlUlvHPFCb0Z87LE97I5ew8MHVU/u87V5q/aVq+u1opfsoPXNbKE2IBJe0t8x/OAzOpTM&#10;1IQj2SgGDfxI+lXO7tcrto2G5Z3KQJaF/E9ffgNQSwMEFAAAAAgAh07iQKOItgrnAQAAswMAAA4A&#10;AABkcnMvZTJvRG9jLnhtbK1TS27bMBDdF+gdCO5ryZ86tWA5QGKkKFC0BdIegKYoiwB/GdKW3AO0&#10;N+iqm+57Lp+jQ0pK2nSTRTbUcDh8fO/NaH3ZaUWOAry0pqTTSU6JMNxW0uxL+uXzzas3lPjATMWU&#10;NaKkJ+Hp5ebli3XrCjGzjVWVAIIgxhetK2kTgiuyzPNGaOYn1gmDh7UFzQJuYZ9VwFpE1yqb5fky&#10;ay1UDiwX3mN22x/SARGeAmjrWnKxtfyghQk9KgjFAkryjXSebhLbuhY8fKxrLwJRJUWlIa34CMa7&#10;uGabNSv2wFwj+UCBPYXCI02aSYOP3kNtWWDkAPI/KC05WG/rMOFWZ72Q5AiqmOaPvLltmBNJC1rt&#10;3b3p/vlg+YfjJyCyKukK+26Yxo6ff3w///x9/vWNzFfL6FDrfIGFtw5LQ3dlO5ybMe8xGYV3Nej4&#10;RUkEzxf5fJkv0eUTxtN8Nh2sFl0gPN7PZ/li8ZoSjgXzi9XFPBVkD0AOfHgrrCYxKClgK5PD7Pje&#10;BySFpWNJfNfYG6lUaqcy/ySwMGayqKJnG6PQ7bpB2s5WJ1SG/wS+01j4SkmLE1FSf3dgIChR7wxa&#10;HsdnDGAMdmPADMerJQ2U9OF16Mfs4EDuG0ROliUW2MvEf5i7OCx/7xPXh39t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wWgUX1QAAAAUBAAAPAAAAAAAAAAEAIAAAADgAAABkcnMvZG93bnJldi54&#10;bWxQSwECFAAUAAAACACHTuJAo4i2CucBAACzAwAADgAAAAAAAAABACAAAAA6AQAAZHJzL2Uyb0Rv&#10;Yy54bWxQSwUGAAAAAAYABgBZAQAAkwUAAAAA&#10;">
                        <v:fill on="f" focussize="0,0"/>
                        <v:stroke on="f"/>
                        <v:imagedata o:title=""/>
                        <o:lock v:ext="edit" aspectratio="f"/>
                        <v:textbox inset="0mm,0mm,0mm,0mm">
                          <w:txbxContent>
                            <w:p>
                              <w:pPr>
                                <w:jc w:val="center"/>
                                <w:rPr>
                                  <w:rFonts w:hint="eastAsia" w:ascii="宋体" w:hAnsi="宋体" w:eastAsia="宋体" w:cs="宋体"/>
                                  <w:sz w:val="18"/>
                                  <w:szCs w:val="18"/>
                                  <w:lang w:eastAsia="zh-CN"/>
                                </w:rPr>
                              </w:pPr>
                              <w:r>
                                <w:rPr>
                                  <w:rFonts w:hint="eastAsia" w:ascii="宋体" w:hAnsi="宋体" w:cs="宋体"/>
                                  <w:sz w:val="18"/>
                                  <w:szCs w:val="18"/>
                                </w:rPr>
                                <w:t>接管</w:t>
                              </w:r>
                              <w:r>
                                <w:rPr>
                                  <w:rFonts w:hint="eastAsia" w:ascii="宋体" w:hAnsi="宋体" w:cs="宋体"/>
                                  <w:sz w:val="18"/>
                                  <w:szCs w:val="18"/>
                                  <w:lang w:eastAsia="zh-CN"/>
                                </w:rPr>
                                <w:t>如皋市下原镇污水处理厂</w:t>
                              </w:r>
                            </w:p>
                          </w:txbxContent>
                        </v:textbox>
                      </v:shape>
                      <v:shape id="文本框 985" o:spid="_x0000_s1026" o:spt="202" type="#_x0000_t202" style="position:absolute;left:224790;top:913130;height:251460;width:549910;"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D/qmvM1wEAAI0DAAAOAAAA&#10;ZHJzL2Uyb0RvYy54bWytU82O0zAQviPxDpbvNE22XTZR3ZWgWi4IkBYewHWcxlLsMbbbpDwAvAEn&#10;Ltx5rj4HYyfdPy574OKMZybfzPfNeHU96I4cpPMKDKP5bE6JNAJqZXaMfvl88+qKEh+4qXkHRjJ6&#10;lJ5er1++WPW2kgW00NXSEQQxvuoto20ItsoyL1qpuZ+BlQaDDTjNA17dLqsd7xFdd1kxn19mPbja&#10;OhDSe/RuxiCdEN1zAKFplJAbEHstTRhRnex4QEq+VdbTdeq2aaQIH5vGy0A6RpFpSCcWQXsbz2y9&#10;4tXOcdsqMbXAn9PCE06aK4NF76A2PHCyd+ofKK2EAw9NmAnQ2UgkKYIs8vkTbW5bbmXiglJ7eye6&#10;/3+w4sPhkyOqZrQsKTFc48RPP3+cfv05/f5OyqtlVKi3vsLEW4upYXgDA+7N2e/RGYkPjdPxi5QI&#10;xoti8bpEkY8InF/kF5PScghEYHi5KMscwwLjxTJfXKZ4dg9jnQ/vJGgSDUYdDjLpyw/vfcCWMPWc&#10;EqsauFFdl4bZmUcOTIyeLHIYe41WGLbDRGwL9RF54YvAOi24b5T0uA+M+q977iQl3Ah0MxrO5tsw&#10;LtDeOrVr8a8kRqqAU0q9TRsV1+DhPfVx/4r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Cd50WR&#10;0wAAAAUBAAAPAAAAAAAAAAEAIAAAADgAAABkcnMvZG93bnJldi54bWxQSwECFAAUAAAACACHTuJA&#10;/6przNcBAACNAwAADgAAAAAAAAABACAAAAA4AQAAZHJzL2Uyb0RvYy54bWxQSwUGAAAAAAYABgBZ&#10;AQAAgQUAAAAA&#10;">
                        <v:fill on="f" focussize="0,0"/>
                        <v:stroke on="f"/>
                        <v:imagedata o:title=""/>
                        <o:lock v:ext="edit" aspectratio="f"/>
                        <v:textbox>
                          <w:txbxContent>
                            <w:p>
                              <w:pPr>
                                <w:rPr>
                                  <w:sz w:val="18"/>
                                  <w:szCs w:val="21"/>
                                </w:rPr>
                              </w:pPr>
                              <w:r>
                                <w:rPr>
                                  <w:rFonts w:hint="eastAsia"/>
                                  <w:sz w:val="18"/>
                                  <w:szCs w:val="21"/>
                                </w:rPr>
                                <w:t>自来水</w:t>
                              </w:r>
                            </w:p>
                          </w:txbxContent>
                        </v:textbox>
                      </v:shape>
                      <v:shape id="任意多边形 13" o:spid="_x0000_s1026" o:spt="100" style="position:absolute;left:780415;top:560070;height:76200;width:293370;" filled="f" stroked="t" coordsize="925,1" o:gfxdata="UEsFBgAAAAAAAAAAAAAAAAAAAAAAAFBLAwQKAAAAAACHTuJAAAAAAAAAAAAAAAAABAAAAGRycy9Q&#10;SwMEFAAAAAgAh07iQPU6T+7TAAAABQEAAA8AAABkcnMvZG93bnJldi54bWxNj81OwzAQhO9IvIO1&#10;SNyonYJKCNn0gMQJqUApgqMbL4lFvI5i94e3Z+ECl5FGs5r5tl4ew6D2NCUfGaGYGVDEbXSeO4TN&#10;y/1FCSply84OkQnhixIsm9OT2lYuHviZ9uvcKSnhVFmEPuex0jq1PQWbZnEkluwjTsFmsVOn3WQP&#10;Uh4GPTdmoYP1LAu9Hemup/ZzvQsIK/e6eYuP/onDw1UyRUme31eI52eFuQWV6Zj/juEHX9ChEaZt&#10;3LFLakCQR/KvSnZ9U4rdIswvzQJ0U+v/9M03UEsDBBQAAAAIAIdO4kBAGSHafgIAACQFAAAOAAAA&#10;ZHJzL2Uyb0RvYy54bWytVM1uEzEQviPxDpbvZDcJSdoom0o0lAuCSi0PMPF6dy35D9v565k7d46I&#10;l0AVPA1FPAZjb/5oBeqBHDZjz/ib+T7PeHK2VpIsufPC6IJ2OzklXDNTCl0X9N31xbMTSnwAXYI0&#10;mhd0wz09mz59MlnZMe+ZxsiSO4Ig2o9XtqBNCHacZZ41XIHvGMs1OivjFARcujorHawQXcmsl+fD&#10;bGVcaZ1h3HvcnbVOukV0jwE0VSUYnxm2UFyHFtVxCQEp+UZYT6ep2qriLLytKs8DkQVFpiF9MQna&#10;8/jNphMY1w5sI9i2BHhMCfc4KRAak+6hZhCALJx4AKUEc8abKnSYUVlLJCmCLLr5PW2uGrA8cUGp&#10;vd2L7v8fLHuzvHRElNgJOWqiQeGV/7i9/fnh492XT7++f7379pl0+1GnlfVjDL+yl2678mhG0uvK&#10;qfiPdMi6oKOT/Hl3QMmmoINhno+2KvN1IAzdvdN+H/cIQ/9oiC0RwbMDClv48IqbhAjL1z60d1Tu&#10;LGh2Flvrnenwpv95xxZCPBfLjCZZFfS0h0U2yDzdnDJLfm2SP0QWWCEWuCvu4GWLuWAv+M1xbD/H&#10;odlFY4IEMOyOHm6mnLtIJH2MhstYWhJjX26KOQiizYWQMikidSIxiCwY4CRWOAFoKou36XWdWHkj&#10;RRmPRGLe1fNz6cgS4jSk31b7P8Ks82EGvmnjkiuGwbjhUL7UJQkbi12i8XmgsQTFS0okx9ckWiky&#10;gJCHyOAE6Fr+JRoZSo2kY3+1HRWtuSk32Jn4UOHMNsbdYCocU2T2fgEOoUAz3C4oUm7N89DO9cI6&#10;UTd4qpvIRTAcnqTqdtDjdB6vU/LD4zb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PU6T+7TAAAA&#10;BQEAAA8AAAAAAAAAAQAgAAAAOAAAAGRycy9kb3ducmV2LnhtbFBLAQIUABQAAAAIAIdO4kBAGSHa&#10;fgIAACQFAAAOAAAAAAAAAAEAIAAAADgBAABkcnMvZTJvRG9jLnhtbFBLBQYAAAAABgAGAFkBAAAo&#10;BgAAAAA=&#10;" path="m0,0c308,0,617,0,925,0e">
                        <v:fill on="f" focussize="0,0"/>
                        <v:stroke color="#000000" joinstyle="round" endarrow="block"/>
                        <v:imagedata o:title=""/>
                        <o:lock v:ext="edit" aspectratio="f"/>
                      </v:shape>
                      <v:line id="直接连接符 64" o:spid="_x0000_s1026" o:spt="20" style="position:absolute;left:780415;top:544830;height:711200;width:6985;" filled="f" stroked="t" coordsize="21600,21600" o:gfxdata="UEsFBgAAAAAAAAAAAAAAAAAAAAAAAFBLAwQKAAAAAACHTuJAAAAAAAAAAAAAAAAABAAAAGRycy9Q&#10;SwMEFAAAAAgAh07iQLwV7v7UAAAABQEAAA8AAABkcnMvZG93bnJldi54bWxNj8FOwzAMhu9IvENk&#10;JG4s2ZDWUprugMQBCQnoOHDMGq8tNE5Jsra8PYYLXCz9+q3Pn8vd4gYxYYi9Jw3rlQKB1HjbU6vh&#10;dX9/lYOIyZA1gyfU8IURdtX5WWkK62d6walOrWAIxcJo6FIaCylj06EzceVHJO6OPjiTOIZW2mBm&#10;hrtBbpTaSmd64gudGfGuw+ajPjmmUPZ5XIbw9vz02OX1/I4PU4ZaX16s1S2IhEv6W4YffVaHip0O&#10;/kQ2ikEDP5J+J3fZTc7xoGFzrbYgq1L+t6++AVBLAwQUAAAACACHTuJATcqHC/IBAADAAwAADgAA&#10;AGRycy9lMm9Eb2MueG1srVPNjtMwEL4j8Q6W7zTJbtstUdM9bLVcEFQCHmDqOIkl/8njbdqX4AWQ&#10;uMGJI3fehuUxGCdhd1kueyAHZzw/n+f7PF5fHo1mBxlQOVvxYpZzJq1wtbJtxT+8v36x4gwj2Bq0&#10;s7LiJ4n8cvP82br3pTxzndO1DIxALJa9r3gXoy+zDEUnDeDMeWkp2LhgINI2tFkdoCd0o7OzPF9m&#10;vQu1D05IRPJuxyCfEMNTAF3TKCG3TtwYaeOIGqSGSJSwUx75Zui2aaSIb5sGZWS64sQ0DisdQvY+&#10;rdlmDWUbwHdKTC3AU1p4xMmAsnToHdQWIrCboP6BMkoEh66JM+FMNhIZFCEWRf5Im3cdeDlwIanR&#10;34mO/w9WvDnsAlM1TUJecGbB0JXffvr+8+OXXz8+03r77StbzpNOvceS0q/sLkw79LuQSB+bYNKf&#10;6LBjxS9W+bxYcHaq+GI+X51PKstjZILCy5crCgqKXhQFTUTCzu5BfMD4SjrDklFxrWySAEo4vMY4&#10;pv5JSW7rrpXW5IdSW9YT/PmCLlcAjWZDI0Gm8UQPbcsZ6JZmXsQwIKLTqk7VqRhDu7/SgR0gTcrw&#10;TY39lZaO3gJ2Y94QSmlQGhXpWWhlKr56WK0tsUvSjWIla+/q06Dh4KeLHfhPQ5gm5+F+qL5/eJ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BXu/tQAAAAFAQAADwAAAAAAAAABACAAAAA4AAAAZHJz&#10;L2Rvd25yZXYueG1sUEsBAhQAFAAAAAgAh07iQE3KhwvyAQAAwAMAAA4AAAAAAAAAAQAgAAAAOQEA&#10;AGRycy9lMm9Eb2MueG1sUEsFBgAAAAAGAAYAWQEAAJ0FAAAAAA==&#10;">
                        <v:fill on="f" focussize="0,0"/>
                        <v:stroke weight="0.5pt" color="#000000 [3213]" miterlimit="8" joinstyle="miter"/>
                        <v:imagedata o:title=""/>
                        <o:lock v:ext="edit" aspectratio="f"/>
                      </v:line>
                      <v:shape id="文本框 972" o:spid="_x0000_s1026" o:spt="202" type="#_x0000_t202" style="position:absolute;left:1079500;top:1144905;height:267970;width:1021715;" fillcolor="#FFFFFF" filled="t" stroked="t" coordsize="21600,21600" o:gfxdata="UEsFBgAAAAAAAAAAAAAAAAAAAAAAAFBLAwQKAAAAAACHTuJAAAAAAAAAAAAAAAAABAAAAGRycy9Q&#10;SwMEFAAAAAgAh07iQC7UGSzVAAAABQEAAA8AAABkcnMvZG93bnJldi54bWxNj8FOwzAQRO9I/IO1&#10;SFxQa7dFaRri9IAEghstqFzdZJtE2Otgu2n5exYucBlpNKuZt+X67KwYMcTek4bZVIFAqn3TU6vh&#10;7fVhkoOIyVBjrCfU8IUR1tXlRWmKxp9og+M2tYJLKBZGQ5fSUEgZ6w6diVM/IHF28MGZxDa0sgnm&#10;xOXOyrlSmXSmJ17ozID3HdYf26PTkN8+je/xefGyq7ODXaWb5fj4GbS+vpqpOxAJz+nvGH7wGR0q&#10;Ztr7IzVRWA38SPpVzparnO1ew3yhMpBVKf/TV99QSwMEFAAAAAgAh07iQFm0WQA3AgAAeQQAAA4A&#10;AABkcnMvZTJvRG9jLnhtbK1US5LTMBDdU8UdVNozdlyTCUmNM1VMGDYUUDVwAEWWbVXph6QkDgeA&#10;G7Biw37OlXPwJGe+sJgFXtgtqfW63+tun18MWpGt8EFaU9PJSUmJMNw20nQ1/fL56tVrSkJkpmHK&#10;GlHTvQj0YvnyxfnOLURle6sa4QlATFjsXE37GN2iKALvhWbhxDphcNhar1nE0ndF49kO6FoVVVme&#10;FTvrG+ctFyFgdzUe0iOifw6gbVvJxcryjRYmjqheKBZBKfTSBbrM2bat4PFj2wYRiaopmMb8RhDY&#10;6/Quluds0XnmesmPKbDnpPCEk2bSIOgd1IpFRjZe/gWlJfc22DaecKuLkUhWBCwm5RNtrnvmROYC&#10;qYO7Ez38P1j+YfvJE9mgE8qKEsM0Sn74+ePw6+bw+zuZz6ok0c6FBTyvHXzj8MYOcL/dD9hMzIfW&#10;6/QFJ5LOy9l8WkLmPezJ6em8nI5iiyESnh2qyWwypYTDozqbzWe5GsU9kvMhvhNWk2TU1KOYWWO2&#10;fR8isoLrrUsKHKySzZVUKi98t75UnmwZCn+VnxQeVx65KUN2NZ1Pq5QHQze36CKY2kGRYLoc79GN&#10;8BC4zM+/gFNiKxb6MYGMMNLXMgqfu64XrHlrGhL3DpobDBtNyWjRUKIEZjNZ2TMyqZ7jCXbKgGQq&#10;11iWZMVhPQAmmWvb7FFCTD/07K3/hojofVD9umEe8Znh2K4pNBjNyzgOy8Z52fW4leueI6Ajs6DH&#10;6Ukt/3Cd87j/Y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C7UGSzVAAAABQEAAA8AAAAAAAAA&#10;AQAgAAAAOAAAAGRycy9kb3ducmV2LnhtbFBLAQIUABQAAAAIAIdO4kBZtFkANwIAAHkEAAAOAAAA&#10;AAAAAAEAIAAAADoBAABkcnMvZTJvRG9jLnhtbFBLBQYAAAAABgAGAFkBAADjBQAAAAA=&#10;">
                        <v:fill on="t" focussize="0,0"/>
                        <v:stroke color="#000000" joinstyle="miter"/>
                        <v:imagedata o:title=""/>
                        <o:lock v:ext="edit" aspectratio="f"/>
                        <v:textbox>
                          <w:txbxContent>
                            <w:p>
                              <w:pPr>
                                <w:jc w:val="center"/>
                                <w:rPr>
                                  <w:szCs w:val="21"/>
                                </w:rPr>
                              </w:pPr>
                              <w:r>
                                <w:rPr>
                                  <w:rFonts w:hint="eastAsia"/>
                                  <w:sz w:val="18"/>
                                  <w:szCs w:val="18"/>
                                  <w:lang w:val="en-US" w:eastAsia="zh-CN"/>
                                </w:rPr>
                                <w:t>切削液配制</w:t>
                              </w:r>
                              <w:r>
                                <w:rPr>
                                  <w:rFonts w:hint="eastAsia"/>
                                  <w:sz w:val="18"/>
                                  <w:szCs w:val="18"/>
                                </w:rPr>
                                <w:t>用水</w:t>
                              </w:r>
                            </w:p>
                          </w:txbxContent>
                        </v:textbox>
                      </v:shape>
                      <v:shape id="任意多边形 13" o:spid="_x0000_s1026" o:spt="100" style="position:absolute;left:782320;top:1268730;height:76200;width:293370;" filled="f" stroked="t" coordsize="925,1" o:gfxdata="UEsFBgAAAAAAAAAAAAAAAAAAAAAAAFBLAwQKAAAAAACHTuJAAAAAAAAAAAAAAAAABAAAAGRycy9Q&#10;SwMEFAAAAAgAh07iQPU6T+7TAAAABQEAAA8AAABkcnMvZG93bnJldi54bWxNj81OwzAQhO9IvIO1&#10;SNyonYJKCNn0gMQJqUApgqMbL4lFvI5i94e3Z+ECl5FGs5r5tl4ew6D2NCUfGaGYGVDEbXSeO4TN&#10;y/1FCSply84OkQnhixIsm9OT2lYuHviZ9uvcKSnhVFmEPuex0jq1PQWbZnEkluwjTsFmsVOn3WQP&#10;Uh4GPTdmoYP1LAu9Hemup/ZzvQsIK/e6eYuP/onDw1UyRUme31eI52eFuQWV6Zj/juEHX9ChEaZt&#10;3LFLakCQR/KvSnZ9U4rdIswvzQJ0U+v/9M03UEsDBBQAAAAIAIdO4kDyh/QifgIAACUFAAAOAAAA&#10;ZHJzL2Uyb0RvYy54bWytVM1uEzEQviPxDpbvdJNdNWmjbCrRUC4IKrU8wMTr3bXkP2znr2fu3Dki&#10;XqKq4Gko4jEYezdNaQXqgRw2Y8/483zfzHh6slGSrLjzwuiSDg8GlHDNTCV0U9L3l2cvjijxAXQF&#10;0mhe0i339GT2/Nl0bSc8N62RFXcEQbSfrG1J2xDsJMs8a7kCf2As1+isjVMQcOmarHKwRnQls3ww&#10;GGVr4yrrDOPe4+68c9Ie0T0F0NS1YHxu2FJxHTpUxyUEpORbYT2dpWzrmrPwrq49D0SWFJmG9MVL&#10;0F7EbzabwqRxYFvB+hTgKSk84KRAaLz0DmoOAcjSiUdQSjBnvKnDATMq64gkRZDFcPBAm4sWLE9c&#10;UGpv70T3/w+WvV2dOyIq7IRBQYkGhSX/cXPz8+On26+ff32/vv32hQyLqNPa+gmGX9hz1688mpH0&#10;pnYq/iMdsinp+CgvchR4i6D56Ghc9DLzTSAM/flxUYzRzzBgPMKeiOjZHoYtfXjNTYKE1RsfuiJV&#10;OwvancU2emc6LPU/i2whxHMxz2iSdUmP80NKWswylU6ZFb80yR8ijY7BLrm9ly0Xgr3kV/djiwFO&#10;DdLpmdoEMBqOH2+mO3eRSPo+Gi5jakmMu3RTzF4Qbc6ElEkRqROJw8iCAY5ijSOAprJYTq+bxMob&#10;Kap4JBLzrlmcSkdWEMch/Xrt/wizzoc5+LaLS64YBpOWQ/VKVyRsLbaJxveBxhQUryiRHJ+TaKXI&#10;AELuI4MToBv5l2hkKDWSjg3WtVS0FqbaYmviS4VD2xp3hVfhnCKzD0twCAWa4XZJkXJnnoZusJfW&#10;iabFU8NELoLh9CRV+0mP43l/nS7fv26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PU6T+7TAAAA&#10;BQEAAA8AAAAAAAAAAQAgAAAAOAAAAGRycy9kb3ducmV2LnhtbFBLAQIUABQAAAAIAIdO4kDyh/Qi&#10;fgIAACUFAAAOAAAAAAAAAAEAIAAAADgBAABkcnMvZTJvRG9jLnhtbFBLBQYAAAAABgAGAFkBAAAo&#10;BgAAAAA=&#10;" path="m0,0c308,0,617,0,925,0e">
                        <v:fill on="f" focussize="0,0"/>
                        <v:stroke color="#000000" joinstyle="round" endarrow="block"/>
                        <v:imagedata o:title=""/>
                        <o:lock v:ext="edit" aspectratio="f"/>
                      </v:shape>
                      <v:shape id="自选图形 984" o:spid="_x0000_s1026" o:spt="38" type="#_x0000_t38" style="position:absolute;left:1438910;top:985520;flip:y;height:156845;width:305435;" filled="f" stroked="t" coordsize="21600,21600" o:gfxdata="UEsFBgAAAAAAAAAAAAAAAAAAAAAAAFBLAwQKAAAAAACHTuJAAAAAAAAAAAAAAAAABAAAAGRycy9Q&#10;SwMEFAAAAAgAh07iQMPiqk7RAAAABQEAAA8AAABkcnMvZG93bnJldi54bWxNj8FOwzAMhu9IvENk&#10;JG4sWZFG2zXdYRJwRGw8QNaYpiNxqibburfHcIGLpV+/9flzs5mDF2ec0hBJw3KhQCB10Q7Ua/jY&#10;Pz+UIFI2ZI2PhBqumGDT3t40prbxQu943uVeMIRSbTS4nMdaytQ5DCYt4ojE3Wecgskcp17ayVwY&#10;HrwslFrJYAbiC86MuHXYfe1OQUNxrPavpcK3l3hVflbOb6vCa31/t1RrEBnn/LcMP/qsDi07HeKJ&#10;bBJeAz+Sfyd3T1XJ8cDgR7UC2Tbyv337DVBLAwQUAAAACACHTuJAP0+qwykCAAAsBAAADgAAAGRy&#10;cy9lMm9Eb2MueG1srVO9jhMxEO6ReAfLPdnNz56SVTZXJBwNgkjA9Y5/skb+k+1kk44O8Qx0lLwD&#10;vM1J8BY39i53cFBcwRarGc/4m/m+GS8vT1qhI/dBWtPg8ajEiBtqmTT7Br97e/VsjlGIxDCirOEN&#10;PvOAL1dPnyw7V/OJba1i3CMAMaHuXIPbGF1dFIG2XJMwso4bCArrNYng+n3BPOkAXatiUpYXRWc9&#10;c95SHgKcbvogHhD9YwCtEJLyjaUHzU3sUT1XJAKl0EoX8Cp3KwSn8bUQgUekGgxMY/5DEbB36V+s&#10;lqTee+JaSYcWyGNaeMBJE2mg6B3UhkSCDl7+BaUl9TZYEUfU6qInkhUBFuPygTZvWuJ45gJSB3cn&#10;evh/sPTVceuRZLAJ5QwjQzSM/MfHrz8/fLr5/P3m2xe0mM+SSp0LNSSvzdYPXnBbnyifhNdIKOmu&#10;ASSLALTQCZzZdL4Yg9LnBi/mVTUZ5OaniCjEp2U1m1YYUYiPq4v5rEqFih4xITsf4gtuNUpGg+nB&#10;HzlbW2NgrNZPcy1yfBliVp4N3RP2foyR0AoGeSQKVSBspgDIQzZYv7DTVWVQBy1Wk9QMgZ0WsEtg&#10;age6BLPPhYJVkl1JpdKN4Pe7tfII8GGL8jf0/kdaKrIhoe3zciilkbrlhD03DMWzA70NPDScWtCc&#10;YaQ4vMtk5cxIpLrPJN7b7t+pwEkZkC8Nqh9NsnaWnfPE8jksURZ4WPi0pb/7+fb9I1/d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Piqk7RAAAABQEAAA8AAAAAAAAAAQAgAAAAOAAAAGRycy9kb3du&#10;cmV2LnhtbFBLAQIUABQAAAAIAIdO4kA/T6rDKQIAACwEAAAOAAAAAAAAAAEAIAAAADYBAABkcnMv&#10;ZTJvRG9jLnhtbFBLBQYAAAAABgAGAFkBAADRBQAAAAA=&#10;" adj="10822">
                        <v:fill on="f" focussize="0,0"/>
                        <v:stroke color="#000000" joinstyle="round" endarrow="open"/>
                        <v:imagedata o:title=""/>
                        <o:lock v:ext="edit" aspectratio="f"/>
                      </v:shape>
                      <v:shape id="文本框 986" o:spid="_x0000_s1026" o:spt="202" type="#_x0000_t202" style="position:absolute;left:767715;top:1057910;height:254000;width:334645;"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BF3obA1wEAAI8DAAAOAAAA&#10;ZHJzL2Uyb0RvYy54bWytU8GO0zAQvSPxD5bvNGm32+5GTVeCarkgQFr4ANdxGkuxx3jcJuUD4A84&#10;ceG+39XvYOyku7Bc9sDFGc9M3sx7M17d9KZlB+VRgy35dJJzpqyESttdyT9/un11xRkGYSvRglUl&#10;PyrkN+uXL1adK9QMGmgr5RmBWCw6V/ImBFdkGcpGGYETcMpSsAZvRKCr32WVFx2hmzab5fki68BX&#10;zoNUiOTdDEE+IvrnAEJda6k2IPdG2TCgetWKQJSw0Q75OnVb10qGD3WNKrC25MQ0pJOKkL2NZ7Ze&#10;iWLnhWu0HFsQz2nhCScjtKWiD1AbEQTbe/0PlNHSA0IdJhJMNhBJihCLaf5Em7tGOJW4kNToHkTH&#10;/wcr3x8+eqYr2oT8kjMrDI389OP76ef96dc3dn21iBJ1DgvKvHOUG/rX0FP62Y/kjMz72pv4JU6M&#10;4svFcjklxGNCXl5PR61VH5ik+MXFfDGnuKSE2eU8z1M8e8RxHsNbBYZFo+SeRpkUFod3GKgnSj2n&#10;xLIWbnXbpnG29i8HJUZPFkkMzUYr9Nt+ZLaF6kjE6E1QnQb8V8462oiS45e98IozYSW5Sx7O5psw&#10;rNDeeb1r6K+kRqpAc0q9jTsVF+HPe+rj8R2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Cd50WR&#10;0wAAAAUBAAAPAAAAAAAAAAEAIAAAADgAAABkcnMvZG93bnJldi54bWxQSwECFAAUAAAACACHTuJA&#10;Rd6GwNcBAACPAwAADgAAAAAAAAABACAAAAA4AQAAZHJzL2Uyb0RvYy54bWxQSwUGAAAAAAYABgBZ&#10;AQAAgQU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3.5</w:t>
                              </w:r>
                            </w:p>
                          </w:txbxContent>
                        </v:textbox>
                      </v:shape>
                      <v:line id="直线 974" o:spid="_x0000_s1026" o:spt="20" style="position:absolute;left:2110105;top:1268095;flip:y;height:6985;width:646430;" filled="f" stroked="t" coordsize="21600,21600" o:gfxdata="UEsFBgAAAAAAAAAAAAAAAAAAAAAAAFBLAwQKAAAAAACHTuJAAAAAAAAAAAAAAAAABAAAAGRycy9Q&#10;SwMEFAAAAAgAh07iQDQgNB/WAAAABQEAAA8AAABkcnMvZG93bnJldi54bWxNj8FOwzAQRO9I/IO1&#10;SNyokwKlDXF6QCBxQtAiJG5uvCSh8TrY26bw9Sxc4DLSaFYzb8vlwfdqjzF1gQzkkwwUUh1cR42B&#10;5/Xd2RxUYkvO9oHQwCcmWFbHR6UtXBjpCfcrbpSUUCqsgZZ5KLROdYvepkkYkCR7C9FbFhsb7aId&#10;pdz3epplM+1tR7LQ2gFvWqy3q503sFiPl+Exbl8u8u7j9ev2nYf7Bzbm9CTPrkExHvjvGH7wBR0q&#10;YdqEHbmkegPyCP+qZFeLudiNgel5NgNdlfo/ffUNUEsDBBQAAAAIAIdO4kCeOTdeAQIAAO8DAAAO&#10;AAAAZHJzL2Uyb0RvYy54bWytU82O0zAQviPxDpbvNGloQxs13cOW5YKg0gL3qWMnlvwn29u0z8Jr&#10;cOLC4+xrMHbKLixC2gM5WGPP52/m+zLeXJ20Ikfug7SmpfNZSQk3zHbS9C39/Onm1YqSEMF0oKzh&#10;LT3zQK+2L19sRtfwyg5WddwTJDGhGV1LhxhdUxSBDVxDmFnHDSaF9Roibn1fdB5GZNeqqMqyLkbr&#10;O+ct4yHg6W5K0gujfw6hFUIyvrPsTnMTJ1bPFUSUFAbpAt3mboXgLH4UIvBIVEtRacwrFsH4kNZi&#10;u4Gm9+AGyS4twHNaeKJJgzRY9IFqBxHInZd/UWnJvA1WxBmzupiEZEdQxbx84s3tAI5nLWh1cA+m&#10;h/9Hyz4c957IDiehrCkxoPGX33/9dv/9B1m/WSR/RhcahF2bvb/sgtv7JPYkvCZCSfcFr2f5KIic&#10;WlrN56hmSckZE1W9KtfLyWl+ioQhoF7Ui9f4DxgC6vUqZ4uJMBE7H+I7bjVJQUuVNMkGaOD4PkRs&#10;AqG/IOlYGTK2dL2ssCIDnEmBs4ChdqgrmD7fDVbJ7kYqlW4E3x+ulSdHSHORv9Qg8v4BS0V2EIYJ&#10;l1OTjoFD99Z0JJ4d+mXwodDUguYdJYrju0oREkITQapHZPQSTK/+gcbyymAXyfHJ4xQdbHfO1udz&#10;nIPc52Vm06D9vs+3H9/p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0IDQf1gAAAAUBAAAPAAAA&#10;AAAAAAEAIAAAADgAAABkcnMvZG93bnJldi54bWxQSwECFAAUAAAACACHTuJAnjk3XgECAADvAwAA&#10;DgAAAAAAAAABACAAAAA7AQAAZHJzL2Uyb0RvYy54bWxQSwUGAAAAAAYABgBZAQAArgUAAAAA&#10;">
                        <v:fill on="f" focussize="0,0"/>
                        <v:stroke color="#000000" joinstyle="round" endarrow="block"/>
                        <v:imagedata o:title=""/>
                        <o:lock v:ext="edit" aspectratio="f"/>
                      </v:line>
                      <v:shape id="文本框 396" o:spid="_x0000_s1026" o:spt="202" type="#_x0000_t202" style="position:absolute;left:2748915;top:1181100;height:205740;width:1143000;" filled="f" stroked="f" coordsize="21600,21600" o:gfxdata="UEsFBgAAAAAAAAAAAAAAAAAAAAAAAFBLAwQKAAAAAACHTuJAAAAAAAAAAAAAAAAABAAAAGRycy9Q&#10;SwMEFAAAAAgAh07iQPBaBRfVAAAABQEAAA8AAABkcnMvZG93bnJldi54bWxNj81OwzAQhO9IvIO1&#10;lbhRu0UKbRqnQghOSIg0HDg68TaxGq9D7P7w9ixc4DLSaFYz3xbbix/ECafoAmlYzBUIpDZYR52G&#10;9/r5dgUiJkPWDIFQwxdG2JbXV4XJbThThadd6gSXUMyNhj6lMZcytj16E+dhROJsHyZvEtupk3Yy&#10;Zy73g1wqlUlvHPFCb0Z87LE97I5ew8MHVU/u87V5q/aVq+u1opfsoPXNbKE2IBJe0t8x/OAzOpTM&#10;1IQj2SgGDfxI+lXO7tcrto2G5Z3KQJaF/E9ffgNQSwMEFAAAAAgAh07iQE1PnqLnAQAAtQMAAA4A&#10;AABkcnMvZTJvRG9jLnhtbK1TzY7TMBC+I/EOlu80Sbe77UZNV4JqERICpIUHcB2nseQ/xm6T8gDw&#10;Bpy4cOe5+hyMnWQXlsseuDjj8Zdv5vs8Xt/0WpGjAC+tqWgxyykRhttamn1FP328fbGixAdmaqas&#10;ERU9CU9vNs+frTtXirltraoFECQxvuxcRdsQXJllnrdCMz+zThg8bCxoFnAL+6wG1iG7Vtk8z6+y&#10;zkLtwHLhPWa3wyEdGeEphLZpJBdbyw9amDCwglAsoCTfSufpJnXbNIKH903jRSCqoqg0pBWLYLyL&#10;a7ZZs3IPzLWSjy2wp7TwSJNm0mDRe6otC4wcQP5DpSUH620TZtzqbBCSHEEVRf7Im7uWOZG0oNXe&#10;3Zvu/x8tf3f8AETWOAn5khLDNF75+fu3849f559fycX1VbSoc75E5J1DbOhf2h7hU95jMirvG9Dx&#10;i5oIns+Xi9V1cUnJCbHFqijy0WzRB8IjQbG4yDFJOCLm+eVykQDZA5MDH14Lq0kMKgp4mcljdnzr&#10;A3aF0AkSCxt7K5VKF6rMXwkExkwWZQztxij0u37UtrP1CaXhq8A6rYUvlHQ4ExX1nw8MBCXqjUHT&#10;4wBNAUzBbgqY4fhrRQMlQ/gqDIN2cCD3LTInz1IXeJup/3Hy4rj8uU+9Pry2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wWgUX1QAAAAUBAAAPAAAAAAAAAAEAIAAAADgAAABkcnMvZG93bnJldi54&#10;bWxQSwECFAAUAAAACACHTuJATU+eoucBAAC1AwAADgAAAAAAAAABACAAAAA6AQAAZHJzL2Uyb0Rv&#10;Yy54bWxQSwUGAAAAAAYABgBZAQAAkwUAAAAA&#10;">
                        <v:fill on="f" focussize="0,0"/>
                        <v:stroke on="f"/>
                        <v:imagedata o:title=""/>
                        <o:lock v:ext="edit" aspectratio="f"/>
                        <v:textbox inset="0mm,0mm,0mm,0mm">
                          <w:txbxContent>
                            <w:p>
                              <w:pPr>
                                <w:jc w:val="center"/>
                                <w:rPr>
                                  <w:rFonts w:hint="default" w:eastAsia="宋体"/>
                                  <w:sz w:val="18"/>
                                  <w:szCs w:val="18"/>
                                  <w:lang w:val="en-US" w:eastAsia="zh-CN"/>
                                </w:rPr>
                              </w:pPr>
                              <w:r>
                                <w:rPr>
                                  <w:rFonts w:hint="eastAsia" w:eastAsia="宋体"/>
                                  <w:sz w:val="18"/>
                                  <w:szCs w:val="18"/>
                                  <w:lang w:val="en-US" w:eastAsia="zh-CN"/>
                                </w:rPr>
                                <w:t>委托有资质单位处置</w:t>
                              </w:r>
                            </w:p>
                            <w:p>
                              <w:pPr>
                                <w:rPr>
                                  <w:rFonts w:hint="eastAsia"/>
                                  <w:lang w:eastAsia="zh-CN"/>
                                </w:rPr>
                              </w:pPr>
                            </w:p>
                          </w:txbxContent>
                        </v:textbox>
                      </v:shape>
                      <v:shape id="文本框 986" o:spid="_x0000_s1026" o:spt="202" type="#_x0000_t202" style="position:absolute;left:2247900;top:1086485;height:254000;width:358775;"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BQgfkZ1wEAAJADAAAOAAAA&#10;ZHJzL2Uyb0RvYy54bWytU82O0zAQviPxDpbvNNnQv42argTVckGAtPAAruM0lmKP8bhNygPAG3Di&#10;wp3n6nMwdtpdWC574OLY4y/fzPfNeHUzmI4dlEcNtuJXk5wzZSXU2u4q/unj7YslZxiErUUHVlX8&#10;qJDfrJ8/W/WuVAW00NXKMyKxWPau4m0IrswylK0yAifglKXLBrwRgY5+l9Ve9MRuuqzI83nWg6+d&#10;B6kQKboZL/mZ0T+FEJpGS7UBuTfKhpHVq04EkoStdsjXqdqmUTK8bxpUgXUVJ6UhrZSE9tu4ZuuV&#10;KHdeuFbLcwniKSU80mSEtpT0nmojgmB7r/+hMlp6QGjCRILJRiHJEVJxlT/y5q4VTiUtZDW6e9Px&#10;/9HKd4cPnumaJiGnxlthqOWn799OP36dfn5l18t5tKh3WBLyzhE2DK9gIPgljhSMyofGm/glTYzu&#10;i2K6uM7J5mOink+Xs9FsNQQmCfBytlwsZpxJAhSzaU5YypQ9EDmP4Y0Cw+Km4p56mSwWh7cYRugF&#10;EvNauNVdl/rZ2b8CxBkjWVQxVht3YdgOZ2lbqI+kjB4F5WnBf+Gsp5GoOH7eC684E1ZSuOLhsn0d&#10;xhnaO693Lf2V7EgZqFFJxnmo4iT8eU51PDyk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Cd50WR&#10;0wAAAAUBAAAPAAAAAAAAAAEAIAAAADgAAABkcnMvZG93bnJldi54bWxQSwECFAAUAAAACACHTuJA&#10;UIH5GdcBAACQAwAADgAAAAAAAAABACAAAAA4AQAAZHJzL2Uyb0RvYy54bWxQSwUGAAAAAAYABgBZ&#10;AQAAgQU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0.7</w:t>
                              </w:r>
                            </w:p>
                          </w:txbxContent>
                        </v:textbox>
                      </v:shape>
                      <v:shape id="文本框 986" o:spid="_x0000_s1026" o:spt="202" type="#_x0000_t202" style="position:absolute;left:1746885;top:861695;height:254000;width:326390;"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B46g4y2gEAAI8DAAAOAAAA&#10;ZHJzL2Uyb0RvYy54bWytU8GO0zAQvSPxD5bvNGl3G9Kq6UpQLRcESAsf4DpOYyn2mLHbpHwA/AEn&#10;Ltz5rn4HY6fdheWyBy7OeGbyZt6b8epmMB07KPQabMWnk5wzZSXU2u4q/unj7YuSMx+ErUUHVlX8&#10;qDy/WT9/turdUs2gha5WyAjE+mXvKt6G4JZZ5mWrjPATcMpSsAE0ItAVd1mNoid002WzPC+yHrB2&#10;CFJ5T97NGORnRHwKIDSNlmoDcm+UDSMqqk4EouRb7Txfp26bRsnwvmm8CqyrODEN6aQiZG/jma1X&#10;YrlD4Votzy2Ip7TwiJMR2lLRe6iNCILtUf8DZbRE8NCEiQSTjUSSIsRimj/S5q4VTiUuJLV396L7&#10;/wcr3x0+INM1bUK+4MwKQyM/ff92+vHr9PMrW5RFlKh3fkmZd45yw/AKBkq/+D05I/OhQRO/xInF&#10;+MvroiznnB0rXhbTYjEftVZDYJLiV7PiakFTkBSfza/zPM0ie8Bx6MMbBYZFo+JIo0wKi8NbH6gn&#10;Sr2kxLIWbnXXpXF29i8HJUZPFkmMzUYrDNvhzGwL9ZGI0ZugOi3gF8562oiK+897gYozYSW5Kx4u&#10;5uswrtDeod619FdSI1WgOaXezjsVF+HPe+rj4R2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d&#10;50WR0wAAAAUBAAAPAAAAAAAAAAEAIAAAADgAAABkcnMvZG93bnJldi54bWxQSwECFAAUAAAACACH&#10;TuJAeOoOMtoBAACPAwAADgAAAAAAAAABACAAAAA4AQAAZHJzL2Uyb0RvYy54bWxQSwUGAAAAAAYA&#10;BgBZAQAAhAU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2.8</w:t>
                              </w:r>
                            </w:p>
                          </w:txbxContent>
                        </v:textbox>
                      </v:shape>
                      <v:shape id="文本框 986" o:spid="_x0000_s1026" o:spt="202" type="#_x0000_t202" style="position:absolute;left:717550;top:276225;height:254000;width:374650;" filled="f" stroked="f" coordsize="21600,21600" o:gfxdata="UEsFBgAAAAAAAAAAAAAAAAAAAAAAAFBLAwQKAAAAAACHTuJAAAAAAAAAAAAAAAAABAAAAGRycy9Q&#10;SwMEFAAAAAgAh07iQJ3nRZHTAAAABQEAAA8AAABkcnMvZG93bnJldi54bWxNj8FOwzAQRO9I/IO1&#10;SNyo3QKlDdn00IoriLYgcXPjbRIRr6PYbcLfs3CBy0ijWc28zVejb9WZ+tgERphODCjiMriGK4T9&#10;7ulmASomy862gQnhiyKsisuL3GYuDPxK522qlJRwzCxCnVKXaR3LmryNk9ARS3YMvbdJbF9p19tB&#10;yn2rZ8bMtbcNy0JtO1rXVH5uTx7h7fn48X5nXqqNv++GMBrNfqkRr6+m5hFUojH9HcMPvqBDIUyH&#10;cGIXVYsgj6RflexhuRB7QJjdmjnoItf/6YtvUEsDBBQAAAAIAIdO4kAkdkcd1gEAAIwDAAAOAAAA&#10;ZHJzL2Uyb0RvYy54bWytU82O0zAQviPxDpbvNGnozxLVXQmq5YIAaeEBXMdpLPkPj9ukPAC8AScu&#10;3Pe5+hyMnXYXlsseuDjjmck3830zXl0PRpODDKCcZXQ6KSmRVrhG2R2jnz/dvLiiBCK3DdfOSkaP&#10;Euj1+vmzVe9rWbnO6UYGgiAW6t4z2sXo66IA0UnDYeK8tBhsXTA84jXsiibwHtGNLqqyXBS9C40P&#10;TkgA9G7GID0jhqcAurZVQm6c2Btp44gapOYRKUGnPNB17rZtpYgf2hZkJJpRZBrziUXQ3qazWK94&#10;vQvcd0qcW+BPaeERJ8OVxaL3UBseOdkH9Q+UUSI4cG2cCGeKkUhWBFlMy0fa3Hbcy8wFpQZ/Lzr8&#10;P1jx/vAxENUwOqPEcoMDP/34fvp5d/r1jby6WiSBeg815t16zIzDazfg2lz8gM7Ee2iDSV9kRDC+&#10;nC7nc9T4yGi1XFTVfBRaDpEIDL9czhYpLFJ8PivLPIjiAcYHiG+lMyQZjAacY5aXH95BxJYw9ZKS&#10;qlp3o7TOs9T2LwcmJk+ROIy9JisO2+FMbOuaI/LCB4F1Ohe+UtLjOjAKX/Y8SEq4FehmNF7MN3Hc&#10;n70PatfhX1mMXAGHlHs7L1Tagj/vuY+HR7T+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J3nRZHT&#10;AAAABQEAAA8AAAAAAAAAAQAgAAAAOAAAAGRycy9kb3ducmV2LnhtbFBLAQIUABQAAAAIAIdO4kAk&#10;dkcd1gEAAIwDAAAOAAAAAAAAAAEAIAAAADgBAABkcnMvZTJvRG9jLnhtbFBLBQYAAAAABgAGAFkB&#10;AACABQ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150</w:t>
                              </w:r>
                            </w:p>
                          </w:txbxContent>
                        </v:textbox>
                      </v:shape>
                      <w10:wrap type="none"/>
                      <w10:anchorlock/>
                    </v:group>
                  </w:pict>
                </mc:Fallback>
              </mc:AlternateContent>
            </w:r>
          </w:p>
          <w:p>
            <w:pPr>
              <w:jc w:val="center"/>
              <w:rPr>
                <w:rFonts w:hint="eastAsia" w:ascii="Times New Roman" w:hAnsi="Times New Roman" w:eastAsia="宋体"/>
                <w:b/>
                <w:bCs/>
                <w:caps w:val="0"/>
                <w:color w:val="auto"/>
                <w:sz w:val="24"/>
              </w:rPr>
            </w:pPr>
          </w:p>
          <w:p>
            <w:pPr>
              <w:spacing w:line="360" w:lineRule="auto"/>
              <w:jc w:val="center"/>
              <w:rPr>
                <w:rFonts w:ascii="Times New Roman" w:hAnsi="Times New Roman" w:eastAsia="宋体"/>
                <w:b/>
                <w:bCs/>
                <w:caps w:val="0"/>
                <w:color w:val="auto"/>
                <w:sz w:val="24"/>
              </w:rPr>
            </w:pPr>
            <w:r>
              <w:rPr>
                <w:rFonts w:hint="eastAsia" w:ascii="Times New Roman" w:hAnsi="Times New Roman" w:eastAsia="宋体"/>
                <w:b/>
                <w:bCs/>
                <w:caps w:val="0"/>
                <w:color w:val="auto"/>
                <w:sz w:val="24"/>
              </w:rPr>
              <w:t>图2-1本项目水平衡图t/a</w:t>
            </w:r>
          </w:p>
          <w:p>
            <w:pPr>
              <w:pStyle w:val="9"/>
              <w:spacing w:line="360" w:lineRule="auto"/>
              <w:ind w:firstLine="470" w:firstLineChars="196"/>
              <w:jc w:val="left"/>
              <w:rPr>
                <w:rFonts w:hint="eastAsia" w:ascii="Times New Roman" w:hAnsi="Times New Roman" w:eastAsia="宋体"/>
                <w:b/>
                <w:bCs/>
                <w:caps w:val="0"/>
                <w:color w:val="auto"/>
                <w:sz w:val="24"/>
              </w:rPr>
            </w:pPr>
            <w:r>
              <w:rPr>
                <w:rFonts w:hint="eastAsia" w:ascii="Times New Roman" w:hAnsi="Times New Roman" w:eastAsia="宋体"/>
                <w:caps w:val="0"/>
                <w:color w:val="auto"/>
                <w:sz w:val="24"/>
                <w:lang w:val="en-US" w:eastAsia="zh-CN"/>
              </w:rPr>
              <w:t>技改后全厂</w:t>
            </w:r>
            <w:r>
              <w:rPr>
                <w:rFonts w:hint="eastAsia" w:ascii="Times New Roman" w:hAnsi="Times New Roman" w:eastAsia="宋体"/>
                <w:caps w:val="0"/>
                <w:color w:val="auto"/>
                <w:sz w:val="24"/>
              </w:rPr>
              <w:t>水平衡见下图：</w:t>
            </w:r>
            <w:r>
              <w:rPr>
                <w:rFonts w:ascii="Times New Roman" w:hAnsi="Times New Roman" w:eastAsia="宋体"/>
                <w:caps w:val="0"/>
                <w:color w:val="auto"/>
                <w:szCs w:val="21"/>
              </w:rPr>
              <mc:AlternateContent>
                <mc:Choice Requires="wpc">
                  <w:drawing>
                    <wp:inline distT="0" distB="0" distL="114300" distR="114300">
                      <wp:extent cx="5067300" cy="1485900"/>
                      <wp:effectExtent l="0" t="0" r="0" b="0"/>
                      <wp:docPr id="144" name="画布 3"/>
                      <wp:cNvGraphicFramePr/>
                      <a:graphic xmlns:a="http://schemas.openxmlformats.org/drawingml/2006/main">
                        <a:graphicData uri="http://schemas.microsoft.com/office/word/2010/wordprocessingCanvas">
                          <wpc:wpc>
                            <wpc:bg>
                              <a:noFill/>
                            </wpc:bg>
                            <wpc:whole>
                              <a:ln>
                                <a:noFill/>
                              </a:ln>
                            </wpc:whole>
                            <wps:wsp>
                              <wps:cNvPr id="145" name="文本框 970"/>
                              <wps:cNvSpPr txBox="1"/>
                              <wps:spPr>
                                <a:xfrm>
                                  <a:off x="254000" y="642620"/>
                                  <a:ext cx="546100" cy="241300"/>
                                </a:xfrm>
                                <a:prstGeom prst="rect">
                                  <a:avLst/>
                                </a:prstGeom>
                                <a:solidFill>
                                  <a:srgbClr val="FFFFFF"/>
                                </a:solidFill>
                                <a:ln>
                                  <a:noFill/>
                                </a:ln>
                              </wps:spPr>
                              <wps:txbx>
                                <w:txbxContent>
                                  <w:p>
                                    <w:pPr>
                                      <w:rPr>
                                        <w:rFonts w:hint="default" w:eastAsia="宋体"/>
                                        <w:sz w:val="18"/>
                                        <w:szCs w:val="21"/>
                                        <w:lang w:val="en-US" w:eastAsia="zh-CN"/>
                                      </w:rPr>
                                    </w:pPr>
                                    <w:r>
                                      <w:rPr>
                                        <w:rFonts w:hint="eastAsia"/>
                                        <w:sz w:val="18"/>
                                        <w:szCs w:val="21"/>
                                        <w:lang w:val="en-US" w:eastAsia="zh-CN"/>
                                      </w:rPr>
                                      <w:t>967.5</w:t>
                                    </w:r>
                                  </w:p>
                                </w:txbxContent>
                              </wps:txbx>
                              <wps:bodyPr vert="horz" wrap="square" anchor="t" anchorCtr="0" upright="1"/>
                            </wps:wsp>
                            <wps:wsp>
                              <wps:cNvPr id="146" name="文本框 972"/>
                              <wps:cNvSpPr txBox="1"/>
                              <wps:spPr>
                                <a:xfrm>
                                  <a:off x="1078865" y="429895"/>
                                  <a:ext cx="92710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18"/>
                                        <w:szCs w:val="18"/>
                                      </w:rPr>
                                      <w:t>职工生活用水</w:t>
                                    </w:r>
                                  </w:p>
                                </w:txbxContent>
                              </wps:txbx>
                              <wps:bodyPr vert="horz" wrap="square" anchor="t" anchorCtr="0" upright="1"/>
                            </wps:wsp>
                            <wps:wsp>
                              <wps:cNvPr id="148" name="文本框 973"/>
                              <wps:cNvSpPr txBox="1"/>
                              <wps:spPr>
                                <a:xfrm>
                                  <a:off x="2593975" y="438150"/>
                                  <a:ext cx="800100" cy="260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化粪池</w:t>
                                    </w:r>
                                  </w:p>
                                </w:txbxContent>
                              </wps:txbx>
                              <wps:bodyPr vert="horz" wrap="square" anchor="t" anchorCtr="0" upright="1"/>
                            </wps:wsp>
                            <wps:wsp>
                              <wps:cNvPr id="149" name="直线 974"/>
                              <wps:cNvCnPr/>
                              <wps:spPr>
                                <a:xfrm flipV="1">
                                  <a:off x="3416300" y="568960"/>
                                  <a:ext cx="646430" cy="6985"/>
                                </a:xfrm>
                                <a:prstGeom prst="line">
                                  <a:avLst/>
                                </a:prstGeom>
                                <a:ln w="9525" cap="flat" cmpd="sng">
                                  <a:solidFill>
                                    <a:srgbClr val="000000"/>
                                  </a:solidFill>
                                  <a:prstDash val="solid"/>
                                  <a:headEnd type="none" w="med" len="med"/>
                                  <a:tailEnd type="triangle" w="med" len="med"/>
                                </a:ln>
                              </wps:spPr>
                              <wps:bodyPr/>
                            </wps:wsp>
                            <wps:wsp>
                              <wps:cNvPr id="150" name="自选图形 984"/>
                              <wps:cNvCnPr/>
                              <wps:spPr>
                                <a:xfrm flipV="1">
                                  <a:off x="1490980" y="273685"/>
                                  <a:ext cx="305435" cy="156845"/>
                                </a:xfrm>
                                <a:prstGeom prst="curvedConnector3">
                                  <a:avLst>
                                    <a:gd name="adj1" fmla="val 50104"/>
                                  </a:avLst>
                                </a:prstGeom>
                                <a:ln w="9525" cap="flat" cmpd="sng">
                                  <a:solidFill>
                                    <a:srgbClr val="000000"/>
                                  </a:solidFill>
                                  <a:prstDash val="solid"/>
                                  <a:headEnd type="none" w="med" len="med"/>
                                  <a:tailEnd type="arrow" w="med" len="med"/>
                                </a:ln>
                              </wps:spPr>
                              <wps:bodyPr/>
                            </wps:wsp>
                            <wps:wsp>
                              <wps:cNvPr id="151" name="文本框 985"/>
                              <wps:cNvSpPr txBox="1"/>
                              <wps:spPr>
                                <a:xfrm>
                                  <a:off x="1555750" y="12700"/>
                                  <a:ext cx="874395" cy="26797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111.5</w:t>
                                    </w:r>
                                  </w:p>
                                </w:txbxContent>
                              </wps:txbx>
                              <wps:bodyPr vert="horz" wrap="square" anchor="t" anchorCtr="0" upright="1"/>
                            </wps:wsp>
                            <wps:wsp>
                              <wps:cNvPr id="152" name="文本框 986"/>
                              <wps:cNvSpPr txBox="1"/>
                              <wps:spPr>
                                <a:xfrm>
                                  <a:off x="2061210" y="347980"/>
                                  <a:ext cx="551180"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851</w:t>
                                    </w:r>
                                  </w:p>
                                </w:txbxContent>
                              </wps:txbx>
                              <wps:bodyPr vert="horz" wrap="square" anchor="t" anchorCtr="0" upright="1"/>
                            </wps:wsp>
                            <wps:wsp>
                              <wps:cNvPr id="153" name="文本框 986"/>
                              <wps:cNvSpPr txBox="1"/>
                              <wps:spPr>
                                <a:xfrm>
                                  <a:off x="3493135" y="378460"/>
                                  <a:ext cx="510540" cy="2032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851</w:t>
                                    </w:r>
                                  </w:p>
                                </w:txbxContent>
                              </wps:txbx>
                              <wps:bodyPr vert="horz" wrap="square" anchor="t" anchorCtr="0" upright="1"/>
                            </wps:wsp>
                            <wps:wsp>
                              <wps:cNvPr id="155" name="任意多边形 13"/>
                              <wps:cNvSpPr/>
                              <wps:spPr>
                                <a:xfrm>
                                  <a:off x="251460" y="899795"/>
                                  <a:ext cx="517525" cy="76200"/>
                                </a:xfrm>
                                <a:custGeom>
                                  <a:avLst/>
                                  <a:gdLst/>
                                  <a:ahLst/>
                                  <a:cxnLst/>
                                  <a:rect l="0" t="0" r="0" b="0"/>
                                  <a:pathLst>
                                    <a:path w="925" h="1">
                                      <a:moveTo>
                                        <a:pt x="0" y="0"/>
                                      </a:moveTo>
                                      <a:cubicBezTo>
                                        <a:pt x="308" y="0"/>
                                        <a:pt x="617" y="0"/>
                                        <a:pt x="925"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159" name="任意多边形 14"/>
                              <wps:cNvSpPr/>
                              <wps:spPr>
                                <a:xfrm>
                                  <a:off x="2018665" y="568325"/>
                                  <a:ext cx="563880" cy="635"/>
                                </a:xfrm>
                                <a:custGeom>
                                  <a:avLst/>
                                  <a:gdLst/>
                                  <a:ahLst/>
                                  <a:cxnLst/>
                                  <a:rect l="0" t="0" r="0" b="0"/>
                                  <a:pathLst>
                                    <a:path w="888" h="1">
                                      <a:moveTo>
                                        <a:pt x="0" y="0"/>
                                      </a:moveTo>
                                      <a:cubicBezTo>
                                        <a:pt x="296" y="0"/>
                                        <a:pt x="592" y="0"/>
                                        <a:pt x="888"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160" name="文本框 396"/>
                              <wps:cNvSpPr txBox="1"/>
                              <wps:spPr>
                                <a:xfrm>
                                  <a:off x="4036060" y="410210"/>
                                  <a:ext cx="1020445" cy="379730"/>
                                </a:xfrm>
                                <a:prstGeom prst="rect">
                                  <a:avLst/>
                                </a:prstGeom>
                                <a:noFill/>
                                <a:ln>
                                  <a:noFill/>
                                </a:ln>
                              </wps:spPr>
                              <wps:txbx>
                                <w:txbxContent>
                                  <w:p>
                                    <w:pPr>
                                      <w:jc w:val="center"/>
                                      <w:rPr>
                                        <w:rFonts w:hint="eastAsia" w:ascii="宋体" w:hAnsi="宋体" w:eastAsia="宋体" w:cs="宋体"/>
                                        <w:sz w:val="18"/>
                                        <w:szCs w:val="18"/>
                                        <w:lang w:eastAsia="zh-CN"/>
                                      </w:rPr>
                                    </w:pPr>
                                    <w:r>
                                      <w:rPr>
                                        <w:rFonts w:hint="eastAsia" w:ascii="宋体" w:hAnsi="宋体" w:cs="宋体"/>
                                        <w:sz w:val="18"/>
                                        <w:szCs w:val="18"/>
                                      </w:rPr>
                                      <w:t>接管</w:t>
                                    </w:r>
                                    <w:r>
                                      <w:rPr>
                                        <w:rFonts w:hint="eastAsia" w:ascii="宋体" w:hAnsi="宋体" w:cs="宋体"/>
                                        <w:sz w:val="18"/>
                                        <w:szCs w:val="18"/>
                                        <w:lang w:eastAsia="zh-CN"/>
                                      </w:rPr>
                                      <w:t>如皋市下原镇污水处理厂</w:t>
                                    </w:r>
                                  </w:p>
                                </w:txbxContent>
                              </wps:txbx>
                              <wps:bodyPr vert="horz" wrap="square" lIns="0" tIns="0" rIns="0" bIns="0" anchor="t" anchorCtr="0" upright="1"/>
                            </wps:wsp>
                            <wps:wsp>
                              <wps:cNvPr id="161" name="文本框 985"/>
                              <wps:cNvSpPr txBox="1"/>
                              <wps:spPr>
                                <a:xfrm>
                                  <a:off x="224790" y="913130"/>
                                  <a:ext cx="549910" cy="251460"/>
                                </a:xfrm>
                                <a:prstGeom prst="rect">
                                  <a:avLst/>
                                </a:prstGeom>
                                <a:noFill/>
                                <a:ln>
                                  <a:noFill/>
                                </a:ln>
                              </wps:spPr>
                              <wps:txbx>
                                <w:txbxContent>
                                  <w:p>
                                    <w:pPr>
                                      <w:rPr>
                                        <w:sz w:val="18"/>
                                        <w:szCs w:val="21"/>
                                      </w:rPr>
                                    </w:pPr>
                                    <w:r>
                                      <w:rPr>
                                        <w:rFonts w:hint="eastAsia"/>
                                        <w:sz w:val="18"/>
                                        <w:szCs w:val="21"/>
                                      </w:rPr>
                                      <w:t>自来水</w:t>
                                    </w:r>
                                  </w:p>
                                </w:txbxContent>
                              </wps:txbx>
                              <wps:bodyPr vert="horz" wrap="square" anchor="t" anchorCtr="0" upright="1"/>
                            </wps:wsp>
                            <wps:wsp>
                              <wps:cNvPr id="162" name="任意多边形 13"/>
                              <wps:cNvSpPr/>
                              <wps:spPr>
                                <a:xfrm>
                                  <a:off x="780415" y="560070"/>
                                  <a:ext cx="293370" cy="76200"/>
                                </a:xfrm>
                                <a:custGeom>
                                  <a:avLst/>
                                  <a:gdLst/>
                                  <a:ahLst/>
                                  <a:cxnLst/>
                                  <a:rect l="0" t="0" r="0" b="0"/>
                                  <a:pathLst>
                                    <a:path w="925" h="1">
                                      <a:moveTo>
                                        <a:pt x="0" y="0"/>
                                      </a:moveTo>
                                      <a:cubicBezTo>
                                        <a:pt x="308" y="0"/>
                                        <a:pt x="617" y="0"/>
                                        <a:pt x="925"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163" name="直接连接符 64"/>
                              <wps:cNvCnPr/>
                              <wps:spPr>
                                <a:xfrm>
                                  <a:off x="780415" y="544830"/>
                                  <a:ext cx="6985" cy="711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文本框 972"/>
                              <wps:cNvSpPr txBox="1"/>
                              <wps:spPr>
                                <a:xfrm>
                                  <a:off x="1079500" y="1144905"/>
                                  <a:ext cx="102171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18"/>
                                        <w:szCs w:val="18"/>
                                        <w:lang w:val="en-US" w:eastAsia="zh-CN"/>
                                      </w:rPr>
                                      <w:t>切削液配制</w:t>
                                    </w:r>
                                    <w:r>
                                      <w:rPr>
                                        <w:rFonts w:hint="eastAsia"/>
                                        <w:sz w:val="18"/>
                                        <w:szCs w:val="18"/>
                                      </w:rPr>
                                      <w:t>用水</w:t>
                                    </w:r>
                                  </w:p>
                                </w:txbxContent>
                              </wps:txbx>
                              <wps:bodyPr vert="horz" wrap="square" anchor="t" anchorCtr="0" upright="1"/>
                            </wps:wsp>
                            <wps:wsp>
                              <wps:cNvPr id="165" name="任意多边形 13"/>
                              <wps:cNvSpPr/>
                              <wps:spPr>
                                <a:xfrm>
                                  <a:off x="782320" y="1268730"/>
                                  <a:ext cx="293370" cy="76200"/>
                                </a:xfrm>
                                <a:custGeom>
                                  <a:avLst/>
                                  <a:gdLst/>
                                  <a:ahLst/>
                                  <a:cxnLst/>
                                  <a:rect l="0" t="0" r="0" b="0"/>
                                  <a:pathLst>
                                    <a:path w="925" h="1">
                                      <a:moveTo>
                                        <a:pt x="0" y="0"/>
                                      </a:moveTo>
                                      <a:cubicBezTo>
                                        <a:pt x="308" y="0"/>
                                        <a:pt x="617" y="0"/>
                                        <a:pt x="925" y="0"/>
                                      </a:cubicBezTo>
                                    </a:path>
                                  </a:pathLst>
                                </a:custGeom>
                                <a:noFill/>
                                <a:ln w="9525" cap="flat" cmpd="sng">
                                  <a:solidFill>
                                    <a:srgbClr val="000000"/>
                                  </a:solidFill>
                                  <a:prstDash val="solid"/>
                                  <a:headEnd type="none" w="med" len="med"/>
                                  <a:tailEnd type="triangle" w="med" len="med"/>
                                </a:ln>
                              </wps:spPr>
                              <wps:bodyPr vert="horz" wrap="square" anchor="t" anchorCtr="0" upright="1"/>
                            </wps:wsp>
                            <wps:wsp>
                              <wps:cNvPr id="166" name="自选图形 984"/>
                              <wps:cNvCnPr/>
                              <wps:spPr>
                                <a:xfrm flipV="1">
                                  <a:off x="1438910" y="985520"/>
                                  <a:ext cx="305435" cy="156845"/>
                                </a:xfrm>
                                <a:prstGeom prst="curvedConnector3">
                                  <a:avLst>
                                    <a:gd name="adj1" fmla="val 50104"/>
                                  </a:avLst>
                                </a:prstGeom>
                                <a:ln w="9525" cap="flat" cmpd="sng">
                                  <a:solidFill>
                                    <a:srgbClr val="000000"/>
                                  </a:solidFill>
                                  <a:prstDash val="solid"/>
                                  <a:headEnd type="none" w="med" len="med"/>
                                  <a:tailEnd type="arrow" w="med" len="med"/>
                                </a:ln>
                              </wps:spPr>
                              <wps:bodyPr/>
                            </wps:wsp>
                            <wps:wsp>
                              <wps:cNvPr id="167" name="文本框 986"/>
                              <wps:cNvSpPr txBox="1"/>
                              <wps:spPr>
                                <a:xfrm>
                                  <a:off x="767715" y="1057910"/>
                                  <a:ext cx="254635"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5</w:t>
                                    </w:r>
                                  </w:p>
                                </w:txbxContent>
                              </wps:txbx>
                              <wps:bodyPr vert="horz" wrap="square" anchor="t" anchorCtr="0" upright="1"/>
                            </wps:wsp>
                            <wps:wsp>
                              <wps:cNvPr id="168" name="直线 974"/>
                              <wps:cNvCnPr/>
                              <wps:spPr>
                                <a:xfrm flipV="1">
                                  <a:off x="2110105" y="1268095"/>
                                  <a:ext cx="646430" cy="6985"/>
                                </a:xfrm>
                                <a:prstGeom prst="line">
                                  <a:avLst/>
                                </a:prstGeom>
                                <a:ln w="9525" cap="flat" cmpd="sng">
                                  <a:solidFill>
                                    <a:srgbClr val="000000"/>
                                  </a:solidFill>
                                  <a:prstDash val="solid"/>
                                  <a:headEnd type="none" w="med" len="med"/>
                                  <a:tailEnd type="triangle" w="med" len="med"/>
                                </a:ln>
                              </wps:spPr>
                              <wps:bodyPr/>
                            </wps:wsp>
                            <wps:wsp>
                              <wps:cNvPr id="169" name="文本框 396"/>
                              <wps:cNvSpPr txBox="1"/>
                              <wps:spPr>
                                <a:xfrm>
                                  <a:off x="2748915" y="1181100"/>
                                  <a:ext cx="1143000" cy="205740"/>
                                </a:xfrm>
                                <a:prstGeom prst="rect">
                                  <a:avLst/>
                                </a:prstGeom>
                                <a:noFill/>
                                <a:ln>
                                  <a:noFill/>
                                </a:ln>
                              </wps:spPr>
                              <wps:txbx>
                                <w:txbxContent>
                                  <w:p>
                                    <w:pPr>
                                      <w:jc w:val="center"/>
                                      <w:rPr>
                                        <w:rFonts w:hint="default" w:eastAsia="宋体"/>
                                        <w:sz w:val="18"/>
                                        <w:szCs w:val="18"/>
                                        <w:lang w:val="en-US" w:eastAsia="zh-CN"/>
                                      </w:rPr>
                                    </w:pPr>
                                    <w:r>
                                      <w:rPr>
                                        <w:rFonts w:hint="eastAsia" w:eastAsia="宋体"/>
                                        <w:sz w:val="18"/>
                                        <w:szCs w:val="18"/>
                                        <w:lang w:val="en-US" w:eastAsia="zh-CN"/>
                                      </w:rPr>
                                      <w:t>委托有资质单位处置</w:t>
                                    </w:r>
                                  </w:p>
                                  <w:p>
                                    <w:pPr>
                                      <w:rPr>
                                        <w:rFonts w:hint="eastAsia"/>
                                        <w:lang w:eastAsia="zh-CN"/>
                                      </w:rPr>
                                    </w:pPr>
                                  </w:p>
                                </w:txbxContent>
                              </wps:txbx>
                              <wps:bodyPr vert="horz" wrap="square" lIns="0" tIns="0" rIns="0" bIns="0" anchor="t" anchorCtr="0" upright="1"/>
                            </wps:wsp>
                            <wps:wsp>
                              <wps:cNvPr id="170" name="文本框 986"/>
                              <wps:cNvSpPr txBox="1"/>
                              <wps:spPr>
                                <a:xfrm>
                                  <a:off x="2247900" y="1086485"/>
                                  <a:ext cx="254635" cy="2540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1</w:t>
                                    </w:r>
                                  </w:p>
                                </w:txbxContent>
                              </wps:txbx>
                              <wps:bodyPr vert="horz" wrap="square" anchor="t" anchorCtr="0" upright="1"/>
                            </wps:wsp>
                            <wps:wsp>
                              <wps:cNvPr id="171" name="文本框 986"/>
                              <wps:cNvSpPr txBox="1"/>
                              <wps:spPr>
                                <a:xfrm>
                                  <a:off x="1746885" y="861695"/>
                                  <a:ext cx="254635" cy="254000"/>
                                </a:xfrm>
                                <a:prstGeom prst="rect">
                                  <a:avLst/>
                                </a:prstGeom>
                                <a:noFill/>
                                <a:ln>
                                  <a:noFill/>
                                </a:ln>
                              </wps:spPr>
                              <wps:txbx>
                                <w:txbxContent>
                                  <w:p>
                                    <w:pPr>
                                      <w:rPr>
                                        <w:rFonts w:hint="default" w:eastAsia="宋体"/>
                                        <w:sz w:val="18"/>
                                        <w:szCs w:val="21"/>
                                        <w:lang w:val="en-US" w:eastAsia="zh-CN"/>
                                      </w:rPr>
                                    </w:pPr>
                                    <w:r>
                                      <w:rPr>
                                        <w:rFonts w:hint="eastAsia" w:eastAsia="宋体"/>
                                        <w:sz w:val="18"/>
                                        <w:szCs w:val="21"/>
                                        <w:lang w:val="en-US" w:eastAsia="zh-CN"/>
                                      </w:rPr>
                                      <w:t>4</w:t>
                                    </w:r>
                                  </w:p>
                                </w:txbxContent>
                              </wps:txbx>
                              <wps:bodyPr vert="horz" wrap="square" anchor="t" anchorCtr="0" upright="1"/>
                            </wps:wsp>
                            <wps:wsp>
                              <wps:cNvPr id="172" name="文本框 970"/>
                              <wps:cNvSpPr txBox="1"/>
                              <wps:spPr>
                                <a:xfrm>
                                  <a:off x="622300" y="307975"/>
                                  <a:ext cx="467360" cy="241300"/>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962.5</w:t>
                                    </w:r>
                                  </w:p>
                                </w:txbxContent>
                              </wps:txbx>
                              <wps:bodyPr vert="horz" wrap="square" anchor="t" anchorCtr="0" upright="1"/>
                            </wps:wsp>
                          </wpc:wpc>
                        </a:graphicData>
                      </a:graphic>
                    </wp:inline>
                  </w:drawing>
                </mc:Choice>
                <mc:Fallback>
                  <w:pict>
                    <v:group id="画布 3" o:spid="_x0000_s1026" o:spt="203" style="height:117pt;width:399pt;" coordsize="5067300,1485900" editas="canvas" o:gfxdata="UEsFBgAAAAAAAAAAAAAAAAAAAAAAAFBLAwQKAAAAAACHTuJAAAAAAAAAAAAAAAAABAAAAGRycy9Q&#10;SwMEFAAAAAgAh07iQDvYDYDXAAAABQEAAA8AAABkcnMvZG93bnJldi54bWxNj0FLw0AQhe9C/8My&#10;BS9id1uL1phNDwWxiFBMtedtdkyC2dk0u03qv3fqpV4ePN7w3jfp8uQa0WMXak8aphMFAqnwtqZS&#10;w8f2+XYBIkRD1jSeUMMPBlhmo6vUJNYP9I59HkvBJRQSo6GKsU2kDEWFzoSJb5E4+/KdM5FtV0rb&#10;mYHLXSNnSt1LZ2rihcq0uKqw+M6PTsNQbPrd9u1Fbm52a0+H9WGVf75qfT2eqicQEU/xcgxnfEaH&#10;jJn2/kg2iEYDPxL/lLOHxwXbvYbZ3VyBzFL5nz77BVBLAwQUAAAACACHTuJA5SHWKsQHAAChNQAA&#10;DgAAAGRycy9lMm9Eb2MueG1s7VvPj9tEFL4j8T9YvtN4/GNsR81W6m5bISGo1MLd6ziJkX9hezdp&#10;T0ggKi5wQRwoQgIBB9QjB6Ci/WfY3fJf8L0Z20mcpLvZRstumx62k/F47HnvzXvf+974+o1JHCmH&#10;QV6EadJT2TVNVYLET/thMuypH96//Y6jKkXpJX0vSpOgpz4ICvXGzttvXR9n3UBPR2nUD3IFkyRF&#10;d5z11FFZZt1Op/BHQewV19IsSHBxkOaxV+JnPuz0c2+M2eOoo2sa74zTvJ/lqR8UBXr35EW1mjE/&#10;y4TpYBD6wV7qH8RBUspZ8yDySiypGIVZoe6Itx0MAr/8YDAoglKJeipWWoq/eAja+/S3s3Pd6w5z&#10;LxuFfvUK3lleobWm2AsTPLSZas8rPeUgDxemikM/T4t0UF7z07gjFyIkglUwrSWbO3l6kIm1DLvj&#10;YdYIHYpqSf3c0/rvH97NlbAPSzBNVUm8GCo/+ebp0R+fKQZJZ5wNuxh0J8/uZXfzqmMof9GCJ4M8&#10;pv+xFGUi5PqgkWswKRUfnZbGbUODyH1cY6ZjufghJO+PoJ6F+/zRrVPu7NQP7tD7Na8zzmCTxVRQ&#10;xasJ6t7IywIh/4Jk0AjKqgV1/O2j4++fHP/4heLaYkX0AhhJolLKyc0Ui2dSikW3QOcSiemWqZFs&#10;IBpu6lyvJNPIzuSsFp1uMhIjJNes3+tmeVHeCdJYoUZPzWHywhK9w/eKUg6th9DTizQK+7fDKBI/&#10;8uH+bpQrhx62x23xr5p9bliU0OAkpdvkjNQD0deLolY52Z/gIjX30/4DCABOBi80SvOHqjLGFuup&#10;xScHXh6oipf46O6pZd3cLeWePMjycDjCXUJq4gnQp5z1AhTLlylWrxW4pmKZZjsOh61As6buOq5F&#10;E3ndWrOubk81y+3Kgi5as8q4p7qWjtf0SUMDeFE04wweoUiGwpLmbKGYNRkYLtmutIm5YWRye14x&#10;kqYlLsnVx2EZ5EIOo8Dr30r6Svkgg89JEGxgJj01DvqqEgWITdQSI0svjM4yErJ7TQ0TMVm65lmP&#10;U/nnc3gc13DtyjANh1ktl+NoCEWVt9a5ZsjrW8PcGqZ0xLOh0K0N8+Tx7yd/PUccNGnPVnFwN6kg&#10;Qx0oZNhWBlGYfUROnvxhhRwMk3EBEuAuLe64vGWV3OSmUVkldx3hTFfbZBTCndDsK8JglFy04zuv&#10;uyvz0EuG0QrnuNzlyQBMbpkUcYERFK6iclQvHv3276dfHj1+dvT3T4rrnNcqmOlqriPhkW4bXOp9&#10;GkQNzTINCl6ELGE25il24R/kh0F/N00S4KQ0N6Y2QsYy7Fdv7/U/ZqoyiCMkAwBHigWPKJYAeQuL&#10;EhBsFlddHYPy8jwdLw+1l82aoIOFsCctoHIw6wBtZlmWTQZKpqLbErdMLcmxTQMQTViSvgE41sBl&#10;CUreBPxs6cv0xWcCwjr60jXOdCb1ZZg2eQGBBmv8bFmMkWegrV8lUeTx6sxw7czoTVSYsUmFGaZr&#10;MHLGUIhhO2Y7glsMzrpWmGaADCKFbhW2jPpZQT1YkK70iP88fXr8+ddHP3/34tmfFGJZOxuAaMlJ&#10;rmQdGOmHVOW4rt3OTS1my5wQ121wEm1N+QeSdJhFWBQ+JeWAGDmqW/4kqZtETbyUh8u8ku6jSakp&#10;EBplpqMaKsbpYXA/FdfLFmsEM5pe9Q/2Q/9m8HB2rKEhicJyKi+SiQk4sxc7XXpmPRLzzs6Gn/Rq&#10;MvzXryvGTAUy50hef5h59Xgeq8laFnbRLE6lYHXKLtKYwyuKB+DTgOHghimmsLjh1CGKwzPiImyl&#10;pkwvbBM5Dkx/I5tId0GR1VsDW0FsIstF3G93imfWndtNVKl+CT11VclSih5tcG7APKodsyZZamoG&#10;16qAZDKNcN/cTkKXZiK5E2jPAFkKKmB+N9XJ2Bl58DknTXu26YCxLlHTOvR29G6CygPkU9aNvG7s&#10;141LSoHzjaZcug7cLlGGy4ANW0q1TNclgC8RvAAkl1anl1VfTcq1EMrWA4S2o5lM4h6La5osZ00j&#10;me4aBvqEqraAcAZewltsASEVNinZuLKxrMmDQWMff/XLi+c/4O/Jk18VPgsIV9DZFD0qEnt2F5mm&#10;03Z4greWe4ixxayqFcJO47CbiEUBi/IMQEzaosvqeIoXDVFS88tcMJ5ztbqNlPSUKIyRS84WBJdE&#10;0f+NmIYeF9CKa79Cade1qEQGgMtwcMLVWsCfEIxN7lSEtg2wiasV9rKy/UUnn9viLs4lrTzOs4LT&#10;ofxxI5yO7egg1aRR6typIPI2hoskdUvqLBysWJ7oXNkY3hze2Vjp0XBEegInj3qz1T6ZtS09rn10&#10;5+qUHjl44Ta74TrnZTdsbgs0QHBBs2yyqjl2A+UrogerRFicB9wmwjgmvEZlhDdHpF75JIrOGMr9&#10;MhdmCKRauzqyPYqy7Jzey8IJWfMFH0XhDck/PTN3fn5St00Eg8ommAMLaW1hpAE4vVQxJDo2OSqd&#10;l3YPX2GCkkiozTlmSVBWmFlzOM6mbz3zzNcca31XsCK/sZdSyucNpcw2uQMtUertcMbbvnkbSs/+&#10;fckqhTWc8tRznv/7Bq7r9bFOQ0PhprXBTHwaQnUfQZRs4PuGOVJsw3WdtWsAiHniyx1R9q2+MqJP&#10;g2Z/i8g4/bJq5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WAAAAZHJzL1BLAQIUABQAAAAIAIdO4kA72A2A1wAAAAUBAAAPAAAAAAAAAAEA&#10;IAAAADgAAABkcnMvZG93bnJldi54bWxQSwECFAAUAAAACACHTuJA5SHWKsQHAAChNQAADgAAAAAA&#10;AAABACAAAAA8AQAAZHJzL2Uyb0RvYy54bWxQSwUGAAAAAAYABgBZAQAAcgsAAAAA&#10;">
                      <o:lock v:ext="edit" aspectratio="f"/>
                      <v:shape id="画布 3" o:spid="_x0000_s1026" style="position:absolute;left:0;top:0;height:1485900;width:5067300;" filled="f" stroked="f" coordsize="21600,21600" o:gfxdata="UEsFBgAAAAAAAAAAAAAAAAAAAAAAAFBLAwQKAAAAAACHTuJAAAAAAAAAAAAAAAAABAAAAGRycy9Q&#10;SwMEFAAAAAgAh07iQDvYDYDXAAAABQEAAA8AAABkcnMvZG93bnJldi54bWxNj0FLw0AQhe9C/8My&#10;BS9id1uL1phNDwWxiFBMtedtdkyC2dk0u03qv3fqpV4ePN7w3jfp8uQa0WMXak8aphMFAqnwtqZS&#10;w8f2+XYBIkRD1jSeUMMPBlhmo6vUJNYP9I59HkvBJRQSo6GKsU2kDEWFzoSJb5E4+/KdM5FtV0rb&#10;mYHLXSNnSt1LZ2rihcq0uKqw+M6PTsNQbPrd9u1Fbm52a0+H9WGVf75qfT2eqicQEU/xcgxnfEaH&#10;jJn2/kg2iEYDPxL/lLOHxwXbvYbZ3VyBzFL5nz77BVBLAwQUAAAACACHTuJAyMc/IowHAAAcNQAA&#10;DgAAAGRycy9lMm9Eb2MueG1s7VtNj9tEGL4j8R8s32k8/hjbq2YrdZciJASVWrg7jpMY+Qvb2WR7&#10;4lBRcYEbB4qQQMAB9cgFKto/Q7flX/C8M3biOMl2sxuW3ZI97E48s5OZeZ/3fd6P8c1b0zhSjoK8&#10;CNOkq7IbmqoEiZ/2w2TYVT++f+cdR1WK0kv6XpQmQVc9Dgr11v7bb92cZHuBno7SqB/kCiZJir1J&#10;1lVHZZntdTqFPwpir7iRZkGCzkGax16Jj/mw08+9CWaPo46uabwzSfN+lqd+UBR4eig71WrG/CwT&#10;poNB6AeHqT+Og6SUs+ZB5JXYUjEKs0LdF6sdDAK//GgwKIJSiboqdlqK3/gStHv0u7N/09sb5l42&#10;Cv1qCd5ZltDaU+yFCb50NtWhV3rKOA+XpopDP0+LdFDe8NO4IzciTgS7YFrrbA685MiTm/Fx1vUC&#10;0drivL0hrTtJ74RRhNPoYPY9ekZ/J5B2QN1RsjhIPhFjqzGTDHAoshkwiost8d7IywIhxmLP//Do&#10;bq6EfaDVtFQl8WLA8uSbRyffPTn54QvFtYUYaQEYeS/D2HJ6O51iOImXnhd4SBuYDvKY/uLcFfTr&#10;lqlpQMJxV+WmzvUKDsG0VHx0WyZn1O2jXzeZgTYd0HyaLC/K94I0VqjRVXOgTYDAO/qgKOXQegh9&#10;a5FGYZ+OWXzIh72DKFeOPCDzjvipZl8Ytvbg603R9sppb1rttJf2j3EA0G8saJTmD1RlAnR31eKz&#10;sZcHquIlPh531bJuHpRSHcZZHg5H+C9xahCtkKc8v0sQLF8lWL0W4IaCZZrtOBxYgeRM3XVciyby&#10;9mrJuro9lyy3KwRdtmSVSVd1LR3L9ElCAxgwNOMMQC+SoUDSAhaKJmQAXMKuRNnCMILcoVeMJLRE&#10;l9x9HJZBLs5hFHj9d5O+Uh5nUKUEdh4w6apx0FeVKAAtUEuMLL0wOstInB1BVcBGatubAkzQ4bLF&#10;Meh0aIcbAlO3XMO1K2AaDrNaJsfRwAK1yeGaIft3wNwBcwa3GRW6NTBfPv7t5R/PwYNmA5UHyV3S&#10;dcJok/2UQRRmn5CRb/CgYTJO7Ebm0uKOy1uo5CY3jQqV3HWEMV2PySiEOaHZ19BglFy24TuvuSvz&#10;0EuG0RrjuNrkSQLGyV82g8JUVIbq1aNf//78yxePn73480fFdc6LCma6mutIVOi2waXc5yRqaJZp&#10;EHkBNQywgW9G217rHvnj/CjoH6RJAj8pzY05Rggsw361eq//KVOVQRzBD4dzpFiwiGILmFkgSnxH&#10;06+6PoDy8jydrKbaq4YmyGCJ9iQCzkF7zLIsmwBKUNFt6bfMkeTYpgEXTTraW3DHZsHMKYFLbRbf&#10;EDfF0lfJizcIYaPASONMZ1JehmmTFYBqzwVmWYyRZRCRkQyiTlX910VG/0eBGdsUmGG6BiNjDAUz&#10;bMdsM7jFYKxrgWkG8jCn2+qdwJb8LQunKy3iX0+fnjz8+sVP37569jtRLGtHA9CFtt/V8LZ0i5F8&#10;SFSO69rt2NRitowJ0W8jJ9GWlD+WSYemh0X0KVMO4MhR3fKnSd0keZ6aAsu8kv6PJqWm8NAoMh3V&#10;rmKcHgX3U9FfUu5EbqBe3LzXH/dC/3bwoDnW0BBEYTuVFcnEBJzZyw9d+s56JCixORs+0tIk/dfL&#10;FWPmB7JgSN58N/P65XmsWdSypEVNP5XI6jVapDGHVykeOJ8GgIN/aFAUN5yaojgsIzqBlToBeGlK&#10;5DiA/laUSHeRIqtVA6oglMhywfvth+I764c7JapEvyI9dV2TpcQebefcADwqjdkwJ2VqBtcqQjKZ&#10;Rn7fgibhkWZS4p28PQPJUqQCFrWpDsbOmAdfMNKks7MHAOsKMW2S3o7eT1B5wPmUdSOvG726cUVT&#10;4HyrIZeuw2+XJO0y+IYtoVqm65KDLz144ZBcWZleVXnNQq4lKtvMIbQdzWTS77G4psly1pzJdNcw&#10;8EyIaucQNtxLWIudQ0iFTQo2ri2XzeJgpLFPvvr51fPv8fvlk18U3nQI16SziT2qYm5Ti0zTaRs8&#10;kbeWOsTYclTVorDX5bBnjEWERXEGXExS0VV1PMWLhiip+WUuMp4LtbqtlPSUKIwRSzYLgitY9D9L&#10;TEOOS96Ka1+gtOtaVa2CMRM56pbjTx6MTeZUUNsWsonrBXZa2f6yg89dcRdXgtbepFlznYTix63k&#10;dGxHR1JNhGJM507lIu84XASpu6TO0sWK1YHOteXw2eWdrZUeDUeEJ4g4UW+2oFoLIemu9Ljx1Z3r&#10;U3rkyAu3sxuuc97shs1t4Q0ASaiB2ISqBSjhDiClB6tAWNwH3AXCuKG76j7qOhadXZG68E0UnTGU&#10;+2UsTESqtasju6soq+7pnUYnhGYKEHGHU0aK//5lTj5L8s9v6Z4/P6nbJsigwgRzgJCWCiMMwO2l&#10;OpkFJUel88rq8DVOUFISanuGWSYoK59Zc7jZvl+0s8xnf1NgjWW2V6aUz0ulzDa5AylRwcnhjLdt&#10;805gFxfYLKc8t5znf7+B63p9rdPQULhpZUpMjlt9tdncwvsNC0mxLdd1Nq4BgPPw/krmi7Jv9YIP&#10;vZXT/CyYcf5S0/4/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FgAAAGRycy9QSwECFAAUAAAACACHTuJAO9gNgNcAAAAFAQAADwAAAAAAAAAB&#10;ACAAAAA4AAAAZHJzL2Rvd25yZXYueG1sUEsBAhQAFAAAAAgAh07iQMjHPyKMBwAAHDUAAA4AAAAA&#10;AAAAAQAgAAAAPAEAAGRycy9lMm9Eb2MueG1sUEsFBgAAAAAGAAYAWQEAADoLAAAAAA==&#10;">
                        <v:fill on="f" focussize="0,0"/>
                        <v:stroke on="f"/>
                        <v:imagedata o:title=""/>
                        <o:lock v:ext="edit" aspectratio="f"/>
                      </v:shape>
                      <v:shape id="文本框 970" o:spid="_x0000_s1026" o:spt="202" type="#_x0000_t202" style="position:absolute;left:254000;top:642620;height:241300;width:546100;" fillcolor="#FFFFFF" filled="t" stroked="f" coordsize="21600,21600" o:gfxdata="UEsFBgAAAAAAAAAAAAAAAAAAAAAAAFBLAwQKAAAAAACHTuJAAAAAAAAAAAAAAAAABAAAAGRycy9Q&#10;SwMEFAAAAAgAh07iQGp/b8jUAAAABQEAAA8AAABkcnMvZG93bnJldi54bWxNj0FPwkAQhe8m/ofN&#10;kHgxsgWRQumWRBONV5AfMO0ObWN3tukuFP69oxe5vOTlTd77Jt9eXKfONITWs4HZNAFFXHnbcm3g&#10;8PX+tAIVIrLFzjMZuFKAbXF/l2Nm/cg7Ou9jraSEQ4YGmhj7TOtQNeQwTH1PLNnRDw6j2KHWdsBR&#10;yl2n50my1A5bloUGe3prqPren5yB4+f4+LIey494SHeL5Su2aemvxjxMZskGVKRL/D+GX3xBh0KY&#10;Sn9iG1RnQB6JfypZul6JLQ3MnxcJ6CLXt/TFD1BLAwQUAAAACACHTuJAW4qH+egBAAC3AwAADgAA&#10;AGRycy9lMm9Eb2MueG1srVPNjtMwEL4j8Q6W7zRpSAtbNV2JrcoFAdKyD+A6TmLJf4zdJuUB4A04&#10;ceHOc/U5GDvZLSyXPZCDM54ZfzPf5/H6etCKHAV4aU1F57OcEmG4raVpK3r3affiNSU+MFMzZY2o&#10;6El4er15/mzdu5UobGdVLYAgiPGr3lW0C8GtsszzTmjmZ9YJg8HGgmYBt9BmNbAe0bXKijxfZr2F&#10;2oHlwnv0bscgnRDhKYC2aSQXW8sPWpgwooJQLCAl30nn6SZ12zSChw9N40UgqqLINKQVi6C9j2u2&#10;WbNVC8x1kk8tsKe08IiTZtJg0QeoLQuMHED+A6UlB+ttE2bc6mwkkhRBFvP8kTa3HXMicUGpvXsQ&#10;3f8/WP7++BGIrHESygUlhmm88vP3b+cfv84/v5KrV0mi3vkVZt46zA3DGztgepQu+j06I/OhAR3/&#10;yIlgvFiUeY4qnyq6LItlMUkthkA4hhflch7DHONFOX+JNuJlFxgHPrwVVpNoVBTwJpPA7PjOhzH1&#10;PiVW9VbJeieVShto9zcKyJHhre/SN6H/laZMTDY2HhsRoye7kIpWGPbDxHRv6xMKgG8HG+osfKGk&#10;x8mpqP98YCAoYYaju6Lh3rwJ46gdHMi2w1NJtVQB7zPxnWYvDsyf+9TH5b1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qf2/I1AAAAAUBAAAPAAAAAAAAAAEAIAAAADgAAABkcnMvZG93bnJldi54&#10;bWxQSwECFAAUAAAACACHTuJAW4qH+egBAAC3AwAADgAAAAAAAAABACAAAAA5AQAAZHJzL2Uyb0Rv&#10;Yy54bWxQSwUGAAAAAAYABgBZAQAAkwUAAAAA&#10;">
                        <v:fill on="t"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967.5</w:t>
                              </w:r>
                            </w:p>
                          </w:txbxContent>
                        </v:textbox>
                      </v:shape>
                      <v:shape id="文本框 972" o:spid="_x0000_s1026" o:spt="202" type="#_x0000_t202" style="position:absolute;left:1078865;top:429895;height:267970;width:927100;" fillcolor="#FFFFFF" filled="t" stroked="t" coordsize="21600,21600" o:gfxdata="UEsFBgAAAAAAAAAAAAAAAAAAAAAAAFBLAwQKAAAAAACHTuJAAAAAAAAAAAAAAAAABAAAAGRycy9Q&#10;SwMEFAAAAAgAh07iQGQ0KP/VAAAABQEAAA8AAABkcnMvZG93bnJldi54bWxNj81OwzAQhO9IvIO1&#10;SFwQtfujNg1xekACwQ0Kgqsbb5MIex1sNy1vz8IFLiONZjXzbbU5eSdGjKkPpGE6USCQmmB7ajW8&#10;vtxdFyBSNmSNC4QavjDBpj4/q0xpw5GecdzmVnAJpdJo6HIeSilT06E3aRIGJM72IXqT2cZW2miO&#10;XO6dnCm1lN70xAudGfC2w+Zje/AaisXD+J4e509vzXLv1vlqNd5/Rq0vL6bqBkTGU/47hh98Roea&#10;mXbhQDYJp4Efyb/K2WpdsN1pmM0XCmRdyf/09TdQSwMEFAAAAAgAh07iQC86Fo03AgAAdwQAAA4A&#10;AABkcnMvZTJvRG9jLnhtbK1US5LTMBDdU8UdVNoTe1wz+dU4U8WEsKGAqoEDKLIcq0o/JCVxOADc&#10;gBUb9pwr5+BJznxhMQu8sFtS63W/192+vOq1Ijvhg7SmpmejkhJhuG2k2dT086fVqyklITLTMGWN&#10;qOlBBHq1ePnicu/morKdVY3wBCAmzPeupl2Mbl4UgXdCszCyThgcttZrFrH0m6LxbA90rYqqLMfF&#10;3vrGectFCNhdDof0hOifA2jbVnKxtHyrhYkDqheKRVAKnXSBLnK2bSt4/NC2QUSiagqmMb8RBPY6&#10;vYvFJZtvPHOd5KcU2HNSeMJJM2kQ9A5qySIjWy//gtKSextsG0fc6mIgkhUBi7PyiTY3HXMic4HU&#10;wd2JHv4fLH+/++iJbNAJ52NKDNMo+fHH9+PP38df38hsUiWJ9i7M4Xnj4Bv717aH++1+wGZi3rde&#10;py84kXReTqbT8QUlh5qeV7Pp7GLQWvSRcJzPqslZiSpwnFfjyWySa1Hc4zgf4lthNUlGTT1KmRVm&#10;u3chIie43rqksMEq2aykUnnhN+tr5cmOoeyr/KTouPLITRmyRyYXFdLkDL3coodgagc9gtnkeI9u&#10;hIfAZX7+BZwSW7LQDQlkhIG9llH43HOdYM0b05B4cFDcYNRoSkaLhhIlMJnJyp6RSfUcT7BTBiRT&#10;sYaiJCv26x4wyVzb5oACYvahZ2f9V0RE54Pqly3ziM8Mx3ZNocFgXsdhVLbOy02HW7nqOQL6MQt6&#10;mp3U8A/XOY/7/8X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GQ0KP/VAAAABQEAAA8AAAAAAAAA&#10;AQAgAAAAOAAAAGRycy9kb3ducmV2LnhtbFBLAQIUABQAAAAIAIdO4kAvOhaNNwIAAHcEAAAOAAAA&#10;AAAAAAEAIAAAADoBAABkcnMvZTJvRG9jLnhtbFBLBQYAAAAABgAGAFkBAADjBQAAAAA=&#10;">
                        <v:fill on="t" focussize="0,0"/>
                        <v:stroke color="#000000" joinstyle="miter"/>
                        <v:imagedata o:title=""/>
                        <o:lock v:ext="edit" aspectratio="f"/>
                        <v:textbox>
                          <w:txbxContent>
                            <w:p>
                              <w:pPr>
                                <w:jc w:val="center"/>
                                <w:rPr>
                                  <w:szCs w:val="21"/>
                                </w:rPr>
                              </w:pPr>
                              <w:r>
                                <w:rPr>
                                  <w:rFonts w:hint="eastAsia"/>
                                  <w:sz w:val="18"/>
                                  <w:szCs w:val="18"/>
                                </w:rPr>
                                <w:t>职工生活用水</w:t>
                              </w:r>
                            </w:p>
                          </w:txbxContent>
                        </v:textbox>
                      </v:shape>
                      <v:shape id="文本框 973" o:spid="_x0000_s1026" o:spt="202" type="#_x0000_t202" style="position:absolute;left:2593975;top:438150;height:260350;width:800100;" fillcolor="#FFFFFF" filled="t" stroked="t" coordsize="21600,21600" o:gfxdata="UEsFBgAAAAAAAAAAAAAAAAAAAAAAAFBLAwQKAAAAAACHTuJAAAAAAAAAAAAAAAAABAAAAGRycy9Q&#10;SwMEFAAAAAgAh07iQGQ0KP/VAAAABQEAAA8AAABkcnMvZG93bnJldi54bWxNj81OwzAQhO9IvIO1&#10;SFwQtfujNg1xekACwQ0Kgqsbb5MIex1sNy1vz8IFLiONZjXzbbU5eSdGjKkPpGE6USCQmmB7ajW8&#10;vtxdFyBSNmSNC4QavjDBpj4/q0xpw5GecdzmVnAJpdJo6HIeSilT06E3aRIGJM72IXqT2cZW2miO&#10;XO6dnCm1lN70xAudGfC2w+Zje/AaisXD+J4e509vzXLv1vlqNd5/Rq0vL6bqBkTGU/47hh98Roea&#10;mXbhQDYJp4Efyb/K2WpdsN1pmM0XCmRdyf/09TdQSwMEFAAAAAgAh07iQFxYwYo3AgAAdwQAAA4A&#10;AABkcnMvZTJvRG9jLnhtbK1US5LTMBDdU8UdVNoTe5LJTOIaZ6qYEDYUUDVwAEWWY1Xph6QkDgeA&#10;G7Biw55zzTl4kjNfWMwCL+yWuvW63+uWLy57rchO+CCtqenJqKREGG4baTY1/fxp9WpGSYjMNExZ&#10;I2p6EIFeLl6+uNi7SoxtZ1UjPAGICdXe1bSL0VVFEXgnNAsj64SBs7Ves4il3xSNZ3uga1WMy/Ks&#10;2FvfOG+5CAG7y8FJj4j+OYC2bSUXS8u3Wpg4oHqhWASl0EkX6CJX27aCxw9tG0QkqqZgGvMbSWCv&#10;07tYXLBq45nrJD+WwJ5TwhNOmkmDpHdQSxYZ2Xr5F5SW3Ntg2zjiVhcDkawIWJyUT7S57pgTmQuk&#10;Du5O9PD/YPn73UdPZINJOEXjDdNo+c2P7zc/f9/8+kbm55Mk0d6FCpHXDrGxf217hN/uB2wm5n3r&#10;dfqCE4F/PJ1P5udTSg41PZ3MTqZHrUUfCYd/VoIvusDhH5+Vk8Ff3OM4H+JbYTVJRk09WpkVZrt3&#10;IaImhN6GpLTBKtmspFJ54TfrK+XJjqHtq/ykcnHkUZgyZF/T+XSMMjnDLLeYIZjaQY9gNjnfoxPh&#10;IXCZn38Bp8KWLHRDARkhhbFKyyh8tjrBmjemIfHgoLjBVaOpGC0aSpTAzUxWjoxMqudEgp0yIJma&#10;NTQlWbFf94BJ5to2BzQQdx96dtZ/RUZMPqh+2TKP/MxwbNcUGgzmVRyuytZ5uelwKnc9Z8A8ZkGP&#10;dycN/MN1ruP+f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GQ0KP/VAAAABQEAAA8AAAAAAAAA&#10;AQAgAAAAOAAAAGRycy9kb3ducmV2LnhtbFBLAQIUABQAAAAIAIdO4kBcWMGKNwIAAHcEAAAOAAAA&#10;AAAAAAEAIAAAADoBAABkcnMvZTJvRG9jLnhtbFBLBQYAAAAABgAGAFkBAADjBQAAAAA=&#10;">
                        <v:fill on="t" focussize="0,0"/>
                        <v:stroke color="#000000" joinstyle="miter"/>
                        <v:imagedata o:title=""/>
                        <o:lock v:ext="edit" aspectratio="f"/>
                        <v:textbox>
                          <w:txbxContent>
                            <w:p>
                              <w:pPr>
                                <w:jc w:val="center"/>
                                <w:rPr>
                                  <w:sz w:val="18"/>
                                  <w:szCs w:val="18"/>
                                </w:rPr>
                              </w:pPr>
                              <w:r>
                                <w:rPr>
                                  <w:rFonts w:hint="eastAsia"/>
                                  <w:sz w:val="18"/>
                                  <w:szCs w:val="18"/>
                                </w:rPr>
                                <w:t>化粪池</w:t>
                              </w:r>
                            </w:p>
                          </w:txbxContent>
                        </v:textbox>
                      </v:shape>
                      <v:line id="直线 974" o:spid="_x0000_s1026" o:spt="20" style="position:absolute;left:3416300;top:568960;flip:y;height:6985;width:646430;" filled="f" stroked="t" coordsize="21600,21600" o:gfxdata="UEsFBgAAAAAAAAAAAAAAAAAAAAAAAFBLAwQKAAAAAACHTuJAAAAAAAAAAAAAAAAABAAAAGRycy9Q&#10;SwMEFAAAAAgAh07iQH7ABczWAAAABQEAAA8AAABkcnMvZG93bnJldi54bWxNj8FOwzAQRO9I/IO1&#10;SNyonVKgDXF6QCBxQtAiJG5usiSh8TrY26bw9Sxc4DLSaFYzb4vlwfdqjzF1gSxkEwMKqQp1R42F&#10;5/Xd2RxUYke16wOhhU9MsCyPjwqX12GkJ9yvuFFSQil3FlrmIdc6VS16lyZhQJLsLUTvWGxsdB3d&#10;KOW+11NjLrV3HclC6wa8abHarnbewmI9XoTHuH2ZZd3H69ftOw/3D2zt6UlmrkExHvjvGH7wBR1K&#10;YdqEHdVJ9RbkEf5Vya4Wc7EbC9PzmQFdFvo/ffkNUEsDBBQAAAAIAIdO4kBvFil//gEAAO4DAAAO&#10;AAAAZHJzL2Uyb0RvYy54bWytU0tu2zAQ3RfoHQjua/mr2oLlLOKmm6I10Db7MUVKBPgDyVj2WXqN&#10;rrrpcXKNDik1aVIUyKJaEEPO45t5T8Pt1VkrcuI+SGtqOptMKeGG2UaatqZfv9y8WVMSIpgGlDW8&#10;phce6NXu9att7yo+t51VDfcESUyoelfTLkZXFUVgHdcQJtZxg0lhvYaIW98WjYce2bUq5tNpWfTW&#10;N85bxkPA0/2QpCOjfwmhFUIyvrfsTnMTB1bPFUSUFDrpAt3lboXgLH4SIvBIVE1RacwrFsH4mNZi&#10;t4Wq9eA6ycYW4CUtPNOkQRos+kC1hwjkzsu/qLRk3gYr4oRZXQxCsiOoYjZ95s3nDhzPWtDq4B5M&#10;D/+Pln08HTyRDU7CckOJAY2//P7b9/sfP8nm7TL507tQIezaHPy4C+7gk9iz8JoIJd0tXs/yURA5&#10;13SxnJWLKXp8qemqXG/K0Wh+joRhvlyWywWmGebLzXqVyhQDX+J1PsT33GqSgpoqaZILUMHpQ4gD&#10;9DckHStD+ppuVvMVMgKOpMBRwFA7lBVMm+8Gq2RzI5VKN4Jvj9fKkxOkscjf2MITWCqyh9ANuJxK&#10;MKg6Ds0705B4cWiXwXdCUwuaN5Qojs8qRRkZQapHZPQSTKv+gUYHlEEjkuGDxSk62uaSnc/nOAbZ&#10;qnFk05z9uc+3H5/p7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wAXM1gAAAAUBAAAPAAAAAAAA&#10;AAEAIAAAADgAAABkcnMvZG93bnJldi54bWxQSwECFAAUAAAACACHTuJAbxYpf/4BAADuAwAADgAA&#10;AAAAAAABACAAAAA7AQAAZHJzL2Uyb0RvYy54bWxQSwUGAAAAAAYABgBZAQAAqwUAAAAA&#10;">
                        <v:fill on="f" focussize="0,0"/>
                        <v:stroke color="#000000" joinstyle="round" endarrow="block"/>
                        <v:imagedata o:title=""/>
                        <o:lock v:ext="edit" aspectratio="f"/>
                      </v:line>
                      <v:shape id="自选图形 984" o:spid="_x0000_s1026" o:spt="38" type="#_x0000_t38" style="position:absolute;left:1490980;top:273685;flip:y;height:156845;width:305435;" filled="f" stroked="t" coordsize="21600,21600" o:gfxdata="UEsFBgAAAAAAAAAAAAAAAAAAAAAAAFBLAwQKAAAAAACHTuJAAAAAAAAAAAAAAAAABAAAAGRycy9Q&#10;SwMEFAAAAAgAh07iQIkCm53RAAAABQEAAA8AAABkcnMvZG93bnJldi54bWxNj8FOwzAMhu9IvENk&#10;JG4sWUHQdk13mAQcERsPkDVeU0icqsm27u0xXOBi6ddvff7crOfgxQmnNETSsFwoEEhdtAP1Gj52&#10;z3cliJQNWeMjoYYLJli311eNqW080zuetrkXDKFUGw0u57GWMnUOg0mLOCJxd4hTMJnj1Es7mTPD&#10;g5eFUo8ymIH4gjMjbhx2X9tj0FB8VrvXUuHbS7woPyvnN1Xhtb69WaoViIxz/luGH31Wh5ad9vFI&#10;NgmvgR/Jv5O7p6rkuGfw/YMC2Tbyv337DVBLAwQUAAAACACHTuJAGSbMqioCAAAsBAAADgAAAGRy&#10;cy9lMm9Eb2MueG1srVNLjhMxEN0jcQfLe9KdT4ckSmcWCcMGQSQ+e8eftJF/sp10smOHOAM7lnMH&#10;uM1IM7eg7G5mYGAxC3rRqnKVX9V7VV5enLRCR+6DtKbGw0GJETfUMmn2NX7/7vLZDKMQiWFEWcNr&#10;fOYBX6yePlm2bsFHtrGKcY8AxIRF62rcxOgWRRFowzUJA+u4gaCwXpMIrt8XzJMW0LUqRmU5LVrr&#10;mfOW8hDgdNMFcY/oHwNohZCUbyw9aG5ih+q5IhEohUa6gFe5WyE4jW+ECDwiVWNgGvMfioC9S/9i&#10;tSSLvSeukbRvgTymhQecNJEGit5BbUgk6ODlX1BaUm+DFXFArS46IlkRYDEsH2jztiGOZy4gdXB3&#10;oof/B0tfH7ceSQabUIEmhmgY+c3nq9tPX66//rj+/g3NZ5OkUuvCApLXZut7L7itT5RPwmsklHQf&#10;ACSLALTQCZzJvJzPAPVc49Hz8XRWdXLzU0QU4uOymowrjCjEh9V0NsnxokNMyM6H+JJbjZJRY3rw&#10;R87W1hgYq/XjXIscX4WYlWd994R9HGIktIJBHolCFQibKQBynw3WL+x0VRnU1nhejVIzBHZawC6B&#10;qR3oEsw+FwpWSXYplUo3gt/v1sojwIctyl/iBrh/pKUiGxKaLi+HOgkaTtgLw1A8O9DbwEPDqQXN&#10;GUaKw7tMVt7NSKS6zyTe2/bfqVBbGWghDaobTbJ2lp3zxPI5LFFusl/4tKW/+/n2/SNf/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JApud0QAAAAUBAAAPAAAAAAAAAAEAIAAAADgAAABkcnMvZG93&#10;bnJldi54bWxQSwECFAAUAAAACACHTuJAGSbMqioCAAAsBAAADgAAAAAAAAABACAAAAA2AQAAZHJz&#10;L2Uyb0RvYy54bWxQSwUGAAAAAAYABgBZAQAA0gUAAAAA&#10;" adj="10822">
                        <v:fill on="f" focussize="0,0"/>
                        <v:stroke color="#000000" joinstyle="round" endarrow="open"/>
                        <v:imagedata o:title=""/>
                        <o:lock v:ext="edit" aspectratio="f"/>
                      </v:shape>
                      <v:shape id="文本框 985" o:spid="_x0000_s1026" o:spt="202" type="#_x0000_t202" style="position:absolute;left:1555750;top:12700;height:267970;width:874395;"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Bn559b1gEAAI4DAAAOAAAA&#10;ZHJzL2Uyb0RvYy54bWytU8GO0zAQvSPxD5bv1GkhmzZquhJUywUB0sIHuI7TWIo9xnablA+AP+DE&#10;hft+V7+DsZPuwnLZAxdnPDN5M+/NeH096I4cpfMKTEXns4wSaQTUyuwr+vnTzYslJT5wU/MOjKzo&#10;SXp6vXn+bN3bUi6gha6WjiCI8WVvK9qGYEvGvGil5n4GVhoMNuA0D3h1e1Y73iO67tgiy65YD662&#10;DoT0Hr3bMUgnRPcUQGgaJeQWxEFLE0ZUJzsekJJvlfV0k7ptGinCh6bxMpCuosg0pBOLoL2LJ9us&#10;ebl33LZKTC3wp7TwiJPmymDRe6gtD5wcnPoHSivhwEMTZgI0G4kkRZDFPHukzW3LrUxcUGpv70X3&#10;/w9WvD9+dETVuAn5nBLDNY78/OP7+efd+dc3slrmUaLe+hIzby3mhuE1DJh+8Xt0RuZD43T8IicS&#10;43meFznKfEJ7UWST1HIIRGB4Wbx6ucopERheXBWrIsXZA4x1PryVoEk0KupwkklgfnznA7aEqZeU&#10;WNXAjeq6NM3O/OXAxOhhkcPYa7TCsBsmYjuoT8gLnwTWacF9paTHhaio/3LgTlLCjUB3RcPFfBPG&#10;DTpYp/Yt/pXESBVwTKm3aaXiHvx5T308PKP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NcHdELT&#10;AAAABQEAAA8AAAAAAAAAAQAgAAAAOAAAAGRycy9kb3ducmV2LnhtbFBLAQIUABQAAAAIAIdO4kBn&#10;559b1gEAAI4DAAAOAAAAAAAAAAEAIAAAADgBAABkcnMvZTJvRG9jLnhtbFBLBQYAAAAABgAGAFkB&#10;AACABQ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111.5</w:t>
                              </w:r>
                            </w:p>
                          </w:txbxContent>
                        </v:textbox>
                      </v:shape>
                      <v:shape id="文本框 986" o:spid="_x0000_s1026" o:spt="202" type="#_x0000_t202" style="position:absolute;left:2061210;top:347980;height:254000;width:551180;"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AqA9ld2QEAAI8DAAAOAAAA&#10;ZHJzL2Uyb0RvYy54bWytU82O0zAQviPxDpbvND9sSzdquhJUywUB0sIDuI7TWLI9xnablAeAN+DE&#10;hfs+V5+DsZPusruXPXBxxjOTb+b7Zry6GrQiB+G8BFPTYpZTIgyHRppdTb9+uX61pMQHZhqmwIia&#10;HoWnV+uXL1a9rUQJHahGOIIgxle9rWkXgq2yzPNOaOZnYIXBYAtOs4BXt8sax3pE1yor83yR9eAa&#10;64AL79G7GYN0QnTPAYS2lVxsgO+1MGFEdUKxgJR8J62n69Rt2woePrWtF4GomiLTkE4sgvY2ntl6&#10;xaqdY7aTfGqBPaeFR5w0kwaL3kFtWGBk7+QTKC25Aw9tmHHQ2UgkKYIsivyRNjcdsyJxQam9vRPd&#10;/z9Y/vHw2RHZ4CbMS0oM0zjy06+fp9+3pz8/yOVyESXqra8w88ZibhjewoDpZ79HZ2Q+tE7HL3Ii&#10;GC/zRVEWKPOxpq8v3lwuJ63FEAjH+HxeFOgjHOPl/CLPUzy7x7HOh/cCNIlGTR2OMinMDh98wJ4w&#10;9ZwSyxq4lkqlcSrzwIGJ0ZNFEmOz0QrDdpiYbaE5IjF8E1inA/edkh43oqb+2545QQkzHN01DWfz&#10;XRhXaG+d3HX4V1IjVcA5pd6mnYqL8O899XH/j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NcH&#10;dELTAAAABQEAAA8AAAAAAAAAAQAgAAAAOAAAAGRycy9kb3ducmV2LnhtbFBLAQIUABQAAAAIAIdO&#10;4kAqA9ld2QEAAI8DAAAOAAAAAAAAAAEAIAAAADgBAABkcnMvZTJvRG9jLnhtbFBLBQYAAAAABgAG&#10;AFkBAACDBQ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851</w:t>
                              </w:r>
                            </w:p>
                          </w:txbxContent>
                        </v:textbox>
                      </v:shape>
                      <v:shape id="文本框 986" o:spid="_x0000_s1026" o:spt="202" type="#_x0000_t202" style="position:absolute;left:3493135;top:378460;height:203200;width:510540;"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DVy2eG1gEAAI8DAAAOAAAA&#10;ZHJzL2Uyb0RvYy54bWytU02u0zAQ3iNxB8t7mrRpS1/U9ElQPTYIkB4cwHWcxpL/GLtNygHgBqzY&#10;sOdcPQdjJ31/bN6CjTOemXwz3zfj9XWvFTkK8NKaik4nOSXCcFtLs6/ol883r1aU+MBMzZQ1oqIn&#10;4en15uWLdedKMbOtVbUAgiDGl52raBuCK7PM81Zo5ifWCYPBxoJmAa+wz2pgHaJrlc3yfJl1FmoH&#10;lgvv0bsdgnREhOcA2qaRXGwtP2hhwoAKQrGAlHwrnaeb1G3TCB4+No0XgaiKItOQTiyC9i6e2WbN&#10;yj0w10o+tsCe08ITTppJg0XvoLYsMHIA+Q+Ulhyst02YcKuzgUhSBFlM8yfa3LbMicQFpfbuTnT/&#10;/2D5h+MnILLGTVgUlBimceTnnz/Ov/6cf38nV6tllKhzvsTMW4e5oX9je0y/+D06I/O+AR2/yIlg&#10;vJhfFdNiQckJ7der+XLUWvSBcIwvpvlijlPgGJ/lBW5GBMzucRz48E5YTaJRUcBRJoXZ8b0PQ+ol&#10;JZY19kYqlcapzCMHYkZPFkkMzUYr9Lt+ZLaz9QmJ4ZvAOq2Fb5R0uBEV9V8PDAQlzHB0VzRczLdh&#10;WKGDA7lv8a+kRqqAc0o0xp2Ki/Dwnvq4f0e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NcHdELT&#10;AAAABQEAAA8AAAAAAAAAAQAgAAAAOAAAAGRycy9kb3ducmV2LnhtbFBLAQIUABQAAAAIAIdO4kDV&#10;y2eG1gEAAI8DAAAOAAAAAAAAAAEAIAAAADgBAABkcnMvZTJvRG9jLnhtbFBLBQYAAAAABgAGAFkB&#10;AACABQ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851</w:t>
                              </w:r>
                            </w:p>
                          </w:txbxContent>
                        </v:textbox>
                      </v:shape>
                      <v:shape id="任意多边形 13" o:spid="_x0000_s1026" o:spt="100" style="position:absolute;left:251460;top:899795;height:76200;width:517525;" filled="f" stroked="t" coordsize="925,1" o:gfxdata="UEsFBgAAAAAAAAAAAAAAAAAAAAAAAFBLAwQKAAAAAACHTuJAAAAAAAAAAAAAAAAABAAAAGRycy9Q&#10;SwMEFAAAAAgAh07iQL/afj3TAAAABQEAAA8AAABkcnMvZG93bnJldi54bWxNj81OwzAQhO9IvIO1&#10;SNyonVJBCHF6QOKEVKAUwXEbL4lFvI5i94e3Z+ECl5FGs5r5tl4ew6D2NCUf2UIxM6CI2+g8dxY2&#10;L/cXJaiUkR0OkcnCFyVYNqcnNVYuHviZ9uvcKSnhVKGFPuex0jq1PQVMszgSS/YRp4BZ7NRpN+FB&#10;ysOg58Zc6YCeZaHHke56aj/Xu2Bh5V43b/HRP3F4WCRTlOT5fWXt+VlhbkFlOua/Y/jBF3RohGkb&#10;d+ySGizII/lXJbu+KcVuLcwvFwZ0U+v/9M03UEsDBBQAAAAIAIdO4kCWBGWGfQIAACQFAAAOAAAA&#10;ZHJzL2Uyb0RvYy54bWytVM1uEzEQviPxDpbvZLMpSZoom0o0lAuCSi0PMPF6dy35D9v565k7d46I&#10;l0AVPA1FPAZjb/5oBeqBHDZjz/jzfN/MeHK2VpIsufPC6ILmnS4lXDNTCl0X9N31xbNTSnwAXYI0&#10;mhd0wz09mz59MlnZMe+ZxsiSO4Ig2o9XtqBNCHacZZ41XIHvGMs1OivjFARcujorHawQXcms1+0O&#10;spVxpXWGce9xd9Y66RbRPQbQVJVgfGbYQnEdWlTHJQSk5BthPZ2mbKuKs/C2qjwPRBYUmYb0xUvQ&#10;nsdvNp3AuHZgG8G2KcBjUrjHSYHQeOkeagYByMKJB1BKMGe8qUKHGZW1RJIiyCLv3tPmqgHLExeU&#10;2tu96P7/wbI3y0tHRImd0O9TokFhyX/c3v788PHuy6df37/efftM8pOo08r6MYZf2Uu3XXk0I+l1&#10;5VT8RzpkXdBeP38+QIE3BT0djYajfqsyXwfC0N3Ph/0e3sXQPxxgS0R3dkBhCx9ecZMQYfnah7ZG&#10;5c6CZmextd6ZDiv9zxpbCPFcTDOaZFXQUcyiQeapcsos+bVJ/hBZtAR2yR28bDEX7AW/OY496eLQ&#10;IJ1tP9kEMMiHDzfTnbtIJH2MhsuYWhJjn26KOQiizYWQMikidSLRagk4iRVOAMqqLFbT6zqx8kaK&#10;Mh6JxLyr5+fSkSXEaUi/rfZ/hFnnwwx808YlV1vBhkP5UpckbCx2icbngcYUFC8pkRxfk2il3AII&#10;eYgMToCu5V+ikaHUSDr2V9tR0ZqbcoOdiQ8Vzmxj3A1ehWOKzN4vwCEUaIbbBUXKrXke2rleWCfq&#10;Bk/liVwEw+FJqm4HPU7n8Tpdfnjcp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v9p+PdMAAAAF&#10;AQAADwAAAAAAAAABACAAAAA4AAAAZHJzL2Rvd25yZXYueG1sUEsBAhQAFAAAAAgAh07iQJYEZYZ9&#10;AgAAJAUAAA4AAAAAAAAAAQAgAAAAOAEAAGRycy9lMm9Eb2MueG1sUEsFBgAAAAAGAAYAWQEAACcG&#10;AAAAAA==&#10;" path="m0,0c308,0,617,0,925,0e">
                        <v:fill on="f" focussize="0,0"/>
                        <v:stroke color="#000000" joinstyle="round" endarrow="block"/>
                        <v:imagedata o:title=""/>
                        <o:lock v:ext="edit" aspectratio="f"/>
                      </v:shape>
                      <v:shape id="任意多边形 14" o:spid="_x0000_s1026" o:spt="100" style="position:absolute;left:2018665;top:568325;height:635;width:563880;" filled="f" stroked="t" coordsize="888,1" o:gfxdata="UEsFBgAAAAAAAAAAAAAAAAAAAAAAAFBLAwQKAAAAAACHTuJAAAAAAAAAAAAAAAAABAAAAGRycy9Q&#10;SwMEFAAAAAgAh07iQGd8nULWAAAABQEAAA8AAABkcnMvZG93bnJldi54bWxNj81OwzAQhO9IvIO1&#10;SNyo3fJX0jg9IHFAgkNbJMTNtZc4bbyOYjctffouvcBlpNGsZr4t54fQigH71ETSMB4pEEg2uoZq&#10;DR+rl5spiJQNOdNGQg0/mGBeXV6UpnBxTwsclrkWXEKpMBp8zl0hZbIeg0mj2CFx9h37YDLbvpau&#10;N3suD62cKPUgg2mIF7zp8Nmj3S53QcMmvK7Ivr95ORzrr3z8TPe4sVpfX43VDETGQ/47hl98RoeK&#10;mdZxRy6JVgM/ks/K2ePTlO1aw+T2ToGsSvmfvjoBUEsDBBQAAAAIAIdO4kBQgT7tgAIAACMFAAAO&#10;AAAAZHJzL2Uyb0RvYy54bWytVM1uEzEQviPxDpbvdJOUXW2ibCrRUC4IKrU8wMTr3bXkP2znr2fu&#10;3DkiXgJV8DQU8RiMvWkTWoF6IIfNtzvjb+abH09PNkqSFXdeGF3R4dGAEq6ZqYVuK/ru8uxZSYkP&#10;oGuQRvOKbrmnJ7OnT6ZrO+Ej0xlZc0eQRPvJ2la0C8FOssyzjivwR8ZyjcbGOAUBX12b1Q7WyK5k&#10;NhoMimxtXG2dYdx7/DrvjXTH6B5DaJpGMD43bKm4Dj2r4xICSvKdsJ7OUrZNw1l42zSeByIrikpD&#10;emIQxIv4zGZTmLQObCfYLgV4TAr3NCkQGoPeUc0hAFk68YBKCeaMN004YkZlvZBUEVQxHNyrzUUH&#10;lictWGpv74ru/x8te7M6d0TUOAn5mBINClv+4/r654ePN18+/fr+9ebbZzJ8Huu0tn6C7hf23O3e&#10;PMIoetM4Ff9RDtlUFJWURZFTsq1oXpTHo7wvM98EwtCeF8dliQ1gaC+OkzHbk7ClD6+4SYSweu1D&#10;36L6FkF3i9hG30KHjf5niy2EeC5mGSFZV7QscdI7FJ4ap8yKX5pkD1EE5ofppQHB5PZWtlwI9oJf&#10;HfqOxsXeGwMkgnw8evgxxTzgPWTDMDG12XQHUrqIDwuizZmQMlVE6ihinGN1CQNcxAYXAKGy2Eyv&#10;26TKGynqeCQK865dnEpHVhCXIf1iYzDEH27W+TAH3/V+ydT3r+NQv9Q1CVuLQ6LxdqAxBcVrSiTH&#10;yySilFsAIfeewQnQrfyLN4aXGrOI49UPVEQLU29xMPGewpXtjLvCULilqOz9EhxSgWb4uaIouYen&#10;oV/rpXWi7fDUMImLZLg7SeZuz+NyHr6n4Pu7bf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Z3yd&#10;QtYAAAAFAQAADwAAAAAAAAABACAAAAA4AAAAZHJzL2Rvd25yZXYueG1sUEsBAhQAFAAAAAgAh07i&#10;QFCBPu2AAgAAIwUAAA4AAAAAAAAAAQAgAAAAOwEAAGRycy9lMm9Eb2MueG1sUEsFBgAAAAAGAAYA&#10;WQEAAC0GAAAAAA==&#10;" path="m0,0c296,0,592,0,888,0e">
                        <v:fill on="f" focussize="0,0"/>
                        <v:stroke color="#000000" joinstyle="round" endarrow="block"/>
                        <v:imagedata o:title=""/>
                        <o:lock v:ext="edit" aspectratio="f"/>
                      </v:shape>
                      <v:shape id="文本框 396" o:spid="_x0000_s1026" o:spt="202" type="#_x0000_t202" style="position:absolute;left:4036060;top:410210;height:379730;width:1020445;" filled="f" stroked="f" coordsize="21600,21600" o:gfxdata="UEsFBgAAAAAAAAAAAAAAAAAAAAAAAFBLAwQKAAAAAACHTuJAAAAAAAAAAAAAAAAABAAAAGRycy9Q&#10;SwMEFAAAAAgAh07iQLq6NMTVAAAABQEAAA8AAABkcnMvZG93bnJldi54bWxNj81OwzAQhO9IvIO1&#10;lbhRuwWVNo1TIQQnJEQaDhydeJtYjdchdn94exYu5TLSaFYz3+abs+/FEcfoAmmYTRUIpCZYR62G&#10;j+rldgkiJkPW9IFQwzdG2BTXV7nJbDhRicdtagWXUMyMhi6lIZMyNh16E6dhQOJsF0ZvEtuxlXY0&#10;Jy73vZwrtZDeOOKFzgz41GGz3x68hsdPKp/d11v9Xu5KV1UrRa+LvdY3k5lag0h4Tpdj+MVndCiY&#10;qQ4HslH0GviR9KecPayWbGsN87t7BbLI5X/64gdQSwMEFAAAAAgAh07iQB5x9jHmAQAAtAMAAA4A&#10;AABkcnMvZTJvRG9jLnhtbK1TS27bMBDdF+gdCO5ryZ86jWA5QGKkKFC0BdIcgKYoiwB/GdKW3AO0&#10;N+iqm+57Lp+jQ0pK0nSTRTbUcDh8897jaHXRaUUOAry0pqTTSU6JMNxW0uxKevv1+s07SnxgpmLK&#10;GlHSo/D0Yv361ap1hZjZxqpKAEEQ44vWlbQJwRVZ5nkjNPMT64TBw9qCZgG3sMsqYC2ia5XN8nyZ&#10;tRYqB5YL7zG76Q/pgAjPAbR1LbnYWL7XwoQeFYRiASX5RjpP14ltXQsePte1F4GokqLSkFZsgvE2&#10;rtl6xYodMNdIPlBgz6HwRJNm0mDTe6gNC4zsQf4HpSUH620dJtzqrBeSHEEV0/yJNzcNcyJpQau9&#10;uzfdvxws/3T4AkRWOAlL9MQwjU9++vnj9OvP6fd3Mj9fRota5wusvHFYG7pL22H5mPeYjMq7GnT8&#10;oiaC54t8vswj5BHjaT6bDl6LLhAe7+ezfLF4SwnHgvnZ+dk8FWQPQA58eC+sJjEoKeBbJovZ4aMP&#10;SApLx5LY19hrqVR6T2X+SWBhzGRRRc82RqHbdoO0ra2OqAx/CuzTWPhGSYsjUVJ/t2cgKFEfDHoe&#10;52cMYAy2Y8AMx6slDZT04VXo52zvQO4aRE6WJRb4mIn/MHhxWh7vE9eHn23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Lq6NMTVAAAABQEAAA8AAAAAAAAAAQAgAAAAOAAAAGRycy9kb3ducmV2Lnht&#10;bFBLAQIUABQAAAAIAIdO4kAecfYx5gEAALQDAAAOAAAAAAAAAAEAIAAAADoBAABkcnMvZTJvRG9j&#10;LnhtbFBLBQYAAAAABgAGAFkBAACSBQAAAAA=&#10;">
                        <v:fill on="f" focussize="0,0"/>
                        <v:stroke on="f"/>
                        <v:imagedata o:title=""/>
                        <o:lock v:ext="edit" aspectratio="f"/>
                        <v:textbox inset="0mm,0mm,0mm,0mm">
                          <w:txbxContent>
                            <w:p>
                              <w:pPr>
                                <w:jc w:val="center"/>
                                <w:rPr>
                                  <w:rFonts w:hint="eastAsia" w:ascii="宋体" w:hAnsi="宋体" w:eastAsia="宋体" w:cs="宋体"/>
                                  <w:sz w:val="18"/>
                                  <w:szCs w:val="18"/>
                                  <w:lang w:eastAsia="zh-CN"/>
                                </w:rPr>
                              </w:pPr>
                              <w:r>
                                <w:rPr>
                                  <w:rFonts w:hint="eastAsia" w:ascii="宋体" w:hAnsi="宋体" w:cs="宋体"/>
                                  <w:sz w:val="18"/>
                                  <w:szCs w:val="18"/>
                                </w:rPr>
                                <w:t>接管</w:t>
                              </w:r>
                              <w:r>
                                <w:rPr>
                                  <w:rFonts w:hint="eastAsia" w:ascii="宋体" w:hAnsi="宋体" w:cs="宋体"/>
                                  <w:sz w:val="18"/>
                                  <w:szCs w:val="18"/>
                                  <w:lang w:eastAsia="zh-CN"/>
                                </w:rPr>
                                <w:t>如皋市下原镇污水处理厂</w:t>
                              </w:r>
                            </w:p>
                          </w:txbxContent>
                        </v:textbox>
                      </v:shape>
                      <v:shape id="文本框 985" o:spid="_x0000_s1026" o:spt="202" type="#_x0000_t202" style="position:absolute;left:224790;top:913130;height:251460;width:549910;"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AR8RSF1wEAAI4DAAAOAAAA&#10;ZHJzL2Uyb0RvYy54bWytU82O0zAQviPxDpbvNE22LZuo6UpQLRcESAsP4DpOY8l/eNwm5QHgDThx&#10;4c5z9TkYO+kuLJc9cHHGM5Nv5vtmvL4ZtCJH4UFaU9N8NqdEGG4bafY1/fTx9sU1JRCYaZiyRtT0&#10;JIDebJ4/W/euEoXtrGqEJwhioOpdTbsQXJVlwDuhGcysEwaDrfWaBbz6fdZ41iO6Vlkxn6+y3vrG&#10;ecsFAHq3Y5BOiP4pgLZtJRdbyw9amDCieqFYQErQSQd0k7ptW8HD+7YFEYiqKTIN6cQiaO/imW3W&#10;rNp75jrJpxbYU1p4xEkzabDoPdSWBUYOXv4DpSX3FmwbZtzqbCSSFEEW+fyRNncdcyJxQanB3YsO&#10;/w+Wvzt+8EQ2uAmrnBLDNI78/P3b+cev88+vpLxeRol6BxVm3jnMDcMrO2D6xQ/ojMyH1uv4RU4E&#10;40WxeFmiyqealvlVfjVJLYZAOIaXi7LMMcwxXizzxSrFswcY5yG8EVaTaNTU4ySTwOz4FgK2hKmX&#10;lFjV2FupVJqmMn85MDF6sshh7DVaYdgNE7GdbU7IC58E1ums/0JJjwtRU/h8YF5QwgxHd03DxXwd&#10;xg06OC/3Hf6VxEgVcEypt2ml4h78eU99PDyj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XB3RC&#10;0wAAAAUBAAAPAAAAAAAAAAEAIAAAADgAAABkcnMvZG93bnJldi54bWxQSwECFAAUAAAACACHTuJA&#10;EfEUhdcBAACOAwAADgAAAAAAAAABACAAAAA4AQAAZHJzL2Uyb0RvYy54bWxQSwUGAAAAAAYABgBZ&#10;AQAAgQUAAAAA&#10;">
                        <v:fill on="f" focussize="0,0"/>
                        <v:stroke on="f"/>
                        <v:imagedata o:title=""/>
                        <o:lock v:ext="edit" aspectratio="f"/>
                        <v:textbox>
                          <w:txbxContent>
                            <w:p>
                              <w:pPr>
                                <w:rPr>
                                  <w:sz w:val="18"/>
                                  <w:szCs w:val="21"/>
                                </w:rPr>
                              </w:pPr>
                              <w:r>
                                <w:rPr>
                                  <w:rFonts w:hint="eastAsia"/>
                                  <w:sz w:val="18"/>
                                  <w:szCs w:val="21"/>
                                </w:rPr>
                                <w:t>自来水</w:t>
                              </w:r>
                            </w:p>
                          </w:txbxContent>
                        </v:textbox>
                      </v:shape>
                      <v:shape id="任意多边形 13" o:spid="_x0000_s1026" o:spt="100" style="position:absolute;left:780415;top:560070;height:76200;width:293370;" filled="f" stroked="t" coordsize="925,1" o:gfxdata="UEsFBgAAAAAAAAAAAAAAAAAAAAAAAFBLAwQKAAAAAACHTuJAAAAAAAAAAAAAAAAABAAAAGRycy9Q&#10;SwMEFAAAAAgAh07iQL/afj3TAAAABQEAAA8AAABkcnMvZG93bnJldi54bWxNj81OwzAQhO9IvIO1&#10;SNyonVJBCHF6QOKEVKAUwXEbL4lFvI5i94e3Z+ECl5FGs5r5tl4ew6D2NCUf2UIxM6CI2+g8dxY2&#10;L/cXJaiUkR0OkcnCFyVYNqcnNVYuHviZ9uvcKSnhVKGFPuex0jq1PQVMszgSS/YRp4BZ7NRpN+FB&#10;ysOg58Zc6YCeZaHHke56aj/Xu2Bh5V43b/HRP3F4WCRTlOT5fWXt+VlhbkFlOua/Y/jBF3RohGkb&#10;d+ySGizII/lXJbu+KcVuLcwvFwZ0U+v/9M03UEsDBBQAAAAIAIdO4kAi7cJwfgIAACQFAAAOAAAA&#10;ZHJzL2Uyb0RvYy54bWytVM1uEzEQviPxDpbvZDcJSdoom0o0lAuCSi0PMPF6dy35D9v565k7d46I&#10;l0AVPA1FPAZjb/5oBeqBHDZjz+dv5hvPeHK2VpIsufPC6IJ2OzklXDNTCl0X9N31xbMTSnwAXYI0&#10;mhd0wz09mz59MlnZMe+ZxsiSO4Ik2o9XtqBNCHacZZ41XIHvGMs1OivjFARcujorHayQXcmsl+fD&#10;bGVcaZ1h3HvcnbVOumV0jyE0VSUYnxm2UFyHltVxCQEl+UZYT6cp26riLLytKs8DkQVFpSF9MQja&#10;8/jNphMY1w5sI9g2BXhMCvc0KRAag+6pZhCALJx4QKUEc8abKnSYUVkrJFUEVXTze7W5asDypAVL&#10;7e2+6P7/0bI3y0tHRImdMOxRokHhlf+4vf354ePdl0+/vn+9+/aZdPuxTivrxwi/spduu/JoRtHr&#10;yqn4j3LIuqCjk/x5d0DJpqCDYZ6PtlXm60AYunun/T7uEYb+0RBbIpJnBxa28OEVN4kRlq99aO+o&#10;3FnQ7Cy21jvT4U3/844thHguphlNsiroaQ+TbFB5ujlllvzaJH+IKjBDTHCX3MHLFnPBXvCbY2w/&#10;x6HZoTFAIhh2Rw83U8wdEkUfs+EyppaKsU83YQ4F0eZCSJkqInUSMYgqGOAkVjgBaCqLt+l1nVR5&#10;I0UZj0Rh3tXzc+nIEuI0pN+29n/ArPNhBr5pcckVYTBuOJQvdUnCxmKXaHweaExB8ZISyfE1iVZC&#10;BhDygAxOgK7lX9CoUGoUHfur7ahozU25wc7EhwpntjHuBkPhmKKy9wtwSAWa4XZBUXJrnod2rhfW&#10;ibrBU90kLpLh8KSqbgc9TufxOgU/PG7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L/afj3TAAAA&#10;BQEAAA8AAAAAAAAAAQAgAAAAOAAAAGRycy9kb3ducmV2LnhtbFBLAQIUABQAAAAIAIdO4kAi7cJw&#10;fgIAACQFAAAOAAAAAAAAAAEAIAAAADgBAABkcnMvZTJvRG9jLnhtbFBLBQYAAAAABgAGAFkBAAAo&#10;BgAAAAA=&#10;" path="m0,0c308,0,617,0,925,0e">
                        <v:fill on="f" focussize="0,0"/>
                        <v:stroke color="#000000" joinstyle="round" endarrow="block"/>
                        <v:imagedata o:title=""/>
                        <o:lock v:ext="edit" aspectratio="f"/>
                      </v:shape>
                      <v:line id="直接连接符 64" o:spid="_x0000_s1026" o:spt="20" style="position:absolute;left:780415;top:544830;height:711200;width:6985;" filled="f" stroked="t" coordsize="21600,21600" o:gfxdata="UEsFBgAAAAAAAAAAAAAAAAAAAAAAAFBLAwQKAAAAAACHTuJAAAAAAAAAAAAAAAAABAAAAGRycy9Q&#10;SwMEFAAAAAgAh07iQPb13y3UAAAABQEAAA8AAABkcnMvZG93bnJldi54bWxNj7FOxDAMhnck3iEy&#10;EhuX3IFoKU1vQGJAQgIKA2Ou8TWFxilNri1vj2E5Fku/fuvz53K7+F5MOMYukIb1SoFAaoLtqNXw&#10;9np/kYOIyZA1fSDU8I0RttXpSWkKG2Z6walOrWAIxcJocCkNhZSxcehNXIUBibt9GL1JHMdW2tHM&#10;DPe93Ch1Lb3piC84M+Cdw+azPnimUPa1X/rx/fnp0eX1/IEPU4Zan5+t1S2IhEs6LsOvPqtDxU67&#10;cCAbRa+BH0l/k7vsJue407C5vFIgq1L+t69+AFBLAwQUAAAACACHTuJA1+ZrnPIBAADAAwAADgAA&#10;AGRycy9lMm9Eb2MueG1srVNLbhQxEN0jcQfLe6ZnMp8MrenJIqOwQRAJOECN291tyT+5nOmZS3AB&#10;JHawYsme2xCOQdndJCFssqAX7nJ9nus9lzcXR6PZQQZUzlZ8NplyJq1wtbJtxT+8v3qx5gwj2Bq0&#10;s7LiJ4n8Yvv82ab3pTxzndO1DIxALJa9r3gXoy+LAkUnDeDEeWkp2LhgINI2tEUdoCd0o4uz6XRV&#10;9C7UPjghEcm7G4J8RAxPAXRNo4TcOXFjpI0DapAaIlHCTnnk29xt00gR3zYNysh0xYlpzCsdQvY+&#10;rcV2A2UbwHdKjC3AU1p4xMmAsnToHdQOIrCboP6BMkoEh66JE+FMMRDJihCL2fSRNu868DJzIanR&#10;34mO/w9WvDlcB6ZqmoTVnDMLhq789tP3nx+//Prxmdbbb1/ZapF06j2WlH5pr8O4Q38dEuljE0z6&#10;Ex12rPj5erqYLTk7VXy5WKzno8ryGJmg8OrlmoKCouezGU1Ewi7uQXzA+Eo6w5JRca1skgBKOLzG&#10;OKT+SUlu666U1uSHUlvWE/x8SZcrgEazoZEg03iih7blDHRLMy9iyIjotKpTdSrG0O4vdWAHSJOS&#10;v7Gxv9LS0TvAbsjLoZQGpVGRnoVWpuLrh9XaErsk3SBWsvauPmUNs58uNvMfhzBNzsN9rr5/e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9vXfLdQAAAAFAQAADwAAAAAAAAABACAAAAA4AAAAZHJz&#10;L2Rvd25yZXYueG1sUEsBAhQAFAAAAAgAh07iQNfma5zyAQAAwAMAAA4AAAAAAAAAAQAgAAAAOQEA&#10;AGRycy9lMm9Eb2MueG1sUEsFBgAAAAAGAAYAWQEAAJ0FAAAAAA==&#10;">
                        <v:fill on="f" focussize="0,0"/>
                        <v:stroke weight="0.5pt" color="#000000 [3213]" miterlimit="8" joinstyle="miter"/>
                        <v:imagedata o:title=""/>
                        <o:lock v:ext="edit" aspectratio="f"/>
                      </v:line>
                      <v:shape id="文本框 972" o:spid="_x0000_s1026" o:spt="202" type="#_x0000_t202" style="position:absolute;left:1079500;top:1144905;height:267970;width:1021715;" fillcolor="#FFFFFF" filled="t" stroked="t" coordsize="21600,21600" o:gfxdata="UEsFBgAAAAAAAAAAAAAAAAAAAAAAAFBLAwQKAAAAAACHTuJAAAAAAAAAAAAAAAAABAAAAGRycy9Q&#10;SwMEFAAAAAgAh07iQGQ0KP/VAAAABQEAAA8AAABkcnMvZG93bnJldi54bWxNj81OwzAQhO9IvIO1&#10;SFwQtfujNg1xekACwQ0Kgqsbb5MIex1sNy1vz8IFLiONZjXzbbU5eSdGjKkPpGE6USCQmmB7ajW8&#10;vtxdFyBSNmSNC4QavjDBpj4/q0xpw5GecdzmVnAJpdJo6HIeSilT06E3aRIGJM72IXqT2cZW2miO&#10;XO6dnCm1lN70xAudGfC2w+Zje/AaisXD+J4e509vzXLv1vlqNd5/Rq0vL6bqBkTGU/47hh98Roea&#10;mXbhQDYJp4Efyb/K2WpdsN1pmM0XCmRdyf/09TdQSwMEFAAAAAgAh07iQIIrfN43AgAAeQQAAA4A&#10;AABkcnMvZTJvRG9jLnhtbK1US44TMRDdI3EHy3umO1EyIVE6IzEhbBAgDRzAcbvTlvzDdpIOB4Ab&#10;sGLDfs6Vc/DsznxhkQW96C7b5Vf1XlX1/KrTiuyED9Kaig4uSkqE4baWZlPRL59Xr15TEiIzNVPW&#10;iIoeRKBXi5cv5ns3E0PbWlULTwBiwmzvKtrG6GZFEXgrNAsX1gmDw8Z6zSKWflPUnu2BrlUxLMvL&#10;Ym997bzlIgTsLvtDekL05wDappFcLC3famFij+qFYhGUQitdoIucbdMIHj82TRCRqIqCacxvBIG9&#10;Tu9iMWezjWeulfyUAjsnhWecNJMGQe+hliwysvXyLygtubfBNvGCW130RLIiYDEon2lz0zInMhdI&#10;Hdy96OH/wfIPu0+eyBqdcDmixDCNkh9//jj+uj3+/k6mk2GSaO/CDJ43Dr6xe2M7uN/tB2wm5l3j&#10;dfqCE0nn5WQ6LiHzAfZgNJqW415s0UXCs8NwMBmMKeHwGF5OppNcjeIByfkQ3wmrSTIq6lHMrDHb&#10;vQ8RWcH1ziUFDlbJeiWVygu/WV8rT3YMhV/lJ4XHlSduypB9RafjYcqDoZsbdBFM7aBIMJsc78mN&#10;8Bi4zM+/gFNiSxbaPoGM0NPXMgqfu64VrH5rahIPDpobDBtNyWhRU6IEZjNZ2TMyqc7xBDtlQDKV&#10;qy9LsmK37gCTzLWtDyghph96ttZ/Q0T0Pqh+3TKP+MxwbFcUGvTmdeyHZeu83LS4leueI6Ajs6Cn&#10;6Ukt/3id83j4Y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GQ0KP/VAAAABQEAAA8AAAAAAAAA&#10;AQAgAAAAOAAAAGRycy9kb3ducmV2LnhtbFBLAQIUABQAAAAIAIdO4kCCK3zeNwIAAHkEAAAOAAAA&#10;AAAAAAEAIAAAADoBAABkcnMvZTJvRG9jLnhtbFBLBQYAAAAABgAGAFkBAADjBQAAAAA=&#10;">
                        <v:fill on="t" focussize="0,0"/>
                        <v:stroke color="#000000" joinstyle="miter"/>
                        <v:imagedata o:title=""/>
                        <o:lock v:ext="edit" aspectratio="f"/>
                        <v:textbox>
                          <w:txbxContent>
                            <w:p>
                              <w:pPr>
                                <w:jc w:val="center"/>
                                <w:rPr>
                                  <w:szCs w:val="21"/>
                                </w:rPr>
                              </w:pPr>
                              <w:r>
                                <w:rPr>
                                  <w:rFonts w:hint="eastAsia"/>
                                  <w:sz w:val="18"/>
                                  <w:szCs w:val="18"/>
                                  <w:lang w:val="en-US" w:eastAsia="zh-CN"/>
                                </w:rPr>
                                <w:t>切削液配制</w:t>
                              </w:r>
                              <w:r>
                                <w:rPr>
                                  <w:rFonts w:hint="eastAsia"/>
                                  <w:sz w:val="18"/>
                                  <w:szCs w:val="18"/>
                                </w:rPr>
                                <w:t>用水</w:t>
                              </w:r>
                            </w:p>
                          </w:txbxContent>
                        </v:textbox>
                      </v:shape>
                      <v:shape id="任意多边形 13" o:spid="_x0000_s1026" o:spt="100" style="position:absolute;left:782320;top:1268730;height:76200;width:293370;" filled="f" stroked="t" coordsize="925,1" o:gfxdata="UEsFBgAAAAAAAAAAAAAAAAAAAAAAAFBLAwQKAAAAAACHTuJAAAAAAAAAAAAAAAAABAAAAGRycy9Q&#10;SwMEFAAAAAgAh07iQL/afj3TAAAABQEAAA8AAABkcnMvZG93bnJldi54bWxNj81OwzAQhO9IvIO1&#10;SNyonVJBCHF6QOKEVKAUwXEbL4lFvI5i94e3Z+ECl5FGs5r5tl4ew6D2NCUf2UIxM6CI2+g8dxY2&#10;L/cXJaiUkR0OkcnCFyVYNqcnNVYuHviZ9uvcKSnhVKGFPuex0jq1PQVMszgSS/YRp4BZ7NRpN+FB&#10;ysOg58Zc6YCeZaHHke56aj/Xu2Bh5V43b/HRP3F4WCRTlOT5fWXt+VlhbkFlOua/Y/jBF3RohGkb&#10;d+ySGizII/lXJbu+KcVuLcwvFwZ0U+v/9M03UEsDBBQAAAAIAIdO4kBLRDX9fgIAACUFAAAOAAAA&#10;ZHJzL2Uyb0RvYy54bWytVM1uEzEQviPxDpbvdJONmrRRNpVoKBcElVoeYOL17lryH7bz1zN37hwR&#10;L1FV8DQU8RiMvZsfWoF6IIfN2DP+PN83M56crZUkS+68MLqg/aMeJVwzUwpdF/T99cWLE0p8AF2C&#10;NJoXdMM9PZs+fzZZ2THPTWNkyR1BEO3HK1vQJgQ7zjLPGq7AHxnLNTor4xQEXLo6Kx2sEF3JLO/1&#10;htnKuNI6w7j3uDtrnbRDdE8BNFUlGJ8ZtlBchxbVcQkBKflGWE+nKduq4iy8qyrPA5EFRaYhffES&#10;tOfxm00nMK4d2EawLgV4SgoPOCkQGi/dQc0gAFk48QhKCeaMN1U4YkZlLZGkCLLo9x5oc9WA5YkL&#10;Su3tTnT//2DZ2+WlI6LEThgeU6JBYcl/3N39/Pjp/uvnX99v7799If1B1Gll/RjDr+yl61YezUh6&#10;XTkV/5EOWRd0dJIPchR4g6D58GQ06GTm60AY+vPTwWCEfoYBoyH2RETP9jBs4cNrbhIkLN/40Bap&#10;3FrQbC221lvTYan/WWQLIZ6LeUaTrAp6miPlBrNMpVNmya9N8odIo2WwTW7vZYu5YC/5zWHsoIdT&#10;g3Q6pjYBDPujx5vpzm0kkj5Ew2VMLYmxSzfF7AXR5kJImRSROpE4jiwY4ChWOAJoKovl9LpOrLyR&#10;ooxHIjHv6vm5dGQJcRzSr9P+jzDrfJiBb9q45IphMG44lK90ScLGYptofB9oTEHxkhLJ8TmJVooM&#10;IOQ+MjgBupZ/iUaGUiPp2GBtS0VrbsoNtia+VDi0jXE3eBXOKTL7sACHUKAZbhcUKbfmeWgHe2Gd&#10;qBs81U/kIhhOT1K1m/Q4nofrdPn+dZ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L/afj3TAAAA&#10;BQEAAA8AAAAAAAAAAQAgAAAAOAAAAGRycy9kb3ducmV2LnhtbFBLAQIUABQAAAAIAIdO4kBLRDX9&#10;fgIAACUFAAAOAAAAAAAAAAEAIAAAADgBAABkcnMvZTJvRG9jLnhtbFBLBQYAAAAABgAGAFkBAAAo&#10;BgAAAAA=&#10;" path="m0,0c308,0,617,0,925,0e">
                        <v:fill on="f" focussize="0,0"/>
                        <v:stroke color="#000000" joinstyle="round" endarrow="block"/>
                        <v:imagedata o:title=""/>
                        <o:lock v:ext="edit" aspectratio="f"/>
                      </v:shape>
                      <v:shape id="自选图形 984" o:spid="_x0000_s1026" o:spt="38" type="#_x0000_t38" style="position:absolute;left:1438910;top:985520;flip:y;height:156845;width:305435;" filled="f" stroked="t" coordsize="21600,21600" o:gfxdata="UEsFBgAAAAAAAAAAAAAAAAAAAAAAAFBLAwQKAAAAAACHTuJAAAAAAAAAAAAAAAAABAAAAGRycy9Q&#10;SwMEFAAAAAgAh07iQIkCm53RAAAABQEAAA8AAABkcnMvZG93bnJldi54bWxNj8FOwzAMhu9IvENk&#10;JG4sWUHQdk13mAQcERsPkDVeU0icqsm27u0xXOBi6ddvff7crOfgxQmnNETSsFwoEEhdtAP1Gj52&#10;z3cliJQNWeMjoYYLJli311eNqW080zuetrkXDKFUGw0u57GWMnUOg0mLOCJxd4hTMJnj1Es7mTPD&#10;g5eFUo8ymIH4gjMjbhx2X9tj0FB8VrvXUuHbS7woPyvnN1Xhtb69WaoViIxz/luGH31Wh5ad9vFI&#10;NgmvgR/Jv5O7p6rkuGfw/YMC2Tbyv337DVBLAwQUAAAACACHTuJAYohf7CgCAAAsBAAADgAAAGRy&#10;cy9lMm9Eb2MueG1srVNLjhMxEN0jcQfLe9KdT0dJK51ZJAwbBJH47B1/0kb+yXbSyY4d4gzsWHIH&#10;uM1IcAvK7mYGBhazoBetKlf5Vb1X5dXVWSt04j5Iaxo8HpUYcUMtk+bQ4Devr58sMAqRGEaUNbzB&#10;Fx7w1frxo1Xnaj6xrVWMewQgJtSda3Abo6uLItCWaxJG1nEDQWG9JhFcfyiYJx2ga1VMynJedNYz&#10;5y3lIcDptg/iAdE/BNAKISnfWnrU3MQe1XNFIlAKrXQBr3O3QnAaXwoReESqwcA05j8UAXuf/sV6&#10;ReqDJ66VdGiBPKSFe5w0kQaK3kJtSSTo6OVfUFpSb4MVcUStLnoiWRFgMS7vafOqJY5nLiB1cLei&#10;h/8HS1+cdh5JBpswn2NkiIaRf//w5cf7jzefvt18/YyWi1lSqXOhhuSN2fnBC27nE+Wz8BoJJd1b&#10;AMkiAC10Bmc2XSzHoPSlwctFVU0Gufk5IgrxaVnNphVGFOLjar6YValQ0SMmZOdDfMatRsloMD36&#10;E2cbawyM1fpprkVOz0PMyrOhe8LejTESWsEgT0ShCoTNFAB5yAbrF3a6qgzqoMVqkpohsNMCdglM&#10;7UCXYA65ULBKsmupVLoR/GG/UR4BPmxR/obe/0hLRbYktH1eDqU0UrecsKeGoXhxoLeBh4ZTC5oz&#10;jBSHd5msnBmJVHeZxHvb/TsVOCkD8qVB9aNJ1t6yS55YPoclygIPC5+29Hc/37575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iQKbndEAAAAFAQAADwAAAAAAAAABACAAAAA4AAAAZHJzL2Rvd25y&#10;ZXYueG1sUEsBAhQAFAAAAAgAh07iQGKIX+woAgAALAQAAA4AAAAAAAAAAQAgAAAANgEAAGRycy9l&#10;Mm9Eb2MueG1sUEsFBgAAAAAGAAYAWQEAANAFAAAAAA==&#10;" adj="10822">
                        <v:fill on="f" focussize="0,0"/>
                        <v:stroke color="#000000" joinstyle="round" endarrow="open"/>
                        <v:imagedata o:title=""/>
                        <o:lock v:ext="edit" aspectratio="f"/>
                      </v:shape>
                      <v:shape id="文本框 986" o:spid="_x0000_s1026" o:spt="202" type="#_x0000_t202" style="position:absolute;left:767715;top:1057910;height:254000;width:254635;"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AVaKxj1wEAAI8DAAAOAAAA&#10;ZHJzL2Uyb0RvYy54bWytU82O0zAQviPxDpbvNGmhyW7UdCWolgsCpIUHcB2nseQ/PG6T8gDwBpy4&#10;cN/n6nMwdtJddveyBy7OeObLN/PNjFdXg1bkIDxIa2o6n+WUCMNtI82upl+/XL+6oAQCMw1T1oia&#10;HgXQq/XLF6veVWJhO6sa4QmSGKh6V9MuBFdlGfBOaAYz64TBYGu9ZgGvfpc1nvXIrlW2yPMi661v&#10;nLdcAKB3MwbpxOifQ2jbVnKxsXyvhQkjqxeKBZQEnXRA16nathU8fGpbEIGomqLSkE5MgvY2ntl6&#10;xaqdZ66TfCqBPaeER5o0kwaT3lFtWGBk7+UTKi25t2DbMONWZ6OQ1BFUMc8f9eamY04kLdhqcHdN&#10;h/9Hyz8ePnsiG9yEoqTEMI0jP/36efp9e/rzg1xeFLFFvYMKkTcOsWF4aweEn/2Azqh8aL2OX9RE&#10;MF4WZTlfUnJEaL4sL+dTr8UQCMf4YvmmeI1xjgC08zzFs3se5yG8F1aTaNTU4yhTh9nhAwSsCaFn&#10;SExr7LVUKo1TmQcOBEZPFkWMxUYrDNthUra1zRGF4ZvAPJ313ynpcSNqCt/2zAtKmOHormk4m+/C&#10;uEJ75+Wuw79SN1IGnFOqbdqpuAj/3lMd9+9o/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XB3RC&#10;0wAAAAUBAAAPAAAAAAAAAAEAIAAAADgAAABkcnMvZG93bnJldi54bWxQSwECFAAUAAAACACHTuJA&#10;FWisY9cBAACPAwAADgAAAAAAAAABACAAAAA4AQAAZHJzL2Uyb0RvYy54bWxQSwUGAAAAAAYABgBZ&#10;AQAAgQU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5</w:t>
                              </w:r>
                            </w:p>
                          </w:txbxContent>
                        </v:textbox>
                      </v:shape>
                      <v:line id="直线 974" o:spid="_x0000_s1026" o:spt="20" style="position:absolute;left:2110105;top:1268095;flip:y;height:6985;width:646430;" filled="f" stroked="t" coordsize="21600,21600" o:gfxdata="UEsFBgAAAAAAAAAAAAAAAAAAAAAAAFBLAwQKAAAAAACHTuJAAAAAAAAAAAAAAAAABAAAAGRycy9Q&#10;SwMEFAAAAAgAh07iQH7ABczWAAAABQEAAA8AAABkcnMvZG93bnJldi54bWxNj8FOwzAQRO9I/IO1&#10;SNyonVKgDXF6QCBxQtAiJG5usiSh8TrY26bw9Sxc4DLSaFYzb4vlwfdqjzF1gSxkEwMKqQp1R42F&#10;5/Xd2RxUYke16wOhhU9MsCyPjwqX12GkJ9yvuFFSQil3FlrmIdc6VS16lyZhQJLsLUTvWGxsdB3d&#10;KOW+11NjLrV3HclC6wa8abHarnbewmI9XoTHuH2ZZd3H69ftOw/3D2zt6UlmrkExHvjvGH7wBR1K&#10;YdqEHdVJ9RbkEf5Vya4Wc7EbC9PzmQFdFvo/ffkNUEsDBBQAAAAIAIdO4kD1d11IAQIAAO8DAAAO&#10;AAAAZHJzL2Uyb0RvYy54bWytU0uOEzEQ3SNxB8t70klImqSVziwmDBsEkQbYV/zptuSfbE86OQvX&#10;YMWG48w1KLvDDAxCmgW9aJVdz6/qPZc3VyejyVGEqJxt6WwypURY5riyXUs/f7p5taIkJrActLOi&#10;pWcR6dX25YvN4Bsxd73TXASCJDY2g29pn5JvqiqyXhiIE+eFxaR0wUDCZegqHmBAdqOr+XRaV4ML&#10;3AfHRIy4uxuT9MIYnkPopFRM7By7M8KmkTUIDQklxV75SLelWykFSx+ljCIR3VJUmsofi2B8yP9q&#10;u4GmC+B7xS4twHNaeKLJgLJY9IFqBwnIXVB/URnFgotOpglzphqFFEdQxWz6xJvbHrwoWtDq6B9M&#10;j/+Pln047gNRHCehxou3YPDK779+u//+g6zfLLI/g48Nwq7tPlxW0e9DFnuSwRCplf+Cx4t8FERO&#10;LZ3PZqhmSckZE/N6NV0vR6fFKRGGgHpRL17jHTAE1OtVyVYjYSb2IaZ3whmSg5ZqZbMN0MDxfUzY&#10;BEJ/QfK2tmRo6Xo5x4oMcCYlzgKGxqOuaLtyNjqt+I3SOp+IoTtc60COkOeifLlB5P0DlovsIPYj&#10;rqRGHb0A/tZyks4e/bL4UGhuwQhOiRb4rnKEhNAkUPoRmYIC2+l/oLG8tthFdnz0OEcHx8/F+rKP&#10;c1D6vMxsHrTf1+X04zv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wAXM1gAAAAUBAAAPAAAA&#10;AAAAAAEAIAAAADgAAABkcnMvZG93bnJldi54bWxQSwECFAAUAAAACACHTuJA9XddSAECAADvAwAA&#10;DgAAAAAAAAABACAAAAA7AQAAZHJzL2Uyb0RvYy54bWxQSwUGAAAAAAYABgBZAQAArgUAAAAA&#10;">
                        <v:fill on="f" focussize="0,0"/>
                        <v:stroke color="#000000" joinstyle="round" endarrow="block"/>
                        <v:imagedata o:title=""/>
                        <o:lock v:ext="edit" aspectratio="f"/>
                      </v:line>
                      <v:shape id="文本框 396" o:spid="_x0000_s1026" o:spt="202" type="#_x0000_t202" style="position:absolute;left:2748915;top:1181100;height:205740;width:1143000;" filled="f" stroked="f" coordsize="21600,21600" o:gfxdata="UEsFBgAAAAAAAAAAAAAAAAAAAAAAAFBLAwQKAAAAAACHTuJAAAAAAAAAAAAAAAAABAAAAGRycy9Q&#10;SwMEFAAAAAgAh07iQLq6NMTVAAAABQEAAA8AAABkcnMvZG93bnJldi54bWxNj81OwzAQhO9IvIO1&#10;lbhRuwWVNo1TIQQnJEQaDhydeJtYjdchdn94exYu5TLSaFYz3+abs+/FEcfoAmmYTRUIpCZYR62G&#10;j+rldgkiJkPW9IFQwzdG2BTXV7nJbDhRicdtagWXUMyMhi6lIZMyNh16E6dhQOJsF0ZvEtuxlXY0&#10;Jy73vZwrtZDeOOKFzgz41GGz3x68hsdPKp/d11v9Xu5KV1UrRa+LvdY3k5lag0h4Tpdj+MVndCiY&#10;qQ4HslH0GviR9KecPayWbGsN87t7BbLI5X/64gdQSwMEFAAAAAgAh07iQBFtaHTnAQAAtQMAAA4A&#10;AABkcnMvZTJvRG9jLnhtbK1TzY7TMBC+I/EOlu80SbfbbaumK0G1CAkB0sIDuI7TWPIfY7dJeQB4&#10;A05cuPNcfQ7GTrJ/XPbAxRmPv3wz3+fx+rrTihwFeGlNSYtJTokw3FbS7Ev65fPNqwUlPjBTMWWN&#10;KOlJeHq9efli3bqVmNrGqkoAQRLjV60raROCW2WZ543QzE+sEwYPawuaBdzCPquAtciuVTbN83nW&#10;WqgcWC68x+y2P6QDIzyH0Na15GJr+UELE3pWEIoFlOQb6TzdpG7rWvDwsa69CESVFJWGtGIRjHdx&#10;zTZrttoDc43kQwvsOS080aSZNFj0jmrLAiMHkP9QacnBeluHCbc664UkR1BFkT/x5rZhTiQtaLV3&#10;d6b7/0fLPxw/AZEVTsJ8SYlhGq/8/PPH+def8+/v5GI5jxa1zq8QeesQG7rXtkP4mPeYjMq7GnT8&#10;oiaC59Or2WJZXFJyQmyxKIp8MFt0gfBIUMwuckwSjohpfnk1S4DsnsmBD2+F1SQGJQW8zOQxO773&#10;AbtC6AiJhY29kUqlC1XmUQKBMZNFGX27MQrdrhu07Wx1Qmn4KrBOY+EbJS3OREn91wMDQYl6Z9D0&#10;OEBjAGOwGwNmOP5a0kBJH74J/aAdHMh9g8zJs9QF3mbqf5i8OC4P96nX+9e2+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6ujTE1QAAAAUBAAAPAAAAAAAAAAEAIAAAADgAAABkcnMvZG93bnJldi54&#10;bWxQSwECFAAUAAAACACHTuJAEW1odOcBAAC1AwAADgAAAAAAAAABACAAAAA6AQAAZHJzL2Uyb0Rv&#10;Yy54bWxQSwUGAAAAAAYABgBZAQAAkwUAAAAA&#10;">
                        <v:fill on="f" focussize="0,0"/>
                        <v:stroke on="f"/>
                        <v:imagedata o:title=""/>
                        <o:lock v:ext="edit" aspectratio="f"/>
                        <v:textbox inset="0mm,0mm,0mm,0mm">
                          <w:txbxContent>
                            <w:p>
                              <w:pPr>
                                <w:jc w:val="center"/>
                                <w:rPr>
                                  <w:rFonts w:hint="default" w:eastAsia="宋体"/>
                                  <w:sz w:val="18"/>
                                  <w:szCs w:val="18"/>
                                  <w:lang w:val="en-US" w:eastAsia="zh-CN"/>
                                </w:rPr>
                              </w:pPr>
                              <w:r>
                                <w:rPr>
                                  <w:rFonts w:hint="eastAsia" w:eastAsia="宋体"/>
                                  <w:sz w:val="18"/>
                                  <w:szCs w:val="18"/>
                                  <w:lang w:val="en-US" w:eastAsia="zh-CN"/>
                                </w:rPr>
                                <w:t>委托有资质单位处置</w:t>
                              </w:r>
                            </w:p>
                            <w:p>
                              <w:pPr>
                                <w:rPr>
                                  <w:rFonts w:hint="eastAsia"/>
                                  <w:lang w:eastAsia="zh-CN"/>
                                </w:rPr>
                              </w:pPr>
                            </w:p>
                          </w:txbxContent>
                        </v:textbox>
                      </v:shape>
                      <v:shape id="文本框 986" o:spid="_x0000_s1026" o:spt="202" type="#_x0000_t202" style="position:absolute;left:2247900;top:1086485;height:254000;width:254635;"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A7XArr1wEAAJADAAAOAAAA&#10;ZHJzL2Uyb0RvYy54bWytU0tu2zAQ3RfIHQjuYymu7TiC5QCtkW6KtkCSA9AUZREQP52hLbkHaG/Q&#10;VTfd91w+R4eUnV83WXRDDYdPb+Y9DhfXvWnZTgFqZ0t+Mco5U1a6SttNye/vbs7nnGEQthKts6rk&#10;e4X8enn2ZtH5Qo1d49pKASMSi0XnS96E4IssQ9koI3DkvLJ0WDswItAWNlkFoiN202bjPJ9lnYPK&#10;g5MKkbKr4ZAfGeE1hK6utVQrJ7dG2TCwgmpFIEnYaI98mbqtayXD57pGFVhbclIa0kpFKF7HNVsu&#10;RLEB4Rstjy2I17TwQpMR2lLRB6qVCIJtQf9DZbQEh64OI+lMNghJjpCKi/yFN7eN8CppIavRP5iO&#10;/49Wftp9AaYrmoRL8sQKQ1d++Pnj8OvP4fd3djWfRYs6jwUhbz1hQ//O9QQ/5ZGSUXlfg4lf0sTo&#10;fDyeXF7lRLknbD6fTebTwWzVByYjYDqZvZ1yJglAcU5YqpQ9EnnA8EE5w2JQcqC7TBaL3UcMA/QE&#10;iXWtu9Ftm+6ztc8SxBkzWVQxdBuj0K/7o7S1q/akjB4F1WkcfOOso5EoOX7dClCcCSspXfJwCt+H&#10;YYa2HvSmob+SHakCXVSScRyqOAlP96mPx4e0/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XB3RC&#10;0wAAAAUBAAAPAAAAAAAAAAEAIAAAADgAAABkcnMvZG93bnJldi54bWxQSwECFAAUAAAACACHTuJA&#10;O1wK69cBAACQAwAADgAAAAAAAAABACAAAAA4AQAAZHJzL2Uyb0RvYy54bWxQSwUGAAAAAAYABgBZ&#10;AQAAgQU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1</w:t>
                              </w:r>
                            </w:p>
                          </w:txbxContent>
                        </v:textbox>
                      </v:shape>
                      <v:shape id="文本框 986" o:spid="_x0000_s1026" o:spt="202" type="#_x0000_t202" style="position:absolute;left:1746885;top:861695;height:254000;width:254635;"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CnW73n2AEAAI8DAAAOAAAA&#10;ZHJzL2Uyb0RvYy54bWytU82O0zAQviPxDpbvNGnZZrNV05WgWi4IkBYewHWcxlLsMWO3SXkAeANO&#10;XLjzXH0Oxk67f1z2wMUZz0y+me+b8fJ6MB3bK/QabMWnk5wzZSXU2m4r/uXzzauSMx+ErUUHVlX8&#10;oDy/Xr18sezdQs2gha5WyAjE+kXvKt6G4BZZ5mWrjPATcMpSsAE0ItAVt1mNoid002WzPC+yHrB2&#10;CFJ5T971GOQnRHwOIDSNlmoNcmeUDSMqqk4EouRb7TxfpW6bRsnwsWm8CqyrODEN6aQiZG/ima2W&#10;YrFF4VotTy2I57TwhJMR2lLRO6i1CILtUP8DZbRE8NCEiQSTjUSSIsRimj/R5rYVTiUuJLV3d6L7&#10;/wcrP+w/IdM1bcLllDMrDI38+PPH8def4+/v7KosokS98wvKvHWUG4Y3MFD62e/JGZkPDZr4JU4s&#10;xi8virKcc3aoeFlMi6v5qLUaApMUn80vitcUlhQnO8/TLLJ7HIc+vFNgWDQqjjTKpLDYv/eBeqLU&#10;c0osa+FGd10aZ2cfOSgxerJIYmw2WmHYDCdmG6gPRIzeBNVpAb9x1tNGVNx/3QlUnAkryV3xcDbf&#10;hnGFdg71tqW/khqpAs0p9XbaqbgID++pj/t3t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1wd0&#10;QtMAAAAFAQAADwAAAAAAAAABACAAAAA4AAAAZHJzL2Rvd25yZXYueG1sUEsBAhQAFAAAAAgAh07i&#10;QKdbvefYAQAAjwMAAA4AAAAAAAAAAQAgAAAAOAEAAGRycy9lMm9Eb2MueG1sUEsFBgAAAAAGAAYA&#10;WQEAAIIFAAAAAA==&#10;">
                        <v:fill on="f" focussize="0,0"/>
                        <v:stroke on="f"/>
                        <v:imagedata o:title=""/>
                        <o:lock v:ext="edit" aspectratio="f"/>
                        <v:textbox>
                          <w:txbxContent>
                            <w:p>
                              <w:pPr>
                                <w:rPr>
                                  <w:rFonts w:hint="default" w:eastAsia="宋体"/>
                                  <w:sz w:val="18"/>
                                  <w:szCs w:val="21"/>
                                  <w:lang w:val="en-US" w:eastAsia="zh-CN"/>
                                </w:rPr>
                              </w:pPr>
                              <w:r>
                                <w:rPr>
                                  <w:rFonts w:hint="eastAsia" w:eastAsia="宋体"/>
                                  <w:sz w:val="18"/>
                                  <w:szCs w:val="21"/>
                                  <w:lang w:val="en-US" w:eastAsia="zh-CN"/>
                                </w:rPr>
                                <w:t>4</w:t>
                              </w:r>
                            </w:p>
                          </w:txbxContent>
                        </v:textbox>
                      </v:shape>
                      <v:shape id="文本框 970" o:spid="_x0000_s1026" o:spt="202" type="#_x0000_t202" style="position:absolute;left:622300;top:307975;height:241300;width:467360;" filled="f" stroked="f" coordsize="21600,21600" o:gfxdata="UEsFBgAAAAAAAAAAAAAAAAAAAAAAAFBLAwQKAAAAAACHTuJAAAAAAAAAAAAAAAAABAAAAGRycy9Q&#10;SwMEFAAAAAgAh07iQNcHdELTAAAABQEAAA8AAABkcnMvZG93bnJldi54bWxNj8FOwzAQRO9I/IO1&#10;SNyo3VJKG+L00IoriFKQuG3jbRIRr6PYbcLfs3CBy0ijWc28zdejb9WZ+tgEtjCdGFDEZXANVxb2&#10;r483S1AxITtsA5OFL4qwLi4vcsxcGPiFzrtUKSnhmKGFOqUu0zqWNXmMk9ARS3YMvccktq+063GQ&#10;ct/qmTEL7bFhWaixo01N5efu5C28PR0/3ufmudr6u24Io9HsV9ra66upeQCVaEx/x/CDL+hQCNMh&#10;nNhF1VqQR9KvSna/Woo9WJjdzg3oItf/6YtvUEsDBBQAAAAIAIdO4kBNFb+O1gEAAI4DAAAOAAAA&#10;ZHJzL2Uyb0RvYy54bWytU8GO0zAQvSPxD5bvNGm6tGzUdCWolgsCpIUPcB2nsRR7jMdtUj4A/oAT&#10;F+77Xf0Oxk53u7tc9sDFGc9M3sx7M15eDaZje+VRg634dJJzpqyEWtttxb9+uX71hjMMwtaiA6sq&#10;flDIr1YvXyx7V6oCWuhq5RmBWCx7V/E2BFdmGcpWGYETcMpSsAFvRKCr32a1Fz2hmy4r8nye9eBr&#10;50EqRPKuxyA/IfrnAELTaKnWIHdG2TCietWJQJSw1Q75KnXbNEqGT02DKrCu4sQ0pJOKkL2JZ7Za&#10;inLrhWu1PLUgntPCE05GaEtF76HWIgi28/ofKKOlB4QmTCSYbCSSFCEW0/yJNjetcCpxIanR3YuO&#10;/w9Wftx/9kzXtAmLgjMrDI38+Ovn8fft8c8PdrlIEvUOS8q8cZQbhrcwUHqULvqRnJH50HgTv8SJ&#10;UXxeFLOcVD5UfJYvLhevR6nVEJik8MV8MZtTWFK8uJjGVMLLzjDOY3ivwLBoVNzTJJPAYv8Bw5h6&#10;lxKrWrjWXZem2dlHDsKMnuzca7TCsBlOBDZQH4gXPQmq04L/zllPC1Fx/LYTXnEmrCR3xcOd+S6M&#10;G7RzXm9b+iuJkSrQmBKN00rFPXh4T32cn9H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NcHdELT&#10;AAAABQEAAA8AAAAAAAAAAQAgAAAAOAAAAGRycy9kb3ducmV2LnhtbFBLAQIUABQAAAAIAIdO4kBN&#10;Fb+O1gEAAI4DAAAOAAAAAAAAAAEAIAAAADgBAABkcnMvZTJvRG9jLnhtbFBLBQYAAAAABgAGAFkB&#10;AACABQ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962.5</w:t>
                              </w:r>
                            </w:p>
                          </w:txbxContent>
                        </v:textbox>
                      </v:shape>
                      <w10:wrap type="none"/>
                      <w10:anchorlock/>
                    </v:group>
                  </w:pict>
                </mc:Fallback>
              </mc:AlternateContent>
            </w:r>
          </w:p>
          <w:p>
            <w:pPr>
              <w:adjustRightInd w:val="0"/>
              <w:snapToGrid w:val="0"/>
              <w:spacing w:line="360" w:lineRule="auto"/>
              <w:ind w:firstLine="482" w:firstLineChars="200"/>
              <w:jc w:val="center"/>
              <w:rPr>
                <w:rFonts w:ascii="Times New Roman" w:hAnsi="Times New Roman" w:eastAsia="宋体"/>
                <w:b/>
                <w:bCs/>
                <w:caps w:val="0"/>
                <w:color w:val="auto"/>
                <w:sz w:val="24"/>
              </w:rPr>
            </w:pPr>
            <w:r>
              <w:rPr>
                <w:rFonts w:hint="eastAsia" w:ascii="Times New Roman" w:hAnsi="Times New Roman" w:eastAsia="宋体"/>
                <w:b/>
                <w:bCs/>
                <w:caps w:val="0"/>
                <w:color w:val="auto"/>
                <w:sz w:val="24"/>
              </w:rPr>
              <w:t>图2-2</w:t>
            </w:r>
            <w:r>
              <w:rPr>
                <w:rFonts w:hint="eastAsia" w:ascii="Times New Roman" w:hAnsi="Times New Roman" w:eastAsia="宋体"/>
                <w:b/>
                <w:bCs/>
                <w:caps w:val="0"/>
                <w:color w:val="auto"/>
                <w:sz w:val="24"/>
                <w:lang w:val="en-US" w:eastAsia="zh-CN"/>
              </w:rPr>
              <w:t>技改</w:t>
            </w:r>
            <w:r>
              <w:rPr>
                <w:rFonts w:hint="eastAsia" w:ascii="Times New Roman" w:hAnsi="Times New Roman" w:eastAsia="宋体"/>
                <w:b/>
                <w:bCs/>
                <w:caps w:val="0"/>
                <w:color w:val="auto"/>
                <w:sz w:val="24"/>
              </w:rPr>
              <w:t>后全厂水平衡图t/a</w:t>
            </w:r>
          </w:p>
          <w:p>
            <w:pPr>
              <w:adjustRightInd w:val="0"/>
              <w:snapToGrid w:val="0"/>
              <w:spacing w:line="360" w:lineRule="auto"/>
              <w:ind w:firstLine="482" w:firstLineChars="200"/>
              <w:rPr>
                <w:rFonts w:hint="eastAsia" w:ascii="Times New Roman" w:hAnsi="Times New Roman" w:eastAsia="宋体"/>
                <w:b/>
                <w:bCs/>
                <w:caps w:val="0"/>
                <w:color w:val="auto"/>
                <w:kern w:val="0"/>
                <w:sz w:val="24"/>
              </w:rPr>
            </w:pPr>
            <w:r>
              <w:rPr>
                <w:rFonts w:hint="eastAsia" w:ascii="Times New Roman" w:hAnsi="Times New Roman" w:eastAsia="宋体"/>
                <w:b/>
                <w:bCs/>
                <w:caps w:val="0"/>
                <w:color w:val="auto"/>
                <w:kern w:val="0"/>
                <w:sz w:val="24"/>
              </w:rPr>
              <w:t>7、劳动定员及工作制度</w:t>
            </w:r>
          </w:p>
          <w:p>
            <w:pPr>
              <w:adjustRightInd w:val="0"/>
              <w:snapToGrid w:val="0"/>
              <w:spacing w:line="360" w:lineRule="auto"/>
              <w:ind w:firstLine="480" w:firstLineChars="200"/>
              <w:rPr>
                <w:rFonts w:ascii="Times New Roman" w:hAnsi="Times New Roman" w:eastAsia="宋体"/>
                <w:caps w:val="0"/>
                <w:color w:val="auto"/>
                <w:kern w:val="0"/>
                <w:sz w:val="24"/>
              </w:rPr>
            </w:pPr>
            <w:r>
              <w:rPr>
                <w:rFonts w:hint="eastAsia"/>
                <w:caps w:val="0"/>
                <w:color w:val="auto"/>
                <w:kern w:val="0"/>
                <w:sz w:val="24"/>
                <w:lang w:val="en-US" w:eastAsia="zh-CN"/>
              </w:rPr>
              <w:t>全厂</w:t>
            </w:r>
            <w:r>
              <w:rPr>
                <w:rFonts w:hint="eastAsia" w:ascii="Times New Roman" w:hAnsi="Times New Roman" w:eastAsia="宋体"/>
                <w:caps w:val="0"/>
                <w:color w:val="auto"/>
                <w:kern w:val="0"/>
                <w:sz w:val="24"/>
              </w:rPr>
              <w:t>工作制度：</w:t>
            </w:r>
            <w:r>
              <w:rPr>
                <w:rFonts w:hint="eastAsia" w:ascii="Times New Roman" w:hAnsi="Times New Roman" w:eastAsia="宋体"/>
                <w:caps w:val="0"/>
                <w:color w:val="auto"/>
                <w:kern w:val="0"/>
                <w:sz w:val="24"/>
                <w:lang w:val="en-US" w:eastAsia="zh-CN"/>
              </w:rPr>
              <w:t>白班</w:t>
            </w:r>
            <w:r>
              <w:rPr>
                <w:rFonts w:hint="eastAsia" w:ascii="Times New Roman" w:hAnsi="Times New Roman" w:eastAsia="宋体"/>
                <w:caps w:val="0"/>
                <w:color w:val="auto"/>
                <w:kern w:val="0"/>
                <w:sz w:val="24"/>
              </w:rPr>
              <w:t>制，每班工作8 h，年工作</w:t>
            </w:r>
            <w:r>
              <w:rPr>
                <w:rFonts w:hint="eastAsia" w:ascii="Times New Roman" w:hAnsi="Times New Roman" w:eastAsia="宋体"/>
                <w:caps w:val="0"/>
                <w:color w:val="auto"/>
                <w:kern w:val="0"/>
                <w:sz w:val="24"/>
                <w:lang w:val="en-US" w:eastAsia="zh-CN"/>
              </w:rPr>
              <w:t>300</w:t>
            </w:r>
            <w:r>
              <w:rPr>
                <w:rFonts w:hint="eastAsia" w:ascii="Times New Roman" w:hAnsi="Times New Roman" w:eastAsia="宋体"/>
                <w:caps w:val="0"/>
                <w:color w:val="auto"/>
                <w:kern w:val="0"/>
                <w:sz w:val="24"/>
              </w:rPr>
              <w:t>天，全年以</w:t>
            </w:r>
            <w:r>
              <w:rPr>
                <w:rFonts w:hint="eastAsia" w:ascii="Times New Roman" w:hAnsi="Times New Roman" w:eastAsia="宋体"/>
                <w:caps w:val="0"/>
                <w:color w:val="auto"/>
                <w:kern w:val="0"/>
                <w:sz w:val="24"/>
                <w:lang w:val="en-US" w:eastAsia="zh-CN"/>
              </w:rPr>
              <w:t>2400</w:t>
            </w:r>
            <w:r>
              <w:rPr>
                <w:rFonts w:hint="eastAsia" w:ascii="Times New Roman" w:hAnsi="Times New Roman" w:eastAsia="宋体"/>
                <w:caps w:val="0"/>
                <w:color w:val="auto"/>
                <w:kern w:val="0"/>
                <w:sz w:val="24"/>
              </w:rPr>
              <w:t>计；</w:t>
            </w:r>
          </w:p>
          <w:p>
            <w:pPr>
              <w:adjustRightInd w:val="0"/>
              <w:snapToGrid w:val="0"/>
              <w:spacing w:line="360" w:lineRule="auto"/>
              <w:ind w:firstLine="480" w:firstLineChars="200"/>
              <w:rPr>
                <w:rFonts w:ascii="Times New Roman" w:hAnsi="Times New Roman" w:eastAsia="宋体"/>
                <w:caps w:val="0"/>
                <w:color w:val="auto"/>
                <w:sz w:val="24"/>
              </w:rPr>
            </w:pPr>
            <w:r>
              <w:rPr>
                <w:rFonts w:hint="eastAsia" w:ascii="Times New Roman" w:hAnsi="Times New Roman" w:eastAsia="宋体"/>
                <w:caps w:val="0"/>
                <w:color w:val="auto"/>
                <w:kern w:val="0"/>
                <w:sz w:val="24"/>
              </w:rPr>
              <w:t>职工人数：本</w:t>
            </w:r>
            <w:r>
              <w:rPr>
                <w:rFonts w:hint="eastAsia" w:ascii="Times New Roman" w:hAnsi="Times New Roman" w:eastAsia="宋体"/>
                <w:caps w:val="0"/>
                <w:color w:val="auto"/>
                <w:kern w:val="0"/>
                <w:sz w:val="24"/>
                <w:lang w:val="en-US" w:eastAsia="zh-CN"/>
              </w:rPr>
              <w:t>次技改</w:t>
            </w:r>
            <w:r>
              <w:rPr>
                <w:rFonts w:hint="eastAsia" w:ascii="Times New Roman" w:hAnsi="Times New Roman" w:eastAsia="宋体"/>
                <w:caps w:val="0"/>
                <w:color w:val="auto"/>
                <w:kern w:val="0"/>
                <w:sz w:val="24"/>
              </w:rPr>
              <w:t>新增职工</w:t>
            </w:r>
            <w:r>
              <w:rPr>
                <w:rFonts w:hint="eastAsia" w:ascii="Times New Roman" w:hAnsi="Times New Roman" w:eastAsia="宋体"/>
                <w:caps w:val="0"/>
                <w:color w:val="auto"/>
                <w:kern w:val="0"/>
                <w:sz w:val="24"/>
                <w:lang w:val="en-US" w:eastAsia="zh-CN"/>
              </w:rPr>
              <w:t>10</w:t>
            </w:r>
            <w:r>
              <w:rPr>
                <w:rFonts w:hint="eastAsia" w:ascii="Times New Roman" w:hAnsi="Times New Roman" w:eastAsia="宋体"/>
                <w:caps w:val="0"/>
                <w:color w:val="auto"/>
                <w:kern w:val="0"/>
                <w:sz w:val="24"/>
              </w:rPr>
              <w:t>人，</w:t>
            </w:r>
            <w:r>
              <w:rPr>
                <w:rFonts w:hint="eastAsia" w:ascii="Times New Roman" w:hAnsi="Times New Roman" w:eastAsia="宋体"/>
                <w:caps w:val="0"/>
                <w:color w:val="auto"/>
                <w:kern w:val="0"/>
                <w:sz w:val="24"/>
                <w:lang w:val="en-US" w:eastAsia="zh-CN"/>
              </w:rPr>
              <w:t>技改</w:t>
            </w:r>
            <w:r>
              <w:rPr>
                <w:rFonts w:hint="eastAsia" w:ascii="Times New Roman" w:hAnsi="Times New Roman" w:eastAsia="宋体"/>
                <w:caps w:val="0"/>
                <w:color w:val="auto"/>
                <w:kern w:val="0"/>
                <w:sz w:val="24"/>
              </w:rPr>
              <w:t>后全厂职工数</w:t>
            </w:r>
            <w:r>
              <w:rPr>
                <w:rFonts w:hint="eastAsia" w:ascii="Times New Roman" w:hAnsi="Times New Roman" w:eastAsia="宋体"/>
                <w:caps w:val="0"/>
                <w:color w:val="auto"/>
                <w:kern w:val="0"/>
                <w:sz w:val="24"/>
                <w:lang w:val="en-US" w:eastAsia="zh-CN"/>
              </w:rPr>
              <w:t>35</w:t>
            </w:r>
            <w:r>
              <w:rPr>
                <w:rFonts w:hint="eastAsia" w:ascii="Times New Roman" w:hAnsi="Times New Roman" w:eastAsia="宋体"/>
                <w:caps w:val="0"/>
                <w:color w:val="auto"/>
                <w:kern w:val="0"/>
                <w:sz w:val="24"/>
              </w:rPr>
              <w:t>人。</w:t>
            </w:r>
          </w:p>
          <w:p>
            <w:pPr>
              <w:adjustRightInd w:val="0"/>
              <w:snapToGrid w:val="0"/>
              <w:spacing w:line="360" w:lineRule="auto"/>
              <w:ind w:firstLine="482" w:firstLineChars="200"/>
              <w:rPr>
                <w:rFonts w:hint="eastAsia" w:ascii="Times New Roman" w:hAnsi="Times New Roman" w:eastAsia="宋体"/>
                <w:b/>
                <w:bCs/>
                <w:caps w:val="0"/>
                <w:color w:val="auto"/>
                <w:kern w:val="0"/>
                <w:sz w:val="24"/>
              </w:rPr>
            </w:pPr>
            <w:r>
              <w:rPr>
                <w:rFonts w:hint="eastAsia" w:ascii="Times New Roman" w:hAnsi="Times New Roman" w:eastAsia="宋体"/>
                <w:b/>
                <w:bCs/>
                <w:caps w:val="0"/>
                <w:color w:val="auto"/>
                <w:kern w:val="0"/>
                <w:sz w:val="24"/>
                <w:lang w:val="en-US" w:eastAsia="zh-CN"/>
              </w:rPr>
              <w:t>8</w:t>
            </w:r>
            <w:r>
              <w:rPr>
                <w:rFonts w:hint="eastAsia" w:ascii="Times New Roman" w:hAnsi="Times New Roman" w:eastAsia="宋体"/>
                <w:b/>
                <w:bCs/>
                <w:caps w:val="0"/>
                <w:color w:val="auto"/>
                <w:kern w:val="0"/>
                <w:sz w:val="24"/>
              </w:rPr>
              <w:t>、项目厂区平面布置及周边土地利用情况</w:t>
            </w:r>
          </w:p>
          <w:p>
            <w:pPr>
              <w:tabs>
                <w:tab w:val="left" w:pos="2730"/>
              </w:tabs>
              <w:adjustRightInd w:val="0"/>
              <w:snapToGrid w:val="0"/>
              <w:spacing w:line="360" w:lineRule="auto"/>
              <w:ind w:firstLine="480" w:firstLineChars="200"/>
              <w:rPr>
                <w:rFonts w:hint="eastAsia" w:ascii="Times New Roman" w:hAnsi="Times New Roman" w:eastAsia="宋体"/>
                <w:caps w:val="0"/>
                <w:color w:val="auto"/>
                <w:kern w:val="0"/>
                <w:sz w:val="24"/>
              </w:rPr>
            </w:pPr>
            <w:r>
              <w:rPr>
                <w:rFonts w:hint="eastAsia" w:ascii="Times New Roman" w:hAnsi="Times New Roman" w:eastAsia="宋体"/>
                <w:caps w:val="0"/>
                <w:color w:val="auto"/>
                <w:kern w:val="0"/>
                <w:sz w:val="24"/>
              </w:rPr>
              <w:t>（1）项目厂区平面布置情况</w:t>
            </w:r>
          </w:p>
          <w:p>
            <w:pPr>
              <w:tabs>
                <w:tab w:val="left" w:pos="2730"/>
              </w:tabs>
              <w:adjustRightInd w:val="0"/>
              <w:snapToGrid w:val="0"/>
              <w:spacing w:line="360" w:lineRule="auto"/>
              <w:ind w:firstLine="480" w:firstLineChars="200"/>
              <w:rPr>
                <w:rFonts w:hint="eastAsia" w:ascii="Times New Roman" w:hAnsi="Times New Roman" w:eastAsia="宋体"/>
                <w:b/>
                <w:bCs/>
                <w:caps w:val="0"/>
                <w:color w:val="auto"/>
                <w:kern w:val="0"/>
                <w:sz w:val="24"/>
              </w:rPr>
            </w:pPr>
            <w:r>
              <w:rPr>
                <w:rFonts w:hint="eastAsia" w:ascii="Times New Roman" w:hAnsi="Times New Roman" w:eastAsia="宋体"/>
                <w:caps w:val="0"/>
                <w:color w:val="auto"/>
                <w:kern w:val="0"/>
                <w:sz w:val="24"/>
              </w:rPr>
              <w:t>建设项目厂区位于</w:t>
            </w:r>
            <w:r>
              <w:rPr>
                <w:rFonts w:hint="eastAsia" w:ascii="Times New Roman" w:hAnsi="Times New Roman" w:eastAsia="宋体"/>
                <w:caps w:val="0"/>
                <w:color w:val="auto"/>
                <w:sz w:val="24"/>
                <w:lang w:eastAsia="zh-CN"/>
              </w:rPr>
              <w:t>如皋市下原镇兴原路58-7号</w:t>
            </w:r>
            <w:r>
              <w:rPr>
                <w:rFonts w:hint="eastAsia" w:ascii="Times New Roman" w:hAnsi="Times New Roman" w:eastAsia="宋体"/>
                <w:caps w:val="0"/>
                <w:color w:val="auto"/>
                <w:kern w:val="0"/>
                <w:sz w:val="24"/>
              </w:rPr>
              <w:t>，利用现有</w:t>
            </w:r>
            <w:r>
              <w:rPr>
                <w:rFonts w:hint="eastAsia" w:ascii="Times New Roman" w:hAnsi="Times New Roman" w:eastAsia="宋体"/>
                <w:caps w:val="0"/>
                <w:color w:val="auto"/>
                <w:kern w:val="0"/>
                <w:sz w:val="24"/>
                <w:lang w:val="en-US" w:eastAsia="zh-CN"/>
              </w:rPr>
              <w:t>厂房</w:t>
            </w:r>
            <w:r>
              <w:rPr>
                <w:rFonts w:hint="eastAsia" w:ascii="Times New Roman" w:hAnsi="Times New Roman" w:eastAsia="宋体"/>
                <w:caps w:val="0"/>
                <w:color w:val="auto"/>
                <w:kern w:val="0"/>
                <w:sz w:val="24"/>
              </w:rPr>
              <w:t>进行</w:t>
            </w:r>
            <w:r>
              <w:rPr>
                <w:rFonts w:hint="eastAsia" w:ascii="Times New Roman" w:hAnsi="Times New Roman" w:eastAsia="宋体"/>
                <w:caps w:val="0"/>
                <w:color w:val="auto"/>
                <w:kern w:val="0"/>
                <w:sz w:val="24"/>
                <w:lang w:eastAsia="zh-CN"/>
              </w:rPr>
              <w:t>年产1200吨港口自动化机械配套件技改项目，</w:t>
            </w:r>
            <w:r>
              <w:rPr>
                <w:rFonts w:hint="eastAsia" w:ascii="Times New Roman" w:hAnsi="Times New Roman" w:eastAsia="宋体"/>
                <w:caps w:val="0"/>
                <w:color w:val="auto"/>
                <w:kern w:val="0"/>
                <w:sz w:val="24"/>
                <w:lang w:val="en-US" w:eastAsia="zh-CN"/>
              </w:rPr>
              <w:t>新增的喷漆房位于车间一</w:t>
            </w:r>
            <w:r>
              <w:rPr>
                <w:rFonts w:hint="eastAsia" w:ascii="Times New Roman" w:hAnsi="Times New Roman" w:eastAsia="宋体"/>
                <w:caps w:val="0"/>
                <w:color w:val="auto"/>
                <w:kern w:val="0"/>
                <w:sz w:val="24"/>
              </w:rPr>
              <w:t>。车间</w:t>
            </w:r>
            <w:r>
              <w:rPr>
                <w:rFonts w:hint="eastAsia" w:ascii="Times New Roman" w:hAnsi="Times New Roman" w:eastAsia="宋体"/>
                <w:caps w:val="0"/>
                <w:color w:val="auto"/>
                <w:kern w:val="0"/>
                <w:sz w:val="24"/>
                <w:lang w:val="en-US" w:eastAsia="zh-CN"/>
              </w:rPr>
              <w:t>一</w:t>
            </w:r>
            <w:r>
              <w:rPr>
                <w:rFonts w:hint="eastAsia" w:ascii="Times New Roman" w:hAnsi="Times New Roman" w:eastAsia="宋体"/>
                <w:caps w:val="0"/>
                <w:color w:val="auto"/>
                <w:kern w:val="0"/>
                <w:sz w:val="24"/>
              </w:rPr>
              <w:t>为</w:t>
            </w:r>
            <w:r>
              <w:rPr>
                <w:rFonts w:hint="eastAsia" w:ascii="Times New Roman" w:hAnsi="Times New Roman" w:eastAsia="宋体"/>
                <w:caps w:val="0"/>
                <w:color w:val="auto"/>
                <w:kern w:val="0"/>
                <w:sz w:val="24"/>
                <w:lang w:val="en-US" w:eastAsia="zh-CN"/>
              </w:rPr>
              <w:t>焊接区、装配区</w:t>
            </w:r>
            <w:r>
              <w:rPr>
                <w:rFonts w:hint="eastAsia" w:ascii="Times New Roman" w:hAnsi="Times New Roman" w:eastAsia="宋体"/>
                <w:caps w:val="0"/>
                <w:color w:val="auto"/>
                <w:kern w:val="0"/>
                <w:sz w:val="24"/>
              </w:rPr>
              <w:t>，</w:t>
            </w:r>
            <w:r>
              <w:rPr>
                <w:rFonts w:hint="eastAsia" w:ascii="Times New Roman" w:hAnsi="Times New Roman" w:eastAsia="宋体"/>
                <w:caps w:val="0"/>
                <w:color w:val="auto"/>
                <w:kern w:val="0"/>
                <w:sz w:val="24"/>
                <w:lang w:val="en-US" w:eastAsia="zh-CN"/>
              </w:rPr>
              <w:t>车间二为机加工区、切割区</w:t>
            </w:r>
            <w:r>
              <w:rPr>
                <w:rFonts w:hint="eastAsia" w:ascii="Times New Roman" w:hAnsi="Times New Roman" w:eastAsia="宋体"/>
                <w:caps w:val="0"/>
                <w:color w:val="auto"/>
                <w:kern w:val="0"/>
                <w:sz w:val="24"/>
              </w:rPr>
              <w:t>。</w:t>
            </w:r>
          </w:p>
          <w:p>
            <w:pPr>
              <w:adjustRightInd w:val="0"/>
              <w:snapToGrid w:val="0"/>
              <w:spacing w:line="360" w:lineRule="auto"/>
              <w:ind w:firstLine="480" w:firstLineChars="200"/>
              <w:rPr>
                <w:rFonts w:ascii="Times New Roman" w:hAnsi="Times New Roman" w:eastAsia="宋体"/>
                <w:caps w:val="0"/>
                <w:color w:val="auto"/>
                <w:kern w:val="0"/>
                <w:sz w:val="24"/>
              </w:rPr>
            </w:pPr>
            <w:r>
              <w:rPr>
                <w:rFonts w:hint="eastAsia" w:ascii="Times New Roman" w:hAnsi="Times New Roman" w:eastAsia="宋体"/>
                <w:caps w:val="0"/>
                <w:color w:val="auto"/>
                <w:sz w:val="24"/>
              </w:rPr>
              <w:t>（2）项目周边土地概况图</w:t>
            </w:r>
            <w:r>
              <w:rPr>
                <w:rFonts w:hint="eastAsia" w:ascii="Times New Roman" w:hAnsi="Times New Roman" w:eastAsia="宋体"/>
                <w:caps w:val="0"/>
                <w:color w:val="auto"/>
                <w:kern w:val="0"/>
                <w:sz w:val="24"/>
              </w:rPr>
              <w:t>建设项目厂区</w:t>
            </w:r>
            <w:r>
              <w:rPr>
                <w:rFonts w:ascii="Times New Roman" w:hAnsi="Times New Roman" w:eastAsia="宋体"/>
                <w:caps w:val="0"/>
                <w:color w:val="auto"/>
                <w:sz w:val="24"/>
              </w:rPr>
              <w:t>位于</w:t>
            </w:r>
            <w:r>
              <w:rPr>
                <w:rFonts w:hint="eastAsia" w:ascii="Times New Roman" w:hAnsi="Times New Roman" w:eastAsia="宋体"/>
                <w:caps w:val="0"/>
                <w:color w:val="auto"/>
                <w:sz w:val="24"/>
                <w:lang w:eastAsia="zh-CN"/>
              </w:rPr>
              <w:t>如皋市下原镇兴原路58-7号</w:t>
            </w:r>
            <w:r>
              <w:rPr>
                <w:rFonts w:ascii="Times New Roman" w:hAnsi="Times New Roman" w:eastAsia="宋体"/>
                <w:caps w:val="0"/>
                <w:color w:val="auto"/>
                <w:sz w:val="24"/>
              </w:rPr>
              <w:t>，项目东侧为</w:t>
            </w:r>
            <w:r>
              <w:rPr>
                <w:rFonts w:hint="eastAsia" w:ascii="Times New Roman" w:hAnsi="Times New Roman" w:eastAsia="宋体"/>
                <w:caps w:val="0"/>
                <w:color w:val="auto"/>
                <w:sz w:val="24"/>
                <w:lang w:val="en-US" w:eastAsia="zh-CN"/>
              </w:rPr>
              <w:t>桃李路</w:t>
            </w:r>
            <w:r>
              <w:rPr>
                <w:rFonts w:ascii="Times New Roman" w:hAnsi="Times New Roman" w:eastAsia="宋体"/>
                <w:caps w:val="0"/>
                <w:color w:val="auto"/>
                <w:sz w:val="24"/>
              </w:rPr>
              <w:t>；南侧</w:t>
            </w:r>
            <w:r>
              <w:rPr>
                <w:rFonts w:hint="eastAsia" w:ascii="Times New Roman" w:hAnsi="Times New Roman" w:eastAsia="宋体"/>
                <w:caps w:val="0"/>
                <w:color w:val="auto"/>
                <w:sz w:val="24"/>
              </w:rPr>
              <w:t>为</w:t>
            </w:r>
            <w:r>
              <w:rPr>
                <w:rFonts w:hint="eastAsia" w:ascii="Times New Roman" w:hAnsi="Times New Roman" w:eastAsia="宋体"/>
                <w:caps w:val="0"/>
                <w:color w:val="auto"/>
                <w:sz w:val="24"/>
                <w:lang w:val="en-US" w:eastAsia="zh-CN"/>
              </w:rPr>
              <w:t>农田</w:t>
            </w:r>
            <w:r>
              <w:rPr>
                <w:rFonts w:hint="eastAsia" w:ascii="Times New Roman" w:hAnsi="Times New Roman" w:eastAsia="宋体"/>
                <w:caps w:val="0"/>
                <w:color w:val="auto"/>
                <w:sz w:val="24"/>
              </w:rPr>
              <w:t>及零散居民</w:t>
            </w:r>
            <w:r>
              <w:rPr>
                <w:rFonts w:ascii="Times New Roman" w:hAnsi="Times New Roman" w:eastAsia="宋体"/>
                <w:caps w:val="0"/>
                <w:color w:val="auto"/>
                <w:sz w:val="24"/>
              </w:rPr>
              <w:t>；西侧为</w:t>
            </w:r>
            <w:r>
              <w:rPr>
                <w:rFonts w:hint="eastAsia" w:ascii="Times New Roman" w:hAnsi="Times New Roman" w:eastAsia="宋体"/>
                <w:caps w:val="0"/>
                <w:color w:val="auto"/>
                <w:sz w:val="24"/>
                <w:lang w:val="en-US" w:eastAsia="zh-CN"/>
              </w:rPr>
              <w:t>邻厂</w:t>
            </w:r>
            <w:r>
              <w:rPr>
                <w:rFonts w:ascii="Times New Roman" w:hAnsi="Times New Roman" w:eastAsia="宋体"/>
                <w:caps w:val="0"/>
                <w:color w:val="auto"/>
                <w:sz w:val="24"/>
              </w:rPr>
              <w:t>；北侧为</w:t>
            </w:r>
            <w:r>
              <w:rPr>
                <w:rFonts w:hint="eastAsia" w:ascii="Times New Roman" w:hAnsi="Times New Roman" w:eastAsia="宋体"/>
                <w:caps w:val="0"/>
                <w:color w:val="auto"/>
                <w:sz w:val="24"/>
                <w:lang w:val="en-US" w:eastAsia="zh-CN"/>
              </w:rPr>
              <w:t>惠民东路</w:t>
            </w:r>
            <w:r>
              <w:rPr>
                <w:rFonts w:ascii="Times New Roman" w:hAnsi="Times New Roman" w:eastAsia="宋体"/>
                <w:caps w:val="0"/>
                <w:color w:val="auto"/>
                <w:sz w:val="24"/>
              </w:rPr>
              <w:t>。</w:t>
            </w:r>
            <w:r>
              <w:rPr>
                <w:rFonts w:ascii="Times New Roman" w:hAnsi="Times New Roman" w:eastAsia="宋体"/>
                <w:caps w:val="0"/>
                <w:color w:val="auto"/>
                <w:kern w:val="0"/>
                <w:sz w:val="24"/>
              </w:rPr>
              <w:t>项目地理位置见附图</w:t>
            </w:r>
            <w:r>
              <w:rPr>
                <w:rFonts w:hint="eastAsia" w:ascii="Times New Roman" w:hAnsi="Times New Roman" w:eastAsia="宋体"/>
                <w:caps w:val="0"/>
                <w:color w:val="auto"/>
                <w:kern w:val="0"/>
                <w:sz w:val="24"/>
              </w:rPr>
              <w:t>1</w:t>
            </w:r>
            <w:r>
              <w:rPr>
                <w:rFonts w:ascii="Times New Roman" w:hAnsi="Times New Roman" w:eastAsia="宋体"/>
                <w:caps w:val="0"/>
                <w:color w:val="auto"/>
                <w:kern w:val="0"/>
                <w:sz w:val="24"/>
              </w:rPr>
              <w:t>，项目周边</w:t>
            </w:r>
            <w:r>
              <w:rPr>
                <w:rFonts w:hint="eastAsia" w:ascii="Times New Roman" w:hAnsi="Times New Roman" w:eastAsia="宋体"/>
                <w:caps w:val="0"/>
                <w:color w:val="auto"/>
                <w:kern w:val="0"/>
                <w:sz w:val="24"/>
              </w:rPr>
              <w:t>环境概况</w:t>
            </w:r>
            <w:r>
              <w:rPr>
                <w:rFonts w:ascii="Times New Roman" w:hAnsi="Times New Roman" w:eastAsia="宋体"/>
                <w:caps w:val="0"/>
                <w:color w:val="auto"/>
                <w:kern w:val="0"/>
                <w:sz w:val="24"/>
              </w:rPr>
              <w:t>见附图</w:t>
            </w:r>
            <w:r>
              <w:rPr>
                <w:rFonts w:hint="eastAsia" w:ascii="Times New Roman" w:hAnsi="Times New Roman" w:eastAsia="宋体"/>
                <w:caps w:val="0"/>
                <w:color w:val="auto"/>
                <w:kern w:val="0"/>
                <w:sz w:val="24"/>
              </w:rPr>
              <w:t>2。</w:t>
            </w:r>
          </w:p>
          <w:p>
            <w:pPr>
              <w:pStyle w:val="37"/>
              <w:numPr>
                <w:ilvl w:val="0"/>
                <w:numId w:val="0"/>
              </w:numPr>
              <w:shd w:val="clear"/>
              <w:bidi w:val="0"/>
              <w:ind w:firstLine="478" w:firstLineChars="200"/>
              <w:rPr>
                <w:rFonts w:hint="eastAsia" w:ascii="Times New Roman" w:hAnsi="Times New Roman" w:eastAsia="宋体"/>
                <w:caps w:val="0"/>
                <w:color w:val="auto"/>
                <w:sz w:val="24"/>
                <w:szCs w:val="24"/>
                <w:highlight w:val="none"/>
                <w:lang w:val="en-US" w:eastAsia="zh-CN"/>
              </w:rPr>
            </w:pPr>
            <w:r>
              <w:rPr>
                <w:rFonts w:hint="eastAsia" w:ascii="Times New Roman" w:hAnsi="Times New Roman" w:eastAsia="宋体"/>
                <w:caps w:val="0"/>
                <w:color w:val="auto"/>
                <w:sz w:val="24"/>
                <w:szCs w:val="24"/>
                <w:highlight w:val="none"/>
                <w:lang w:val="en-US" w:eastAsia="zh-CN"/>
              </w:rPr>
              <w:t>9、油漆平衡</w:t>
            </w:r>
          </w:p>
          <w:p>
            <w:pPr>
              <w:pStyle w:val="38"/>
              <w:bidi w:val="0"/>
              <w:rPr>
                <w:rFonts w:hint="eastAsia" w:ascii="Times New Roman" w:hAnsi="Times New Roman" w:eastAsia="宋体"/>
                <w:b w:val="0"/>
                <w:bCs w:val="0"/>
                <w:caps w:val="0"/>
                <w:color w:val="auto"/>
                <w:sz w:val="24"/>
                <w:szCs w:val="24"/>
              </w:rPr>
            </w:pPr>
            <w:r>
              <w:rPr>
                <w:rFonts w:hint="eastAsia" w:ascii="Times New Roman" w:hAnsi="Times New Roman" w:eastAsia="宋体"/>
                <w:b w:val="0"/>
                <w:bCs w:val="0"/>
                <w:caps w:val="0"/>
                <w:color w:val="auto"/>
                <w:sz w:val="24"/>
                <w:szCs w:val="24"/>
              </w:rPr>
              <w:t>本项目</w:t>
            </w:r>
            <w:r>
              <w:rPr>
                <w:rFonts w:hint="eastAsia" w:ascii="Times New Roman" w:hAnsi="Times New Roman" w:eastAsia="宋体"/>
                <w:b w:val="0"/>
                <w:bCs w:val="0"/>
                <w:caps w:val="0"/>
                <w:color w:val="auto"/>
                <w:sz w:val="24"/>
                <w:szCs w:val="24"/>
                <w:lang w:val="en-US" w:eastAsia="zh-CN"/>
              </w:rPr>
              <w:t>高固份</w:t>
            </w:r>
            <w:r>
              <w:rPr>
                <w:rFonts w:hint="eastAsia" w:ascii="Times New Roman" w:hAnsi="Times New Roman" w:eastAsia="宋体"/>
                <w:b w:val="0"/>
                <w:bCs w:val="0"/>
                <w:caps w:val="0"/>
                <w:color w:val="auto"/>
                <w:sz w:val="24"/>
                <w:szCs w:val="24"/>
              </w:rPr>
              <w:t>漆</w:t>
            </w:r>
            <w:r>
              <w:rPr>
                <w:rFonts w:hint="eastAsia" w:ascii="Times New Roman" w:hAnsi="Times New Roman" w:eastAsia="宋体"/>
                <w:b w:val="0"/>
                <w:bCs w:val="0"/>
                <w:caps w:val="0"/>
                <w:color w:val="auto"/>
                <w:sz w:val="24"/>
                <w:szCs w:val="24"/>
                <w:lang w:val="en-US" w:eastAsia="zh-CN"/>
              </w:rPr>
              <w:t>、稀释剂</w:t>
            </w:r>
            <w:r>
              <w:rPr>
                <w:rFonts w:hint="eastAsia" w:ascii="Times New Roman" w:hAnsi="Times New Roman" w:eastAsia="宋体"/>
                <w:b w:val="0"/>
                <w:bCs w:val="0"/>
                <w:caps w:val="0"/>
                <w:color w:val="auto"/>
                <w:sz w:val="24"/>
                <w:szCs w:val="24"/>
              </w:rPr>
              <w:t>调配比例为</w:t>
            </w:r>
            <w:r>
              <w:rPr>
                <w:rFonts w:hint="eastAsia" w:ascii="Times New Roman" w:hAnsi="Times New Roman" w:eastAsia="宋体"/>
                <w:b w:val="0"/>
                <w:bCs w:val="0"/>
                <w:caps w:val="0"/>
                <w:color w:val="auto"/>
                <w:sz w:val="24"/>
                <w:szCs w:val="24"/>
                <w:lang w:val="en-US" w:eastAsia="zh-CN"/>
              </w:rPr>
              <w:t>100</w:t>
            </w:r>
            <w:r>
              <w:rPr>
                <w:rFonts w:hint="eastAsia" w:ascii="Times New Roman" w:hAnsi="Times New Roman" w:eastAsia="宋体"/>
                <w:b w:val="0"/>
                <w:bCs w:val="0"/>
                <w:caps w:val="0"/>
                <w:color w:val="auto"/>
                <w:sz w:val="24"/>
                <w:szCs w:val="24"/>
              </w:rPr>
              <w:t>:</w:t>
            </w:r>
            <w:r>
              <w:rPr>
                <w:rFonts w:hint="eastAsia" w:ascii="Times New Roman" w:hAnsi="Times New Roman" w:eastAsia="宋体"/>
                <w:b w:val="0"/>
                <w:bCs w:val="0"/>
                <w:caps w:val="0"/>
                <w:color w:val="auto"/>
                <w:sz w:val="24"/>
                <w:szCs w:val="24"/>
                <w:lang w:val="en-US" w:eastAsia="zh-CN"/>
              </w:rPr>
              <w:t>20，喷漆</w:t>
            </w:r>
            <w:r>
              <w:rPr>
                <w:rFonts w:hint="eastAsia" w:ascii="Times New Roman" w:hAnsi="Times New Roman" w:eastAsia="宋体"/>
                <w:b w:val="0"/>
                <w:bCs w:val="0"/>
                <w:caps w:val="0"/>
                <w:color w:val="auto"/>
                <w:sz w:val="24"/>
                <w:szCs w:val="24"/>
              </w:rPr>
              <w:t>作业均在喷漆房内进行，</w:t>
            </w:r>
            <w:r>
              <w:rPr>
                <w:rFonts w:hint="eastAsia" w:ascii="Times New Roman" w:hAnsi="Times New Roman" w:eastAsia="宋体"/>
                <w:b w:val="0"/>
                <w:bCs w:val="0"/>
                <w:caps w:val="0"/>
                <w:color w:val="auto"/>
                <w:sz w:val="24"/>
                <w:szCs w:val="24"/>
                <w:lang w:val="en-US" w:eastAsia="zh-CN"/>
              </w:rPr>
              <w:t>采用密闭负压管道收集，</w:t>
            </w:r>
            <w:r>
              <w:rPr>
                <w:rFonts w:hint="eastAsia" w:ascii="Times New Roman" w:hAnsi="Times New Roman" w:eastAsia="宋体"/>
                <w:b w:val="0"/>
                <w:bCs w:val="0"/>
                <w:caps w:val="0"/>
                <w:color w:val="auto"/>
                <w:sz w:val="24"/>
                <w:szCs w:val="24"/>
              </w:rPr>
              <w:t>收集效率均为9</w:t>
            </w:r>
            <w:r>
              <w:rPr>
                <w:rFonts w:hint="eastAsia" w:ascii="Times New Roman" w:hAnsi="Times New Roman" w:eastAsia="宋体"/>
                <w:b w:val="0"/>
                <w:bCs w:val="0"/>
                <w:caps w:val="0"/>
                <w:color w:val="auto"/>
                <w:sz w:val="24"/>
                <w:szCs w:val="24"/>
                <w:lang w:val="en-US" w:eastAsia="zh-CN"/>
              </w:rPr>
              <w:t>5</w:t>
            </w:r>
            <w:r>
              <w:rPr>
                <w:rFonts w:hint="eastAsia" w:ascii="Times New Roman" w:hAnsi="Times New Roman" w:eastAsia="宋体"/>
                <w:b w:val="0"/>
                <w:bCs w:val="0"/>
                <w:caps w:val="0"/>
                <w:color w:val="auto"/>
                <w:sz w:val="24"/>
                <w:szCs w:val="24"/>
              </w:rPr>
              <w:t>%</w:t>
            </w:r>
            <w:r>
              <w:rPr>
                <w:rFonts w:hint="eastAsia" w:ascii="Times New Roman" w:hAnsi="Times New Roman" w:eastAsia="宋体"/>
                <w:b w:val="0"/>
                <w:bCs w:val="0"/>
                <w:caps w:val="0"/>
                <w:color w:val="auto"/>
                <w:sz w:val="24"/>
                <w:szCs w:val="24"/>
                <w:lang w:eastAsia="zh-CN"/>
              </w:rPr>
              <w:t>。</w:t>
            </w:r>
            <w:r>
              <w:rPr>
                <w:rFonts w:hint="eastAsia" w:ascii="Times New Roman" w:hAnsi="Times New Roman" w:eastAsia="宋体"/>
                <w:b w:val="0"/>
                <w:bCs w:val="0"/>
                <w:caps w:val="0"/>
                <w:color w:val="auto"/>
                <w:sz w:val="24"/>
                <w:szCs w:val="24"/>
              </w:rPr>
              <w:t>另外</w:t>
            </w:r>
            <w:r>
              <w:rPr>
                <w:rFonts w:hint="eastAsia" w:ascii="Times New Roman" w:hAnsi="Times New Roman" w:eastAsia="宋体" w:cs="Times New Roman"/>
                <w:b w:val="0"/>
                <w:bCs w:val="0"/>
                <w:color w:val="auto"/>
                <w:sz w:val="24"/>
                <w:szCs w:val="24"/>
                <w:vertAlign w:val="baseline"/>
                <w:lang w:val="en-US" w:eastAsia="zh-CN"/>
              </w:rPr>
              <w:t>高固份漆</w:t>
            </w:r>
            <w:r>
              <w:rPr>
                <w:rFonts w:hint="eastAsia" w:ascii="Times New Roman" w:hAnsi="Times New Roman" w:eastAsia="宋体"/>
                <w:b w:val="0"/>
                <w:bCs w:val="0"/>
                <w:caps w:val="0"/>
                <w:color w:val="auto"/>
                <w:sz w:val="24"/>
                <w:szCs w:val="24"/>
              </w:rPr>
              <w:t>喷枪清洗采用稀释剂清洗（喷漆房内进行），清洗液</w:t>
            </w:r>
            <w:r>
              <w:rPr>
                <w:rFonts w:hint="eastAsia"/>
                <w:b w:val="0"/>
                <w:bCs w:val="0"/>
                <w:caps w:val="0"/>
                <w:color w:val="auto"/>
                <w:sz w:val="24"/>
                <w:szCs w:val="24"/>
                <w:lang w:val="en-US" w:eastAsia="zh-CN"/>
              </w:rPr>
              <w:t>作为危废处置</w:t>
            </w:r>
            <w:r>
              <w:rPr>
                <w:rFonts w:hint="eastAsia" w:ascii="Times New Roman" w:hAnsi="Times New Roman" w:eastAsia="宋体"/>
                <w:b w:val="0"/>
                <w:bCs w:val="0"/>
                <w:caps w:val="0"/>
                <w:color w:val="auto"/>
                <w:sz w:val="24"/>
                <w:szCs w:val="24"/>
                <w:lang w:val="en-US" w:eastAsia="zh-CN"/>
              </w:rPr>
              <w:t>。</w:t>
            </w:r>
            <w:r>
              <w:rPr>
                <w:rFonts w:hint="eastAsia" w:ascii="Times New Roman" w:hAnsi="Times New Roman" w:eastAsia="宋体"/>
                <w:b w:val="0"/>
                <w:bCs w:val="0"/>
                <w:caps w:val="0"/>
                <w:color w:val="auto"/>
                <w:sz w:val="24"/>
                <w:szCs w:val="24"/>
              </w:rPr>
              <w:t>调漆废气和喷漆、晾干废气经喷漆房收集后由同一废气处理设施处理后高空排放，故本报告将调漆与喷枪清洗工序少量挥发废气纳入喷漆工段一并分析。</w:t>
            </w:r>
          </w:p>
          <w:p>
            <w:pPr>
              <w:pStyle w:val="38"/>
              <w:bidi w:val="0"/>
              <w:rPr>
                <w:rFonts w:hint="eastAsia" w:ascii="Times New Roman" w:hAnsi="Times New Roman" w:eastAsia="宋体"/>
                <w:b w:val="0"/>
                <w:bCs w:val="0"/>
                <w:caps w:val="0"/>
                <w:color w:val="auto"/>
                <w:sz w:val="24"/>
                <w:szCs w:val="24"/>
              </w:rPr>
            </w:pPr>
            <w:r>
              <w:rPr>
                <w:rFonts w:hint="eastAsia" w:ascii="Times New Roman" w:hAnsi="Times New Roman" w:eastAsia="宋体"/>
                <w:b w:val="0"/>
                <w:bCs w:val="0"/>
                <w:caps w:val="0"/>
                <w:color w:val="auto"/>
                <w:sz w:val="24"/>
                <w:szCs w:val="24"/>
              </w:rPr>
              <w:t>喷涂技术参数如下：</w:t>
            </w:r>
          </w:p>
          <w:p>
            <w:pPr>
              <w:pStyle w:val="38"/>
              <w:bidi w:val="0"/>
              <w:rPr>
                <w:rFonts w:hint="default" w:ascii="Times New Roman" w:hAnsi="Times New Roman" w:eastAsia="宋体"/>
                <w:b w:val="0"/>
                <w:bCs w:val="0"/>
                <w:caps w:val="0"/>
                <w:color w:val="auto"/>
                <w:sz w:val="24"/>
                <w:szCs w:val="24"/>
                <w:lang w:val="en-US"/>
              </w:rPr>
            </w:pPr>
            <w:r>
              <w:rPr>
                <w:rFonts w:hint="eastAsia" w:ascii="Times New Roman" w:hAnsi="Times New Roman" w:eastAsia="宋体"/>
                <w:b w:val="0"/>
                <w:bCs w:val="0"/>
                <w:caps w:val="0"/>
                <w:color w:val="auto"/>
                <w:sz w:val="24"/>
                <w:szCs w:val="24"/>
              </w:rPr>
              <w:t>本项目喷漆房尺寸为长1</w:t>
            </w:r>
            <w:r>
              <w:rPr>
                <w:rFonts w:hint="eastAsia" w:ascii="Times New Roman" w:hAnsi="Times New Roman" w:eastAsia="宋体"/>
                <w:b w:val="0"/>
                <w:bCs w:val="0"/>
                <w:caps w:val="0"/>
                <w:color w:val="auto"/>
                <w:sz w:val="24"/>
                <w:szCs w:val="24"/>
                <w:lang w:val="en-US" w:eastAsia="zh-CN"/>
              </w:rPr>
              <w:t>4</w:t>
            </w:r>
            <w:r>
              <w:rPr>
                <w:rFonts w:hint="eastAsia" w:ascii="Times New Roman" w:hAnsi="Times New Roman" w:eastAsia="宋体"/>
                <w:b w:val="0"/>
                <w:bCs w:val="0"/>
                <w:caps w:val="0"/>
                <w:color w:val="auto"/>
                <w:sz w:val="24"/>
                <w:szCs w:val="24"/>
              </w:rPr>
              <w:t>m×</w:t>
            </w:r>
            <w:r>
              <w:rPr>
                <w:rFonts w:hint="eastAsia" w:ascii="Times New Roman" w:hAnsi="Times New Roman" w:eastAsia="宋体"/>
                <w:b w:val="0"/>
                <w:bCs w:val="0"/>
                <w:caps w:val="0"/>
                <w:color w:val="auto"/>
                <w:sz w:val="24"/>
                <w:szCs w:val="24"/>
                <w:lang w:val="en-US" w:eastAsia="zh-CN"/>
              </w:rPr>
              <w:t>8</w:t>
            </w:r>
            <w:r>
              <w:rPr>
                <w:rFonts w:hint="eastAsia" w:ascii="Times New Roman" w:hAnsi="Times New Roman" w:eastAsia="宋体"/>
                <w:b w:val="0"/>
                <w:bCs w:val="0"/>
                <w:caps w:val="0"/>
                <w:color w:val="auto"/>
                <w:sz w:val="24"/>
                <w:szCs w:val="24"/>
              </w:rPr>
              <w:t>m×</w:t>
            </w:r>
            <w:r>
              <w:rPr>
                <w:rFonts w:hint="eastAsia" w:ascii="Times New Roman" w:hAnsi="Times New Roman" w:eastAsia="宋体"/>
                <w:b w:val="0"/>
                <w:bCs w:val="0"/>
                <w:caps w:val="0"/>
                <w:color w:val="auto"/>
                <w:sz w:val="24"/>
                <w:szCs w:val="24"/>
                <w:lang w:val="en-US" w:eastAsia="zh-CN"/>
              </w:rPr>
              <w:t>4</w:t>
            </w:r>
            <w:r>
              <w:rPr>
                <w:rFonts w:hint="eastAsia" w:ascii="Times New Roman" w:hAnsi="Times New Roman" w:eastAsia="宋体"/>
                <w:b w:val="0"/>
                <w:bCs w:val="0"/>
                <w:caps w:val="0"/>
                <w:color w:val="auto"/>
                <w:sz w:val="24"/>
                <w:szCs w:val="24"/>
              </w:rPr>
              <w:t>m，喷漆房内设置</w:t>
            </w:r>
            <w:r>
              <w:rPr>
                <w:rFonts w:hint="eastAsia" w:ascii="Times New Roman" w:hAnsi="Times New Roman" w:eastAsia="宋体"/>
                <w:b w:val="0"/>
                <w:bCs w:val="0"/>
                <w:caps w:val="0"/>
                <w:color w:val="auto"/>
                <w:sz w:val="24"/>
                <w:szCs w:val="24"/>
                <w:lang w:val="en-US" w:eastAsia="zh-CN"/>
              </w:rPr>
              <w:t>2</w:t>
            </w:r>
            <w:r>
              <w:rPr>
                <w:rFonts w:hint="eastAsia" w:ascii="Times New Roman" w:hAnsi="Times New Roman" w:eastAsia="宋体"/>
                <w:b w:val="0"/>
                <w:bCs w:val="0"/>
                <w:caps w:val="0"/>
                <w:color w:val="auto"/>
                <w:sz w:val="24"/>
                <w:szCs w:val="24"/>
              </w:rPr>
              <w:t>把喷枪，用于</w:t>
            </w:r>
            <w:r>
              <w:rPr>
                <w:rFonts w:hint="eastAsia" w:ascii="Times New Roman" w:hAnsi="Times New Roman" w:eastAsia="宋体"/>
                <w:b w:val="0"/>
                <w:bCs w:val="0"/>
                <w:caps w:val="0"/>
                <w:color w:val="auto"/>
                <w:sz w:val="24"/>
                <w:szCs w:val="24"/>
                <w:lang w:val="en-US" w:eastAsia="zh-CN"/>
              </w:rPr>
              <w:t>高固份漆</w:t>
            </w:r>
            <w:r>
              <w:rPr>
                <w:rFonts w:hint="eastAsia" w:ascii="Times New Roman" w:hAnsi="Times New Roman" w:eastAsia="宋体"/>
                <w:b w:val="0"/>
                <w:bCs w:val="0"/>
                <w:caps w:val="0"/>
                <w:color w:val="auto"/>
                <w:sz w:val="24"/>
                <w:szCs w:val="24"/>
              </w:rPr>
              <w:t>使用</w:t>
            </w:r>
            <w:r>
              <w:rPr>
                <w:rFonts w:hint="eastAsia" w:ascii="Times New Roman" w:hAnsi="Times New Roman" w:eastAsia="宋体"/>
                <w:b w:val="0"/>
                <w:bCs w:val="0"/>
                <w:caps w:val="0"/>
                <w:color w:val="auto"/>
                <w:sz w:val="24"/>
                <w:szCs w:val="24"/>
                <w:lang w:eastAsia="zh-CN"/>
              </w:rPr>
              <w:t>，</w:t>
            </w:r>
            <w:r>
              <w:rPr>
                <w:rFonts w:hint="eastAsia" w:ascii="Times New Roman" w:hAnsi="Times New Roman" w:eastAsia="宋体"/>
                <w:b w:val="0"/>
                <w:bCs w:val="0"/>
                <w:caps w:val="0"/>
                <w:color w:val="auto"/>
                <w:sz w:val="24"/>
                <w:szCs w:val="24"/>
                <w:lang w:val="en-US" w:eastAsia="zh-CN"/>
              </w:rPr>
              <w:t>喷枪不同时使用</w:t>
            </w:r>
            <w:r>
              <w:rPr>
                <w:rFonts w:hint="eastAsia" w:ascii="Times New Roman" w:hAnsi="Times New Roman" w:eastAsia="宋体"/>
                <w:b w:val="0"/>
                <w:bCs w:val="0"/>
                <w:caps w:val="0"/>
                <w:color w:val="auto"/>
                <w:sz w:val="24"/>
                <w:szCs w:val="24"/>
              </w:rPr>
              <w:t>，喷漆流速均为</w:t>
            </w:r>
            <w:r>
              <w:rPr>
                <w:rFonts w:hint="eastAsia" w:ascii="Times New Roman" w:hAnsi="Times New Roman" w:eastAsia="宋体"/>
                <w:b w:val="0"/>
                <w:bCs w:val="0"/>
                <w:caps w:val="0"/>
                <w:color w:val="auto"/>
                <w:sz w:val="24"/>
                <w:szCs w:val="24"/>
                <w:lang w:val="en-US" w:eastAsia="zh-CN"/>
              </w:rPr>
              <w:t>80</w:t>
            </w:r>
            <w:r>
              <w:rPr>
                <w:rFonts w:hint="eastAsia" w:ascii="Times New Roman" w:hAnsi="Times New Roman" w:eastAsia="宋体"/>
                <w:b w:val="0"/>
                <w:bCs w:val="0"/>
                <w:caps w:val="0"/>
                <w:color w:val="auto"/>
                <w:sz w:val="24"/>
                <w:szCs w:val="24"/>
              </w:rPr>
              <w:t>g/min</w:t>
            </w:r>
            <w:r>
              <w:rPr>
                <w:rFonts w:hint="eastAsia" w:ascii="Times New Roman" w:hAnsi="Times New Roman" w:eastAsia="宋体"/>
                <w:b w:val="0"/>
                <w:bCs w:val="0"/>
                <w:caps w:val="0"/>
                <w:color w:val="auto"/>
                <w:sz w:val="24"/>
                <w:szCs w:val="24"/>
                <w:lang w:eastAsia="zh-CN"/>
              </w:rPr>
              <w:t>，</w:t>
            </w:r>
            <w:r>
              <w:rPr>
                <w:rFonts w:hint="eastAsia" w:ascii="Times New Roman" w:hAnsi="Times New Roman" w:eastAsia="宋体" w:cs="Times New Roman"/>
                <w:b w:val="0"/>
                <w:bCs w:val="0"/>
                <w:color w:val="auto"/>
                <w:sz w:val="24"/>
                <w:szCs w:val="24"/>
                <w:vertAlign w:val="baseline"/>
                <w:lang w:val="en-US" w:eastAsia="zh-CN"/>
              </w:rPr>
              <w:t>高固份漆喷涂时间=5.65</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10</w:t>
            </w:r>
            <w:r>
              <w:rPr>
                <w:rFonts w:hint="eastAsia" w:ascii="Times New Roman" w:hAnsi="Times New Roman" w:eastAsia="宋体" w:cs="Times New Roman"/>
                <w:b w:val="0"/>
                <w:bCs w:val="0"/>
                <w:color w:val="auto"/>
                <w:sz w:val="24"/>
                <w:szCs w:val="24"/>
                <w:vertAlign w:val="superscript"/>
                <w:lang w:val="en-US" w:eastAsia="zh-CN"/>
              </w:rPr>
              <w:t>6</w:t>
            </w:r>
            <w:r>
              <w:rPr>
                <w:rFonts w:hint="eastAsia"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0</w:t>
            </w:r>
            <w:r>
              <w:rPr>
                <w:rFonts w:hint="eastAsia" w:ascii="Times New Roman" w:hAnsi="Times New Roman" w:eastAsia="宋体" w:cs="Times New Roman"/>
                <w:b w:val="0"/>
                <w:bCs w:val="0"/>
                <w:color w:val="auto"/>
                <w:sz w:val="24"/>
                <w:szCs w:val="24"/>
                <w:lang w:val="en-US" w:eastAsia="zh-CN"/>
              </w:rPr>
              <w:t>/60/2</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588h/a，本项目喷漆后再晾干，且夜间不生产，晾干后即组装入库，根据企业提供资料，晾干时间为1800h/a（冬季利用灯罩辅助完成）。</w:t>
            </w:r>
          </w:p>
          <w:p>
            <w:pPr>
              <w:pStyle w:val="38"/>
              <w:bidi w:val="0"/>
              <w:rPr>
                <w:rFonts w:hint="eastAsia" w:ascii="Times New Roman" w:hAnsi="Times New Roman" w:eastAsia="宋体"/>
                <w:b w:val="0"/>
                <w:bCs w:val="0"/>
                <w:caps w:val="0"/>
                <w:color w:val="auto"/>
                <w:sz w:val="24"/>
                <w:szCs w:val="24"/>
              </w:rPr>
            </w:pPr>
            <w:r>
              <w:rPr>
                <w:rFonts w:hint="eastAsia" w:ascii="Times New Roman" w:hAnsi="Times New Roman" w:eastAsia="宋体"/>
                <w:b w:val="0"/>
                <w:bCs w:val="0"/>
                <w:caps w:val="0"/>
                <w:color w:val="auto"/>
                <w:sz w:val="24"/>
                <w:szCs w:val="24"/>
              </w:rPr>
              <w:t>本项目调漆在喷漆房内进行，在废气处理装置开启状态下进行调漆，调漆时喷漆房处于密闭负压状态，另外喷枪清洗采用稀释剂清洗，清洗液</w:t>
            </w:r>
            <w:r>
              <w:rPr>
                <w:rFonts w:hint="eastAsia"/>
                <w:b w:val="0"/>
                <w:bCs w:val="0"/>
                <w:caps w:val="0"/>
                <w:color w:val="auto"/>
                <w:sz w:val="24"/>
                <w:szCs w:val="24"/>
                <w:lang w:val="en-US" w:eastAsia="zh-CN"/>
              </w:rPr>
              <w:t>作为危废处置</w:t>
            </w:r>
            <w:r>
              <w:rPr>
                <w:rFonts w:hint="eastAsia" w:ascii="Times New Roman" w:hAnsi="Times New Roman" w:eastAsia="宋体"/>
                <w:b w:val="0"/>
                <w:bCs w:val="0"/>
                <w:caps w:val="0"/>
                <w:color w:val="auto"/>
                <w:sz w:val="24"/>
                <w:szCs w:val="24"/>
              </w:rPr>
              <w:t>，调漆废气和喷漆、晾干废气分别收集后经过同一废气处理设施处理后高空排放，故本报告将调漆与喷枪清洗工序少量挥发废气纳入喷漆工段一并分析。</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本项目需喷涂的工件大小、长短不一，本项目产品仅钢板、型材表面需进行喷漆无典型代表性规格尺寸，但喷涂工件的总表面积近似等于钢板、型材的</w:t>
            </w:r>
            <w:r>
              <w:rPr>
                <w:rFonts w:hint="eastAsia"/>
                <w:color w:val="auto"/>
                <w:sz w:val="24"/>
                <w:szCs w:val="24"/>
                <w:lang w:val="en-US" w:eastAsia="zh-CN"/>
              </w:rPr>
              <w:t>表</w:t>
            </w:r>
            <w:r>
              <w:rPr>
                <w:rFonts w:hint="eastAsia" w:ascii="Times New Roman" w:hAnsi="Times New Roman" w:eastAsia="宋体"/>
                <w:color w:val="auto"/>
                <w:sz w:val="24"/>
                <w:szCs w:val="24"/>
                <w:lang w:val="en-US" w:eastAsia="zh-CN"/>
              </w:rPr>
              <w:t>面积，因此，本项目按钢板、型材用量的</w:t>
            </w:r>
            <w:r>
              <w:rPr>
                <w:rFonts w:hint="eastAsia"/>
                <w:color w:val="auto"/>
                <w:sz w:val="24"/>
                <w:szCs w:val="24"/>
                <w:lang w:val="en-US" w:eastAsia="zh-CN"/>
              </w:rPr>
              <w:t>表</w:t>
            </w:r>
            <w:r>
              <w:rPr>
                <w:rFonts w:hint="eastAsia" w:ascii="Times New Roman" w:hAnsi="Times New Roman" w:eastAsia="宋体"/>
                <w:color w:val="auto"/>
                <w:sz w:val="24"/>
                <w:szCs w:val="24"/>
                <w:lang w:val="en-US" w:eastAsia="zh-CN"/>
              </w:rPr>
              <w:t>面积进行喷涂面积核算。</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用漆量用量采用以下公式计算：</w:t>
            </w:r>
          </w:p>
          <w:p>
            <w:pPr>
              <w:snapToGrid w:val="0"/>
              <w:spacing w:line="360" w:lineRule="auto"/>
              <w:ind w:firstLine="420" w:firstLineChars="200"/>
              <w:rPr>
                <w:rFonts w:hint="eastAsia" w:ascii="Times New Roman" w:hAnsi="Times New Roman" w:eastAsia="宋体"/>
                <w:color w:val="auto"/>
                <w:sz w:val="24"/>
                <w:szCs w:val="24"/>
                <w:lang w:val="en-US" w:eastAsia="zh-CN"/>
              </w:rPr>
            </w:pPr>
            <w:r>
              <w:rPr>
                <w:rFonts w:ascii="Times New Roman" w:hAnsi="Times New Roman" w:eastAsia="宋体"/>
                <w:color w:val="auto"/>
              </w:rPr>
              <w:drawing>
                <wp:inline distT="0" distB="0" distL="114300" distR="114300">
                  <wp:extent cx="2705100" cy="457200"/>
                  <wp:effectExtent l="0" t="0" r="7620"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8"/>
                          <a:stretch>
                            <a:fillRect/>
                          </a:stretch>
                        </pic:blipFill>
                        <pic:spPr>
                          <a:xfrm>
                            <a:off x="0" y="0"/>
                            <a:ext cx="2705100" cy="457200"/>
                          </a:xfrm>
                          <a:prstGeom prst="rect">
                            <a:avLst/>
                          </a:prstGeom>
                          <a:noFill/>
                          <a:ln>
                            <a:noFill/>
                          </a:ln>
                        </pic:spPr>
                      </pic:pic>
                    </a:graphicData>
                  </a:graphic>
                </wp:inline>
              </w:drawing>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其中：m—油漆总用量（t/a）；</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ρ—油漆密度（g/cm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δ—涂层厚度（μm）；</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S—涂装总面积（m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olor w:val="auto"/>
                <w:sz w:val="24"/>
                <w:szCs w:val="24"/>
                <w:lang w:val="en-US" w:eastAsia="zh-CN"/>
              </w:rPr>
              <w:t>/年）；</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NV—油漆中的固体份（%）；</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ε—油漆上漆率。</w:t>
            </w:r>
          </w:p>
          <w:p>
            <w:pPr>
              <w:snapToGrid w:val="0"/>
              <w:spacing w:line="360" w:lineRule="auto"/>
              <w:ind w:firstLine="480" w:firstLineChars="200"/>
              <w:rPr>
                <w:rFonts w:ascii="Times New Roman" w:hAnsi="Times New Roman" w:eastAsia="宋体"/>
                <w:b/>
                <w:bCs/>
                <w:color w:val="auto"/>
                <w:sz w:val="24"/>
                <w:szCs w:val="24"/>
              </w:rPr>
            </w:pPr>
            <w:r>
              <w:rPr>
                <w:rFonts w:ascii="Times New Roman" w:hAnsi="Times New Roman" w:eastAsia="宋体"/>
                <w:color w:val="auto"/>
                <w:sz w:val="24"/>
                <w:szCs w:val="24"/>
              </w:rPr>
              <w:t>本项目工件涂装面积见表</w:t>
            </w:r>
            <w:r>
              <w:rPr>
                <w:rFonts w:hint="eastAsia" w:ascii="Times New Roman" w:hAnsi="Times New Roman" w:eastAsia="宋体"/>
                <w:color w:val="auto"/>
                <w:sz w:val="24"/>
                <w:szCs w:val="24"/>
                <w:lang w:val="en-US" w:eastAsia="zh-CN"/>
              </w:rPr>
              <w:t>2-8</w:t>
            </w:r>
            <w:r>
              <w:rPr>
                <w:rFonts w:ascii="Times New Roman" w:hAnsi="Times New Roman" w:eastAsia="宋体"/>
                <w:color w:val="auto"/>
                <w:sz w:val="24"/>
                <w:szCs w:val="24"/>
              </w:rPr>
              <w:t>。根据企业提供的喷涂技术参数，同时查阅相关文献资料根据《涂装工艺与设备》（化学工业出版社），涂着效率约为 65%~75%，本次环评取</w:t>
            </w:r>
            <w:r>
              <w:rPr>
                <w:rFonts w:hint="eastAsia" w:ascii="Times New Roman" w:hAnsi="Times New Roman" w:eastAsia="宋体"/>
                <w:color w:val="auto"/>
                <w:sz w:val="24"/>
                <w:szCs w:val="24"/>
                <w:lang w:val="en-US" w:eastAsia="zh-CN"/>
              </w:rPr>
              <w:t>70</w:t>
            </w:r>
            <w:r>
              <w:rPr>
                <w:rFonts w:ascii="Times New Roman" w:hAnsi="Times New Roman" w:eastAsia="宋体"/>
                <w:color w:val="auto"/>
                <w:sz w:val="24"/>
                <w:szCs w:val="24"/>
              </w:rPr>
              <w:t>%。</w:t>
            </w:r>
          </w:p>
          <w:p>
            <w:pPr>
              <w:pStyle w:val="38"/>
              <w:bidi w:val="0"/>
              <w:rPr>
                <w:rFonts w:hint="eastAsia" w:ascii="Times New Roman" w:hAnsi="Times New Roman" w:eastAsia="宋体"/>
                <w:b w:val="0"/>
                <w:bCs w:val="0"/>
                <w:caps w:val="0"/>
                <w:color w:val="auto"/>
                <w:sz w:val="24"/>
                <w:szCs w:val="24"/>
              </w:rPr>
            </w:pPr>
            <w:r>
              <w:rPr>
                <w:rFonts w:hint="eastAsia" w:ascii="Times New Roman" w:hAnsi="Times New Roman" w:eastAsia="宋体"/>
                <w:b w:val="0"/>
                <w:bCs w:val="0"/>
                <w:caps w:val="0"/>
                <w:color w:val="auto"/>
                <w:sz w:val="24"/>
                <w:szCs w:val="24"/>
              </w:rPr>
              <w:t>喷涂产品参数如下：</w:t>
            </w:r>
          </w:p>
          <w:p>
            <w:pPr>
              <w:pStyle w:val="4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aps w:val="0"/>
                <w:color w:val="auto"/>
                <w:sz w:val="21"/>
                <w:szCs w:val="21"/>
                <w:lang w:val="en-US" w:eastAsia="zh-CN"/>
              </w:rPr>
            </w:pPr>
            <w:r>
              <w:rPr>
                <w:rFonts w:hint="eastAsia" w:ascii="Times New Roman" w:hAnsi="Times New Roman" w:eastAsia="宋体"/>
                <w:caps w:val="0"/>
                <w:color w:val="auto"/>
                <w:sz w:val="21"/>
                <w:szCs w:val="21"/>
                <w:lang w:val="en-US" w:eastAsia="zh-CN"/>
              </w:rPr>
              <w:t>表2-8 建设项目喷涂参数表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361"/>
              <w:gridCol w:w="1251"/>
              <w:gridCol w:w="1296"/>
              <w:gridCol w:w="1663"/>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tcBorders>
                    <w:tl2br w:val="nil"/>
                    <w:tr2bl w:val="nil"/>
                  </w:tcBorders>
                  <w:noWrap w:val="0"/>
                  <w:vAlign w:val="center"/>
                </w:tcPr>
                <w:p>
                  <w:pPr>
                    <w:adjustRightInd w:val="0"/>
                    <w:snapToGrid w:val="0"/>
                    <w:spacing w:line="320" w:lineRule="exact"/>
                    <w:ind w:firstLine="0" w:firstLineChars="0"/>
                    <w:jc w:val="center"/>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cs="Times New Roman"/>
                      <w:b/>
                      <w:bCs w:val="0"/>
                      <w:color w:val="auto"/>
                      <w:sz w:val="21"/>
                      <w:szCs w:val="21"/>
                      <w:lang w:eastAsia="zh-CN"/>
                    </w:rPr>
                    <w:t>材质</w:t>
                  </w:r>
                </w:p>
              </w:tc>
              <w:tc>
                <w:tcPr>
                  <w:tcW w:w="815" w:type="pct"/>
                  <w:tcBorders>
                    <w:tl2br w:val="nil"/>
                    <w:tr2bl w:val="nil"/>
                  </w:tcBorders>
                  <w:noWrap w:val="0"/>
                  <w:vAlign w:val="center"/>
                </w:tcPr>
                <w:p>
                  <w:pPr>
                    <w:adjustRightInd w:val="0"/>
                    <w:snapToGrid w:val="0"/>
                    <w:spacing w:line="320" w:lineRule="exact"/>
                    <w:ind w:firstLine="0" w:firstLineChars="0"/>
                    <w:jc w:val="center"/>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cs="Times New Roman"/>
                      <w:b/>
                      <w:bCs w:val="0"/>
                      <w:color w:val="auto"/>
                      <w:sz w:val="21"/>
                      <w:szCs w:val="21"/>
                      <w:lang w:eastAsia="zh-CN"/>
                    </w:rPr>
                    <w:t>用量（</w:t>
                  </w:r>
                  <w:r>
                    <w:rPr>
                      <w:rFonts w:hint="eastAsia" w:ascii="Times New Roman" w:hAnsi="Times New Roman" w:eastAsia="宋体" w:cs="Times New Roman"/>
                      <w:b/>
                      <w:bCs w:val="0"/>
                      <w:color w:val="auto"/>
                      <w:sz w:val="21"/>
                      <w:szCs w:val="21"/>
                      <w:lang w:val="en-US" w:eastAsia="zh-CN"/>
                    </w:rPr>
                    <w:t>t/a</w:t>
                  </w:r>
                  <w:r>
                    <w:rPr>
                      <w:rFonts w:hint="eastAsia" w:ascii="Times New Roman" w:hAnsi="Times New Roman" w:eastAsia="宋体" w:cs="Times New Roman"/>
                      <w:b/>
                      <w:bCs w:val="0"/>
                      <w:color w:val="auto"/>
                      <w:sz w:val="21"/>
                      <w:szCs w:val="21"/>
                      <w:lang w:eastAsia="zh-CN"/>
                    </w:rPr>
                    <w:t>）</w:t>
                  </w:r>
                </w:p>
              </w:tc>
              <w:tc>
                <w:tcPr>
                  <w:tcW w:w="74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b/>
                      <w:bCs/>
                      <w:color w:val="auto"/>
                      <w:kern w:val="2"/>
                      <w:sz w:val="21"/>
                      <w:szCs w:val="21"/>
                      <w:vertAlign w:val="baseline"/>
                      <w:lang w:val="en-US" w:eastAsia="zh-CN" w:bidi="ar-SA"/>
                    </w:rPr>
                  </w:pPr>
                  <w:r>
                    <w:rPr>
                      <w:rFonts w:hint="eastAsia" w:ascii="Times New Roman" w:hAnsi="Times New Roman" w:eastAsia="宋体"/>
                      <w:b/>
                      <w:bCs/>
                      <w:color w:val="auto"/>
                      <w:sz w:val="21"/>
                      <w:szCs w:val="21"/>
                      <w:vertAlign w:val="baseline"/>
                      <w:lang w:val="en-US" w:eastAsia="zh-CN"/>
                    </w:rPr>
                    <w:t>厚度</w:t>
                  </w:r>
                  <w:r>
                    <w:rPr>
                      <w:rFonts w:hint="default" w:ascii="Times New Roman" w:hAnsi="Times New Roman" w:eastAsia="宋体" w:cs="Times New Roman"/>
                      <w:b/>
                      <w:bCs/>
                      <w:color w:val="auto"/>
                      <w:sz w:val="21"/>
                      <w:szCs w:val="21"/>
                      <w:vertAlign w:val="superscript"/>
                      <w:lang w:val="en-US" w:eastAsia="zh-CN"/>
                    </w:rPr>
                    <w:t>①</w:t>
                  </w:r>
                  <w:r>
                    <w:rPr>
                      <w:rFonts w:hint="eastAsia" w:ascii="Times New Roman" w:hAnsi="Times New Roman" w:eastAsia="宋体"/>
                      <w:b/>
                      <w:bCs/>
                      <w:color w:val="auto"/>
                      <w:sz w:val="21"/>
                      <w:szCs w:val="21"/>
                      <w:vertAlign w:val="baseline"/>
                      <w:lang w:val="en-US" w:eastAsia="zh-CN"/>
                    </w:rPr>
                    <w:t>（mm）</w:t>
                  </w:r>
                </w:p>
              </w:tc>
              <w:tc>
                <w:tcPr>
                  <w:tcW w:w="77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密度（t/m</w:t>
                  </w:r>
                  <w:r>
                    <w:rPr>
                      <w:rFonts w:hint="eastAsia" w:ascii="Times New Roman" w:hAnsi="Times New Roman" w:eastAsia="宋体"/>
                      <w:b/>
                      <w:bCs/>
                      <w:color w:val="auto"/>
                      <w:sz w:val="21"/>
                      <w:szCs w:val="21"/>
                      <w:vertAlign w:val="superscript"/>
                      <w:lang w:val="en-US" w:eastAsia="zh-CN"/>
                    </w:rPr>
                    <w:t>2</w:t>
                  </w:r>
                  <w:r>
                    <w:rPr>
                      <w:rFonts w:hint="eastAsia" w:ascii="Times New Roman" w:hAnsi="Times New Roman" w:eastAsia="宋体"/>
                      <w:b/>
                      <w:bCs/>
                      <w:color w:val="auto"/>
                      <w:sz w:val="21"/>
                      <w:szCs w:val="21"/>
                      <w:vertAlign w:val="baseline"/>
                      <w:lang w:val="en-US" w:eastAsia="zh-CN"/>
                    </w:rPr>
                    <w:t>）</w:t>
                  </w:r>
                </w:p>
              </w:tc>
              <w:tc>
                <w:tcPr>
                  <w:tcW w:w="996"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单道喷涂面积</w:t>
                  </w:r>
                  <w:r>
                    <w:rPr>
                      <w:rFonts w:hint="eastAsia" w:ascii="Times New Roman" w:hAnsi="Times New Roman" w:eastAsia="宋体" w:cs="Times New Roman"/>
                      <w:b/>
                      <w:bCs/>
                      <w:color w:val="auto"/>
                      <w:sz w:val="21"/>
                      <w:szCs w:val="21"/>
                      <w:vertAlign w:val="superscript"/>
                      <w:lang w:val="en-US" w:eastAsia="zh-CN"/>
                    </w:rPr>
                    <w:t>②</w:t>
                  </w:r>
                  <w:r>
                    <w:rPr>
                      <w:rFonts w:hint="eastAsia" w:ascii="Times New Roman" w:hAnsi="Times New Roman" w:eastAsia="宋体"/>
                      <w:b/>
                      <w:bCs/>
                      <w:color w:val="auto"/>
                      <w:sz w:val="21"/>
                      <w:szCs w:val="21"/>
                      <w:vertAlign w:val="baseline"/>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eastAsia" w:ascii="Times New Roman" w:hAnsi="Times New Roman" w:eastAsia="宋体"/>
                      <w:b/>
                      <w:bCs/>
                      <w:color w:val="auto"/>
                      <w:sz w:val="21"/>
                      <w:szCs w:val="21"/>
                      <w:vertAlign w:val="baseline"/>
                      <w:lang w:val="en-US" w:eastAsia="zh-CN"/>
                    </w:rPr>
                    <w:t>）</w:t>
                  </w:r>
                </w:p>
              </w:tc>
              <w:tc>
                <w:tcPr>
                  <w:tcW w:w="9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喷涂总面积（两道漆）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tcBorders>
                    <w:tl2br w:val="nil"/>
                    <w:tr2bl w:val="nil"/>
                  </w:tcBorders>
                  <w:noWrap w:val="0"/>
                  <w:vAlign w:val="center"/>
                </w:tcPr>
                <w:p>
                  <w:pPr>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钢板</w:t>
                  </w:r>
                </w:p>
              </w:tc>
              <w:tc>
                <w:tcPr>
                  <w:tcW w:w="815" w:type="pct"/>
                  <w:tcBorders>
                    <w:tl2br w:val="nil"/>
                    <w:tr2bl w:val="nil"/>
                  </w:tcBorders>
                  <w:noWrap w:val="0"/>
                  <w:vAlign w:val="center"/>
                </w:tcPr>
                <w:p>
                  <w:pPr>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1350</w:t>
                  </w:r>
                </w:p>
              </w:tc>
              <w:tc>
                <w:tcPr>
                  <w:tcW w:w="74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r>
                    <w:rPr>
                      <w:rFonts w:hint="eastAsia"/>
                      <w:color w:val="auto"/>
                      <w:sz w:val="21"/>
                      <w:szCs w:val="21"/>
                      <w:lang w:val="en-US" w:eastAsia="zh-CN"/>
                    </w:rPr>
                    <w:t>4</w:t>
                  </w:r>
                </w:p>
              </w:tc>
              <w:tc>
                <w:tcPr>
                  <w:tcW w:w="77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7.8</w:t>
                  </w:r>
                </w:p>
              </w:tc>
              <w:tc>
                <w:tcPr>
                  <w:tcW w:w="9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12363 </w:t>
                  </w:r>
                </w:p>
              </w:tc>
              <w:tc>
                <w:tcPr>
                  <w:tcW w:w="9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4726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型材</w:t>
                  </w:r>
                </w:p>
              </w:tc>
              <w:tc>
                <w:tcPr>
                  <w:tcW w:w="815" w:type="pct"/>
                  <w:tcBorders>
                    <w:tl2br w:val="nil"/>
                    <w:tr2bl w:val="nil"/>
                  </w:tcBorders>
                  <w:noWrap w:val="0"/>
                  <w:vAlign w:val="center"/>
                </w:tcPr>
                <w:p>
                  <w:pPr>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74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77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7.8</w:t>
                  </w:r>
                </w:p>
              </w:tc>
              <w:tc>
                <w:tcPr>
                  <w:tcW w:w="996"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641</w:t>
                  </w:r>
                </w:p>
              </w:tc>
              <w:tc>
                <w:tcPr>
                  <w:tcW w:w="9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3" w:type="pct"/>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996"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13004</w:t>
                  </w:r>
                </w:p>
              </w:tc>
              <w:tc>
                <w:tcPr>
                  <w:tcW w:w="9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6008</w:t>
                  </w:r>
                </w:p>
              </w:tc>
            </w:tr>
          </w:tbl>
          <w:p>
            <w:pPr>
              <w:pStyle w:val="5"/>
              <w:widowControl/>
              <w:adjustRightInd w:val="0"/>
              <w:snapToGrid w:val="0"/>
              <w:spacing w:line="360" w:lineRule="auto"/>
              <w:ind w:firstLine="0" w:firstLineChars="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备注：①钢板厚度为10~35mm（本项目取1</w:t>
            </w:r>
            <w:r>
              <w:rPr>
                <w:rFonts w:hint="eastAsia" w:asci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mm）、型材厚度为6~20mm（本项目取10mm）</w:t>
            </w:r>
            <w:r>
              <w:rPr>
                <w:rFonts w:hint="eastAsia" w:ascii="Times New Roman" w:hAnsi="Times New Roman" w:eastAsia="宋体"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②喷涂</w:t>
            </w:r>
            <w:r>
              <w:rPr>
                <w:rFonts w:hint="default" w:ascii="Times New Roman" w:hAnsi="Times New Roman" w:eastAsia="宋体" w:cs="Times New Roman"/>
                <w:b w:val="0"/>
                <w:bCs/>
                <w:color w:val="auto"/>
                <w:sz w:val="21"/>
                <w:szCs w:val="21"/>
                <w:lang w:val="en-US" w:eastAsia="zh-CN"/>
              </w:rPr>
              <w:t>面积=（</w:t>
            </w:r>
            <w:r>
              <w:rPr>
                <w:rFonts w:hint="eastAsia" w:ascii="Times New Roman" w:hAnsi="Times New Roman" w:eastAsia="宋体" w:cs="Times New Roman"/>
                <w:b w:val="0"/>
                <w:bCs/>
                <w:color w:val="auto"/>
                <w:sz w:val="21"/>
                <w:szCs w:val="21"/>
                <w:lang w:val="en-US" w:eastAsia="zh-CN"/>
              </w:rPr>
              <w:t>原料</w:t>
            </w:r>
            <w:r>
              <w:rPr>
                <w:rFonts w:hint="default" w:ascii="Times New Roman" w:hAnsi="Times New Roman" w:eastAsia="宋体" w:cs="Times New Roman"/>
                <w:b w:val="0"/>
                <w:bCs/>
                <w:color w:val="auto"/>
                <w:sz w:val="21"/>
                <w:szCs w:val="21"/>
                <w:lang w:val="en-US" w:eastAsia="zh-CN"/>
              </w:rPr>
              <w:t>质量/</w:t>
            </w:r>
            <w:r>
              <w:rPr>
                <w:rFonts w:hint="eastAsia" w:ascii="Times New Roman" w:hAnsi="Times New Roman" w:eastAsia="宋体" w:cs="Times New Roman"/>
                <w:b w:val="0"/>
                <w:bCs/>
                <w:color w:val="auto"/>
                <w:sz w:val="21"/>
                <w:szCs w:val="21"/>
                <w:lang w:val="en-US" w:eastAsia="zh-CN"/>
              </w:rPr>
              <w:t>原料</w:t>
            </w:r>
            <w:r>
              <w:rPr>
                <w:rFonts w:hint="default" w:ascii="Times New Roman" w:hAnsi="Times New Roman" w:eastAsia="宋体" w:cs="Times New Roman"/>
                <w:b w:val="0"/>
                <w:bCs/>
                <w:color w:val="auto"/>
                <w:sz w:val="21"/>
                <w:szCs w:val="21"/>
                <w:lang w:val="en-US" w:eastAsia="zh-CN"/>
              </w:rPr>
              <w:t>密度）÷厚度</w:t>
            </w:r>
            <w:r>
              <w:rPr>
                <w:rFonts w:hint="eastAsia" w:ascii="Times New Roman" w:hAnsi="Times New Roman" w:eastAsia="宋体" w:cs="Times New Roman"/>
                <w:b w:val="0"/>
                <w:bCs/>
                <w:color w:val="auto"/>
                <w:sz w:val="21"/>
                <w:szCs w:val="21"/>
                <w:lang w:val="en-US" w:eastAsia="zh-CN"/>
              </w:rPr>
              <w:t>。</w:t>
            </w:r>
          </w:p>
          <w:p>
            <w:pPr>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bCs/>
                <w:color w:val="auto"/>
                <w:sz w:val="24"/>
              </w:rPr>
              <w:t>根据建设</w:t>
            </w:r>
            <w:r>
              <w:rPr>
                <w:rFonts w:ascii="Times New Roman" w:hAnsi="Times New Roman" w:eastAsia="宋体"/>
                <w:bCs/>
                <w:color w:val="auto"/>
                <w:sz w:val="24"/>
              </w:rPr>
              <w:t>单位提供资料</w:t>
            </w:r>
            <w:r>
              <w:rPr>
                <w:rFonts w:hint="eastAsia" w:ascii="Times New Roman" w:hAnsi="Times New Roman" w:eastAsia="宋体"/>
                <w:bCs/>
                <w:color w:val="auto"/>
                <w:sz w:val="24"/>
              </w:rPr>
              <w:t>，</w:t>
            </w:r>
            <w:r>
              <w:rPr>
                <w:rFonts w:ascii="Times New Roman" w:hAnsi="Times New Roman" w:eastAsia="宋体"/>
                <w:bCs/>
                <w:color w:val="auto"/>
                <w:sz w:val="24"/>
              </w:rPr>
              <w:t>本项目</w:t>
            </w:r>
            <w:r>
              <w:rPr>
                <w:rFonts w:hint="eastAsia" w:ascii="Times New Roman" w:hAnsi="Times New Roman" w:eastAsia="宋体"/>
                <w:bCs/>
                <w:color w:val="auto"/>
                <w:sz w:val="24"/>
                <w:lang w:val="en-US" w:eastAsia="zh-CN"/>
              </w:rPr>
              <w:t>高固份漆</w:t>
            </w:r>
            <w:r>
              <w:rPr>
                <w:rFonts w:ascii="Times New Roman" w:hAnsi="Times New Roman" w:eastAsia="宋体"/>
                <w:color w:val="auto"/>
                <w:sz w:val="24"/>
              </w:rPr>
              <w:t>密度</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配比后</w:t>
            </w:r>
            <w:r>
              <w:rPr>
                <w:rFonts w:hint="eastAsia" w:ascii="Times New Roman" w:hAnsi="Times New Roman" w:eastAsia="宋体"/>
                <w:color w:val="auto"/>
                <w:sz w:val="24"/>
                <w:lang w:eastAsia="zh-CN"/>
              </w:rPr>
              <w:t>）</w:t>
            </w:r>
            <w:r>
              <w:rPr>
                <w:rFonts w:ascii="Times New Roman" w:hAnsi="Times New Roman" w:eastAsia="宋体"/>
                <w:color w:val="auto"/>
                <w:sz w:val="24"/>
              </w:rPr>
              <w:t>为</w:t>
            </w:r>
            <w:r>
              <w:rPr>
                <w:rFonts w:ascii="Times New Roman" w:hAnsi="Times New Roman" w:eastAsia="宋体"/>
                <w:b w:val="0"/>
                <w:bCs w:val="0"/>
                <w:color w:val="auto"/>
                <w:sz w:val="24"/>
              </w:rPr>
              <w:t>1.</w:t>
            </w:r>
            <w:r>
              <w:rPr>
                <w:rFonts w:hint="eastAsia" w:ascii="Times New Roman" w:hAnsi="Times New Roman" w:eastAsia="宋体"/>
                <w:b w:val="0"/>
                <w:bCs w:val="0"/>
                <w:color w:val="auto"/>
                <w:sz w:val="24"/>
                <w:lang w:val="en-US" w:eastAsia="zh-CN"/>
              </w:rPr>
              <w:t>4</w:t>
            </w:r>
            <w:r>
              <w:rPr>
                <w:rFonts w:ascii="Times New Roman" w:hAnsi="Times New Roman" w:eastAsia="宋体"/>
                <w:color w:val="auto"/>
                <w:sz w:val="24"/>
              </w:rPr>
              <w:t>g/cm</w:t>
            </w:r>
            <w:r>
              <w:rPr>
                <w:rFonts w:ascii="Times New Roman" w:hAnsi="Times New Roman" w:eastAsia="宋体"/>
                <w:color w:val="auto"/>
                <w:sz w:val="24"/>
                <w:vertAlign w:val="superscript"/>
              </w:rPr>
              <w:t>3</w:t>
            </w:r>
            <w:r>
              <w:rPr>
                <w:rFonts w:ascii="Times New Roman" w:hAnsi="Times New Roman" w:eastAsia="宋体"/>
                <w:color w:val="auto"/>
                <w:sz w:val="24"/>
              </w:rPr>
              <w:t>，油漆</w:t>
            </w:r>
            <w:r>
              <w:rPr>
                <w:rFonts w:hint="eastAsia" w:ascii="Times New Roman" w:hAnsi="Times New Roman" w:eastAsia="宋体"/>
                <w:color w:val="auto"/>
                <w:sz w:val="24"/>
              </w:rPr>
              <w:t>的上漆率</w:t>
            </w:r>
            <w:r>
              <w:rPr>
                <w:rFonts w:ascii="Times New Roman" w:hAnsi="Times New Roman" w:eastAsia="宋体"/>
                <w:color w:val="auto"/>
                <w:sz w:val="24"/>
              </w:rPr>
              <w:t>取</w:t>
            </w:r>
            <w:r>
              <w:rPr>
                <w:rFonts w:hint="eastAsia" w:ascii="Times New Roman" w:hAnsi="Times New Roman" w:eastAsia="宋体"/>
                <w:color w:val="auto"/>
                <w:sz w:val="24"/>
                <w:lang w:val="en-US" w:eastAsia="zh-CN"/>
              </w:rPr>
              <w:t>70</w:t>
            </w:r>
            <w:r>
              <w:rPr>
                <w:rFonts w:ascii="Times New Roman" w:hAnsi="Times New Roman" w:eastAsia="宋体"/>
                <w:color w:val="auto"/>
                <w:sz w:val="24"/>
              </w:rPr>
              <w:t>%，</w:t>
            </w:r>
            <w:r>
              <w:rPr>
                <w:rFonts w:hint="eastAsia" w:ascii="Times New Roman" w:hAnsi="Times New Roman" w:eastAsia="宋体"/>
                <w:color w:val="auto"/>
                <w:sz w:val="24"/>
                <w:lang w:val="en-US" w:eastAsia="zh-CN"/>
              </w:rPr>
              <w:t>涂装总</w:t>
            </w:r>
            <w:r>
              <w:rPr>
                <w:rFonts w:ascii="Times New Roman" w:hAnsi="Times New Roman" w:eastAsia="宋体"/>
                <w:color w:val="auto"/>
                <w:sz w:val="24"/>
              </w:rPr>
              <w:t>面积为</w:t>
            </w:r>
            <w:r>
              <w:rPr>
                <w:rFonts w:hint="eastAsia"/>
                <w:color w:val="auto"/>
                <w:sz w:val="24"/>
                <w:lang w:val="en-US" w:eastAsia="zh-CN"/>
              </w:rPr>
              <w:t>26008</w:t>
            </w:r>
            <w:r>
              <w:rPr>
                <w:rFonts w:ascii="Times New Roman" w:hAnsi="Times New Roman" w:eastAsia="宋体"/>
                <w:color w:val="auto"/>
                <w:sz w:val="24"/>
              </w:rPr>
              <w:t>m</w:t>
            </w:r>
            <w:r>
              <w:rPr>
                <w:rFonts w:ascii="Times New Roman" w:hAnsi="Times New Roman" w:eastAsia="宋体"/>
                <w:color w:val="auto"/>
                <w:sz w:val="24"/>
                <w:vertAlign w:val="superscript"/>
              </w:rPr>
              <w:t>2</w:t>
            </w:r>
            <w:r>
              <w:rPr>
                <w:rFonts w:ascii="Times New Roman" w:hAnsi="Times New Roman" w:eastAsia="宋体"/>
                <w:color w:val="auto"/>
                <w:sz w:val="24"/>
              </w:rPr>
              <w:t>，喷涂厚度</w:t>
            </w:r>
            <w:r>
              <w:rPr>
                <w:rFonts w:hint="eastAsia"/>
                <w:color w:val="auto"/>
                <w:sz w:val="24"/>
                <w:lang w:val="en-US" w:eastAsia="zh-CN"/>
              </w:rPr>
              <w:t>75</w:t>
            </w:r>
            <w:r>
              <w:rPr>
                <w:rFonts w:ascii="Times New Roman" w:hAnsi="Times New Roman" w:eastAsia="宋体"/>
                <w:color w:val="auto"/>
                <w:sz w:val="24"/>
              </w:rPr>
              <w:t>μm，</w:t>
            </w:r>
            <w:r>
              <w:rPr>
                <w:rFonts w:hint="eastAsia" w:ascii="Times New Roman" w:hAnsi="Times New Roman" w:eastAsia="宋体"/>
                <w:color w:val="auto"/>
                <w:sz w:val="24"/>
              </w:rPr>
              <w:t>根据</w:t>
            </w:r>
            <w:r>
              <w:rPr>
                <w:rFonts w:ascii="Times New Roman" w:hAnsi="Times New Roman" w:eastAsia="宋体"/>
                <w:color w:val="auto"/>
                <w:sz w:val="24"/>
              </w:rPr>
              <w:t>检测报告，本项目</w:t>
            </w:r>
            <w:r>
              <w:rPr>
                <w:rFonts w:hint="eastAsia" w:ascii="Times New Roman" w:hAnsi="Times New Roman" w:eastAsia="宋体"/>
                <w:color w:val="auto"/>
                <w:sz w:val="24"/>
              </w:rPr>
              <w:t>调配后固份含量为</w:t>
            </w:r>
            <w:r>
              <w:rPr>
                <w:rFonts w:hint="eastAsia" w:ascii="Times New Roman" w:hAnsi="Times New Roman" w:eastAsia="宋体"/>
                <w:color w:val="auto"/>
                <w:sz w:val="24"/>
                <w:lang w:val="en-US" w:eastAsia="zh-CN"/>
              </w:rPr>
              <w:t>69</w:t>
            </w:r>
            <w:r>
              <w:rPr>
                <w:rFonts w:hint="eastAsia" w:ascii="Times New Roman" w:hAnsi="Times New Roman" w:eastAsia="宋体"/>
                <w:color w:val="auto"/>
                <w:sz w:val="24"/>
              </w:rPr>
              <w:t>%</w:t>
            </w:r>
            <w:r>
              <w:rPr>
                <w:rFonts w:ascii="Times New Roman" w:hAnsi="Times New Roman" w:eastAsia="宋体"/>
                <w:color w:val="auto"/>
                <w:sz w:val="24"/>
              </w:rPr>
              <w:t>，</w:t>
            </w:r>
            <w:r>
              <w:rPr>
                <w:rFonts w:hint="eastAsia" w:ascii="Times New Roman" w:hAnsi="Times New Roman" w:eastAsia="宋体"/>
                <w:bCs/>
                <w:color w:val="auto"/>
                <w:sz w:val="24"/>
                <w:lang w:val="en-US" w:eastAsia="zh-CN"/>
              </w:rPr>
              <w:t>高固份漆</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配比后</w:t>
            </w:r>
            <w:r>
              <w:rPr>
                <w:rFonts w:hint="eastAsia" w:ascii="Times New Roman" w:hAnsi="Times New Roman" w:eastAsia="宋体"/>
                <w:color w:val="auto"/>
                <w:sz w:val="24"/>
                <w:lang w:eastAsia="zh-CN"/>
              </w:rPr>
              <w:t>）</w:t>
            </w:r>
            <w:r>
              <w:rPr>
                <w:rFonts w:ascii="Times New Roman" w:hAnsi="Times New Roman" w:eastAsia="宋体"/>
                <w:color w:val="auto"/>
                <w:sz w:val="24"/>
              </w:rPr>
              <w:t>总用量=（</w:t>
            </w:r>
            <w:r>
              <w:rPr>
                <w:rFonts w:hint="eastAsia" w:ascii="Times New Roman" w:hAnsi="Times New Roman" w:eastAsia="宋体"/>
                <w:color w:val="auto"/>
                <w:sz w:val="24"/>
                <w:lang w:val="en-US" w:eastAsia="zh-CN"/>
              </w:rPr>
              <w:t>1.4</w:t>
            </w:r>
            <w:r>
              <w:rPr>
                <w:rFonts w:ascii="Times New Roman" w:hAnsi="Times New Roman" w:eastAsia="宋体"/>
                <w:color w:val="auto"/>
                <w:sz w:val="24"/>
              </w:rPr>
              <w:t>×</w:t>
            </w:r>
            <w:r>
              <w:rPr>
                <w:rFonts w:hint="eastAsia"/>
                <w:color w:val="auto"/>
                <w:sz w:val="24"/>
                <w:lang w:val="en-US" w:eastAsia="zh-CN"/>
              </w:rPr>
              <w:t>75</w:t>
            </w:r>
            <w:r>
              <w:rPr>
                <w:rFonts w:ascii="Times New Roman" w:hAnsi="Times New Roman" w:eastAsia="宋体"/>
                <w:color w:val="auto"/>
                <w:sz w:val="24"/>
              </w:rPr>
              <w:t>×</w:t>
            </w:r>
            <w:r>
              <w:rPr>
                <w:rFonts w:hint="eastAsia"/>
                <w:color w:val="auto"/>
                <w:sz w:val="24"/>
                <w:lang w:val="en-US" w:eastAsia="zh-CN"/>
              </w:rPr>
              <w:t>26008</w:t>
            </w:r>
            <w:r>
              <w:rPr>
                <w:rFonts w:ascii="Times New Roman" w:hAnsi="Times New Roman" w:eastAsia="宋体"/>
                <w:color w:val="auto"/>
                <w:sz w:val="24"/>
              </w:rPr>
              <w:t>×10</w:t>
            </w:r>
            <w:r>
              <w:rPr>
                <w:rFonts w:ascii="Times New Roman" w:hAnsi="Times New Roman" w:eastAsia="宋体"/>
                <w:color w:val="auto"/>
                <w:sz w:val="24"/>
                <w:vertAlign w:val="superscript"/>
              </w:rPr>
              <w:t>-6</w:t>
            </w:r>
            <w:r>
              <w:rPr>
                <w:rFonts w:ascii="Times New Roman" w:hAnsi="Times New Roman" w:eastAsia="宋体"/>
                <w:color w:val="auto"/>
                <w:sz w:val="24"/>
              </w:rPr>
              <w:t>）/</w:t>
            </w:r>
            <w:r>
              <w:rPr>
                <w:rFonts w:hint="eastAsia" w:ascii="Times New Roman" w:hAnsi="Times New Roman" w:eastAsia="宋体"/>
                <w:color w:val="auto"/>
                <w:sz w:val="24"/>
                <w:lang w:val="en-US" w:eastAsia="zh-CN"/>
              </w:rPr>
              <w:t>0.69</w:t>
            </w:r>
            <w:r>
              <w:rPr>
                <w:rFonts w:ascii="Times New Roman" w:hAnsi="Times New Roman" w:eastAsia="宋体"/>
                <w:color w:val="auto"/>
                <w:sz w:val="24"/>
              </w:rPr>
              <w:t>/</w:t>
            </w:r>
            <w:r>
              <w:rPr>
                <w:rFonts w:hint="eastAsia" w:ascii="Times New Roman" w:hAnsi="Times New Roman" w:eastAsia="宋体"/>
                <w:color w:val="auto"/>
                <w:sz w:val="24"/>
                <w:lang w:val="en-US" w:eastAsia="zh-CN"/>
              </w:rPr>
              <w:t>0.7</w:t>
            </w:r>
            <w:r>
              <w:rPr>
                <w:rFonts w:ascii="Times New Roman" w:hAnsi="Times New Roman" w:eastAsia="宋体"/>
                <w:color w:val="auto"/>
                <w:sz w:val="24"/>
              </w:rPr>
              <w:t>≈</w:t>
            </w:r>
            <w:r>
              <w:rPr>
                <w:rFonts w:hint="eastAsia" w:ascii="Times New Roman" w:hAnsi="Times New Roman" w:eastAsia="宋体"/>
                <w:color w:val="auto"/>
                <w:sz w:val="24"/>
                <w:lang w:val="en-US" w:eastAsia="zh-CN"/>
              </w:rPr>
              <w:t>5.65</w:t>
            </w:r>
            <w:r>
              <w:rPr>
                <w:rFonts w:ascii="Times New Roman" w:hAnsi="Times New Roman" w:eastAsia="宋体"/>
                <w:color w:val="auto"/>
                <w:sz w:val="24"/>
              </w:rPr>
              <w:t>t。</w:t>
            </w:r>
            <w:r>
              <w:rPr>
                <w:rFonts w:hint="eastAsia" w:ascii="Times New Roman" w:hAnsi="Times New Roman" w:eastAsia="宋体"/>
                <w:color w:val="auto"/>
                <w:sz w:val="24"/>
                <w:lang w:val="en-US" w:eastAsia="zh-CN"/>
              </w:rPr>
              <w:t>根据VOCs检测报告，施工状态下，面漆中油漆：稀释剂的比例为100:20，则本项目油漆用量为4.71t/a、稀释剂用量为0.94t/a。</w:t>
            </w:r>
          </w:p>
          <w:p>
            <w:pPr>
              <w:pStyle w:val="38"/>
              <w:bidi w:val="0"/>
              <w:rPr>
                <w:rFonts w:hint="eastAsia" w:ascii="Times New Roman" w:hAnsi="Times New Roman" w:eastAsia="宋体"/>
                <w:b w:val="0"/>
                <w:bCs w:val="0"/>
                <w:caps w:val="0"/>
                <w:color w:val="auto"/>
                <w:sz w:val="24"/>
                <w:szCs w:val="24"/>
              </w:rPr>
            </w:pPr>
            <w:r>
              <w:rPr>
                <w:rFonts w:hint="eastAsia" w:ascii="Times New Roman" w:hAnsi="Times New Roman" w:eastAsia="宋体"/>
                <w:b w:val="0"/>
                <w:bCs w:val="0"/>
                <w:caps w:val="0"/>
                <w:color w:val="auto"/>
                <w:sz w:val="24"/>
                <w:szCs w:val="24"/>
              </w:rPr>
              <w:t>①上漆率：</w:t>
            </w:r>
            <w:bookmarkStart w:id="14" w:name="OLE_LINK10"/>
            <w:r>
              <w:rPr>
                <w:rFonts w:hint="eastAsia" w:ascii="Times New Roman" w:hAnsi="Times New Roman" w:eastAsia="宋体"/>
                <w:b w:val="0"/>
                <w:bCs w:val="0"/>
                <w:caps w:val="0"/>
                <w:color w:val="auto"/>
                <w:sz w:val="24"/>
                <w:szCs w:val="24"/>
              </w:rPr>
              <w:t>由于本项目使用油漆材料，上漆率以</w:t>
            </w:r>
            <w:r>
              <w:rPr>
                <w:rFonts w:hint="eastAsia" w:ascii="Times New Roman" w:hAnsi="Times New Roman" w:eastAsia="宋体"/>
                <w:b w:val="0"/>
                <w:bCs w:val="0"/>
                <w:caps w:val="0"/>
                <w:color w:val="auto"/>
                <w:sz w:val="24"/>
                <w:szCs w:val="24"/>
                <w:lang w:val="en-US" w:eastAsia="zh-CN"/>
              </w:rPr>
              <w:t>70</w:t>
            </w:r>
            <w:r>
              <w:rPr>
                <w:rFonts w:hint="eastAsia" w:ascii="Times New Roman" w:hAnsi="Times New Roman" w:eastAsia="宋体"/>
                <w:b w:val="0"/>
                <w:bCs w:val="0"/>
                <w:caps w:val="0"/>
                <w:color w:val="auto"/>
                <w:sz w:val="24"/>
                <w:szCs w:val="24"/>
              </w:rPr>
              <w:t>%计，</w:t>
            </w:r>
            <w:r>
              <w:rPr>
                <w:rFonts w:hint="default" w:ascii="Times New Roman" w:hAnsi="Times New Roman" w:eastAsia="宋体" w:cs="Times New Roman"/>
                <w:b w:val="0"/>
                <w:bCs w:val="0"/>
                <w:caps w:val="0"/>
                <w:color w:val="auto"/>
                <w:kern w:val="0"/>
                <w:sz w:val="24"/>
                <w:szCs w:val="24"/>
                <w:highlight w:val="none"/>
                <w:lang w:eastAsia="zh-CN"/>
              </w:rPr>
              <w:t>约有</w:t>
            </w:r>
            <w:r>
              <w:rPr>
                <w:rFonts w:hint="eastAsia" w:ascii="Times New Roman" w:hAnsi="Times New Roman" w:eastAsia="宋体" w:cs="Times New Roman"/>
                <w:b w:val="0"/>
                <w:bCs w:val="0"/>
                <w:caps w:val="0"/>
                <w:color w:val="auto"/>
                <w:kern w:val="0"/>
                <w:sz w:val="24"/>
                <w:szCs w:val="24"/>
                <w:highlight w:val="none"/>
                <w:lang w:val="en-US" w:eastAsia="zh-CN"/>
              </w:rPr>
              <w:t>10</w:t>
            </w:r>
            <w:r>
              <w:rPr>
                <w:rFonts w:hint="default" w:ascii="Times New Roman" w:hAnsi="Times New Roman" w:eastAsia="宋体" w:cs="Times New Roman"/>
                <w:b w:val="0"/>
                <w:bCs w:val="0"/>
                <w:caps w:val="0"/>
                <w:color w:val="auto"/>
                <w:kern w:val="0"/>
                <w:sz w:val="24"/>
                <w:szCs w:val="24"/>
                <w:highlight w:val="none"/>
                <w:lang w:eastAsia="zh-CN"/>
              </w:rPr>
              <w:t>%降落地面直接为漆渣，</w:t>
            </w:r>
            <w:r>
              <w:rPr>
                <w:rFonts w:hint="eastAsia" w:ascii="Times New Roman" w:hAnsi="Times New Roman" w:eastAsia="宋体" w:cs="Times New Roman"/>
                <w:b w:val="0"/>
                <w:bCs w:val="0"/>
                <w:caps w:val="0"/>
                <w:color w:val="auto"/>
                <w:kern w:val="0"/>
                <w:sz w:val="24"/>
                <w:szCs w:val="24"/>
                <w:highlight w:val="none"/>
                <w:lang w:val="en-US" w:eastAsia="zh-CN"/>
              </w:rPr>
              <w:t>20</w:t>
            </w:r>
            <w:r>
              <w:rPr>
                <w:rFonts w:hint="default" w:ascii="Times New Roman" w:hAnsi="Times New Roman" w:eastAsia="宋体" w:cs="Times New Roman"/>
                <w:b w:val="0"/>
                <w:bCs w:val="0"/>
                <w:caps w:val="0"/>
                <w:color w:val="auto"/>
                <w:kern w:val="0"/>
                <w:sz w:val="24"/>
                <w:szCs w:val="24"/>
                <w:highlight w:val="none"/>
                <w:lang w:eastAsia="zh-CN"/>
              </w:rPr>
              <w:t>%形成漆雾</w:t>
            </w:r>
            <w:r>
              <w:rPr>
                <w:rFonts w:hint="eastAsia" w:ascii="Times New Roman" w:hAnsi="Times New Roman" w:eastAsia="宋体" w:cs="Times New Roman"/>
                <w:b w:val="0"/>
                <w:bCs w:val="0"/>
                <w:caps w:val="0"/>
                <w:color w:val="auto"/>
                <w:kern w:val="0"/>
                <w:sz w:val="24"/>
                <w:szCs w:val="24"/>
                <w:highlight w:val="none"/>
                <w:lang w:eastAsia="zh-CN"/>
              </w:rPr>
              <w:t>；</w:t>
            </w:r>
            <w:r>
              <w:rPr>
                <w:rFonts w:hint="eastAsia" w:ascii="Times New Roman" w:hAnsi="Times New Roman" w:eastAsia="宋体"/>
                <w:b w:val="0"/>
                <w:bCs w:val="0"/>
                <w:caps w:val="0"/>
                <w:color w:val="auto"/>
                <w:sz w:val="24"/>
                <w:szCs w:val="24"/>
              </w:rPr>
              <w:t>喷漆完</w:t>
            </w:r>
            <w:r>
              <w:rPr>
                <w:rFonts w:hint="eastAsia"/>
                <w:b w:val="0"/>
                <w:bCs w:val="0"/>
                <w:caps w:val="0"/>
                <w:color w:val="auto"/>
                <w:sz w:val="24"/>
                <w:szCs w:val="24"/>
                <w:lang w:val="en-US" w:eastAsia="zh-CN"/>
              </w:rPr>
              <w:t>成</w:t>
            </w:r>
            <w:r>
              <w:rPr>
                <w:rFonts w:hint="eastAsia" w:ascii="Times New Roman" w:hAnsi="Times New Roman" w:eastAsia="宋体"/>
                <w:b w:val="0"/>
                <w:bCs w:val="0"/>
                <w:caps w:val="0"/>
                <w:color w:val="auto"/>
                <w:sz w:val="24"/>
                <w:szCs w:val="24"/>
              </w:rPr>
              <w:t>后放置于喷漆房</w:t>
            </w:r>
            <w:r>
              <w:rPr>
                <w:rFonts w:hint="eastAsia" w:ascii="Times New Roman" w:hAnsi="Times New Roman" w:eastAsia="宋体"/>
                <w:b w:val="0"/>
                <w:bCs w:val="0"/>
                <w:caps w:val="0"/>
                <w:color w:val="auto"/>
                <w:sz w:val="24"/>
                <w:szCs w:val="24"/>
                <w:lang w:val="en-US" w:eastAsia="zh-CN"/>
              </w:rPr>
              <w:t>内</w:t>
            </w:r>
            <w:r>
              <w:rPr>
                <w:rFonts w:hint="eastAsia" w:ascii="Times New Roman" w:hAnsi="Times New Roman" w:eastAsia="宋体"/>
                <w:b w:val="0"/>
                <w:bCs w:val="0"/>
                <w:caps w:val="0"/>
                <w:color w:val="auto"/>
                <w:sz w:val="24"/>
                <w:szCs w:val="24"/>
              </w:rPr>
              <w:t>晾干。产品喷漆工段有机溶剂挥发率约为30%，晾干工段有机溶剂挥发率为70%。</w:t>
            </w:r>
            <w:bookmarkEnd w:id="14"/>
          </w:p>
          <w:p>
            <w:pPr>
              <w:pStyle w:val="38"/>
              <w:bidi w:val="0"/>
              <w:rPr>
                <w:rFonts w:hint="eastAsia" w:ascii="Times New Roman" w:hAnsi="Times New Roman" w:eastAsia="宋体"/>
                <w:b w:val="0"/>
                <w:bCs w:val="0"/>
                <w:caps w:val="0"/>
                <w:color w:val="auto"/>
                <w:sz w:val="24"/>
                <w:szCs w:val="24"/>
              </w:rPr>
            </w:pPr>
            <w:r>
              <w:rPr>
                <w:rFonts w:hint="eastAsia" w:ascii="Times New Roman" w:hAnsi="Times New Roman" w:eastAsia="宋体"/>
                <w:b w:val="0"/>
                <w:bCs w:val="0"/>
                <w:caps w:val="0"/>
                <w:color w:val="auto"/>
                <w:sz w:val="24"/>
                <w:szCs w:val="24"/>
              </w:rPr>
              <w:t>②废气收集率：调漆、喷漆和晾干均在密闭负压下的房间内完成，产生的废气通过排风口以及排风系统送入废气处理装置中处理，除工件进出时会有废气无组织排放，其余时间废气可以被全部收集，废气的收集效率为9</w:t>
            </w:r>
            <w:r>
              <w:rPr>
                <w:rFonts w:hint="eastAsia" w:ascii="Times New Roman" w:hAnsi="Times New Roman" w:eastAsia="宋体"/>
                <w:b w:val="0"/>
                <w:bCs w:val="0"/>
                <w:caps w:val="0"/>
                <w:color w:val="auto"/>
                <w:sz w:val="24"/>
                <w:szCs w:val="24"/>
                <w:lang w:val="en-US" w:eastAsia="zh-CN"/>
              </w:rPr>
              <w:t>5</w:t>
            </w:r>
            <w:r>
              <w:rPr>
                <w:rFonts w:hint="eastAsia" w:ascii="Times New Roman" w:hAnsi="Times New Roman" w:eastAsia="宋体"/>
                <w:b w:val="0"/>
                <w:bCs w:val="0"/>
                <w:caps w:val="0"/>
                <w:color w:val="auto"/>
                <w:sz w:val="24"/>
                <w:szCs w:val="24"/>
              </w:rPr>
              <w:t>%。</w:t>
            </w:r>
          </w:p>
          <w:p>
            <w:pPr>
              <w:pStyle w:val="38"/>
              <w:bidi w:val="0"/>
              <w:rPr>
                <w:rFonts w:hint="default" w:ascii="Times New Roman" w:hAnsi="Times New Roman" w:eastAsia="宋体"/>
                <w:b w:val="0"/>
                <w:bCs w:val="0"/>
                <w:caps w:val="0"/>
                <w:color w:val="auto"/>
                <w:sz w:val="24"/>
                <w:szCs w:val="24"/>
                <w:lang w:val="en-US" w:eastAsia="zh-CN"/>
              </w:rPr>
            </w:pPr>
            <w:r>
              <w:rPr>
                <w:rFonts w:hint="eastAsia" w:ascii="Times New Roman" w:hAnsi="Times New Roman" w:eastAsia="宋体"/>
                <w:b w:val="0"/>
                <w:bCs w:val="0"/>
                <w:caps w:val="0"/>
                <w:color w:val="auto"/>
                <w:sz w:val="24"/>
                <w:szCs w:val="24"/>
              </w:rPr>
              <w:t>③处理效率：调漆、喷涂、晾干废气收集后通过密闭空间-负压收集经一套“</w:t>
            </w:r>
            <w:r>
              <w:rPr>
                <w:rFonts w:hint="eastAsia" w:ascii="Times New Roman" w:hAnsi="Times New Roman" w:eastAsia="宋体"/>
                <w:b w:val="0"/>
                <w:bCs w:val="0"/>
                <w:caps w:val="0"/>
                <w:color w:val="auto"/>
                <w:sz w:val="24"/>
                <w:szCs w:val="24"/>
                <w:lang w:eastAsia="zh-CN"/>
              </w:rPr>
              <w:t>多级过滤器</w:t>
            </w:r>
            <w:r>
              <w:rPr>
                <w:rFonts w:hint="eastAsia" w:ascii="Times New Roman" w:hAnsi="Times New Roman" w:eastAsia="宋体"/>
                <w:b w:val="0"/>
                <w:bCs w:val="0"/>
                <w:caps w:val="0"/>
                <w:color w:val="auto"/>
                <w:sz w:val="24"/>
                <w:szCs w:val="24"/>
              </w:rPr>
              <w:t>+</w:t>
            </w:r>
            <w:r>
              <w:rPr>
                <w:rFonts w:hint="eastAsia"/>
                <w:b w:val="0"/>
                <w:bCs w:val="0"/>
                <w:caps w:val="0"/>
                <w:color w:val="auto"/>
                <w:sz w:val="24"/>
                <w:szCs w:val="24"/>
                <w:lang w:val="en-US" w:eastAsia="zh-CN"/>
              </w:rPr>
              <w:t>三级</w:t>
            </w:r>
            <w:r>
              <w:rPr>
                <w:rFonts w:hint="eastAsia" w:ascii="Times New Roman" w:hAnsi="Times New Roman" w:eastAsia="宋体"/>
                <w:b w:val="0"/>
                <w:bCs w:val="0"/>
                <w:caps w:val="0"/>
                <w:color w:val="auto"/>
                <w:sz w:val="24"/>
                <w:szCs w:val="24"/>
              </w:rPr>
              <w:t>活性炭吸附”的处理方式（</w:t>
            </w:r>
            <w:r>
              <w:rPr>
                <w:rFonts w:hint="eastAsia" w:ascii="Times New Roman" w:hAnsi="Times New Roman" w:eastAsia="宋体"/>
                <w:b w:val="0"/>
                <w:bCs w:val="0"/>
                <w:caps w:val="0"/>
                <w:color w:val="auto"/>
                <w:sz w:val="24"/>
                <w:szCs w:val="24"/>
                <w:lang w:eastAsia="zh-CN"/>
              </w:rPr>
              <w:t>多级过滤器</w:t>
            </w:r>
            <w:r>
              <w:rPr>
                <w:rFonts w:hint="eastAsia" w:ascii="Times New Roman" w:hAnsi="Times New Roman" w:eastAsia="宋体"/>
                <w:b w:val="0"/>
                <w:bCs w:val="0"/>
                <w:caps w:val="0"/>
                <w:color w:val="auto"/>
                <w:sz w:val="24"/>
                <w:szCs w:val="24"/>
                <w:lang w:val="en-US" w:eastAsia="zh-CN"/>
              </w:rPr>
              <w:t>处理效率96%，三级活性炭处理效率95%</w:t>
            </w:r>
            <w:r>
              <w:rPr>
                <w:rFonts w:hint="eastAsia" w:ascii="Times New Roman" w:hAnsi="Times New Roman" w:eastAsia="宋体"/>
                <w:b w:val="0"/>
                <w:bCs w:val="0"/>
                <w:caps w:val="0"/>
                <w:color w:val="auto"/>
                <w:sz w:val="24"/>
                <w:szCs w:val="24"/>
              </w:rPr>
              <w:t>），处理达标后通过15</w:t>
            </w:r>
            <w:r>
              <w:rPr>
                <w:rFonts w:hint="eastAsia" w:ascii="Times New Roman" w:hAnsi="Times New Roman" w:eastAsia="宋体"/>
                <w:b w:val="0"/>
                <w:bCs w:val="0"/>
                <w:caps w:val="0"/>
                <w:color w:val="auto"/>
                <w:sz w:val="24"/>
                <w:szCs w:val="24"/>
                <w:lang w:val="en-US" w:eastAsia="zh-CN"/>
              </w:rPr>
              <w:t>m</w:t>
            </w:r>
            <w:r>
              <w:rPr>
                <w:rFonts w:hint="eastAsia" w:ascii="Times New Roman" w:hAnsi="Times New Roman" w:eastAsia="宋体"/>
                <w:b w:val="0"/>
                <w:bCs w:val="0"/>
                <w:caps w:val="0"/>
                <w:color w:val="auto"/>
                <w:sz w:val="24"/>
                <w:szCs w:val="24"/>
              </w:rPr>
              <w:t>排气筒DA00</w:t>
            </w:r>
            <w:r>
              <w:rPr>
                <w:rFonts w:hint="eastAsia" w:ascii="Times New Roman" w:hAnsi="Times New Roman" w:eastAsia="宋体"/>
                <w:b w:val="0"/>
                <w:bCs w:val="0"/>
                <w:caps w:val="0"/>
                <w:color w:val="auto"/>
                <w:sz w:val="24"/>
                <w:szCs w:val="24"/>
                <w:lang w:val="en-US" w:eastAsia="zh-CN"/>
              </w:rPr>
              <w:t>1</w:t>
            </w:r>
            <w:r>
              <w:rPr>
                <w:rFonts w:hint="eastAsia" w:ascii="Times New Roman" w:hAnsi="Times New Roman" w:eastAsia="宋体"/>
                <w:b w:val="0"/>
                <w:bCs w:val="0"/>
                <w:caps w:val="0"/>
                <w:color w:val="auto"/>
                <w:sz w:val="24"/>
                <w:szCs w:val="24"/>
              </w:rPr>
              <w:t>排放</w:t>
            </w:r>
          </w:p>
          <w:p>
            <w:pPr>
              <w:snapToGrid w:val="0"/>
              <w:spacing w:line="360" w:lineRule="auto"/>
              <w:ind w:firstLine="480" w:firstLineChars="200"/>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喷枪清洗用稀释剂核算：</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ascii="Times New Roman" w:hAnsi="Times New Roman" w:eastAsia="宋体" w:cs="宋体"/>
                <w:color w:val="auto"/>
                <w:sz w:val="24"/>
                <w:szCs w:val="24"/>
              </w:rPr>
              <w:t>根据建设单位提供的资料，项目每天喷涂完成后均需对2个油性喷枪进行清洗， 喷枪清洗在喷漆房内进行，将</w:t>
            </w:r>
            <w:r>
              <w:rPr>
                <w:rFonts w:hint="eastAsia" w:cs="宋体"/>
                <w:color w:val="auto"/>
                <w:sz w:val="24"/>
                <w:szCs w:val="24"/>
                <w:lang w:val="en-US" w:eastAsia="zh-CN"/>
              </w:rPr>
              <w:t>稀释剂</w:t>
            </w:r>
            <w:r>
              <w:rPr>
                <w:rFonts w:ascii="Times New Roman" w:hAnsi="Times New Roman" w:eastAsia="宋体" w:cs="宋体"/>
                <w:color w:val="auto"/>
                <w:sz w:val="24"/>
                <w:szCs w:val="24"/>
              </w:rPr>
              <w:t>接入喷枪，由喷枪喷出</w:t>
            </w:r>
            <w:r>
              <w:rPr>
                <w:rFonts w:hint="eastAsia" w:cs="宋体"/>
                <w:color w:val="auto"/>
                <w:sz w:val="24"/>
                <w:szCs w:val="24"/>
                <w:lang w:val="en-US" w:eastAsia="zh-CN"/>
              </w:rPr>
              <w:t>稀释剂</w:t>
            </w:r>
            <w:r>
              <w:rPr>
                <w:rFonts w:ascii="Times New Roman" w:hAnsi="Times New Roman" w:eastAsia="宋体" w:cs="宋体"/>
                <w:color w:val="auto"/>
                <w:sz w:val="24"/>
                <w:szCs w:val="24"/>
              </w:rPr>
              <w:t>，以12mL/min喷速清洗</w:t>
            </w:r>
            <w:r>
              <w:rPr>
                <w:rFonts w:hint="eastAsia" w:cs="宋体"/>
                <w:color w:val="auto"/>
                <w:sz w:val="24"/>
                <w:szCs w:val="24"/>
                <w:lang w:eastAsia="zh-CN"/>
              </w:rPr>
              <w:t>，</w:t>
            </w:r>
            <w:r>
              <w:rPr>
                <w:rFonts w:ascii="Times New Roman" w:hAnsi="Times New Roman" w:eastAsia="宋体" w:cs="宋体"/>
                <w:color w:val="auto"/>
                <w:sz w:val="24"/>
                <w:szCs w:val="24"/>
              </w:rPr>
              <w:t>每天总清洗时长15min</w:t>
            </w:r>
            <w:r>
              <w:rPr>
                <w:rFonts w:hint="eastAsia" w:cs="宋体"/>
                <w:color w:val="auto"/>
                <w:sz w:val="24"/>
                <w:szCs w:val="24"/>
                <w:lang w:eastAsia="zh-CN"/>
              </w:rPr>
              <w:t>，</w:t>
            </w:r>
            <w:r>
              <w:rPr>
                <w:rFonts w:ascii="Times New Roman" w:hAnsi="Times New Roman" w:eastAsia="宋体" w:cs="宋体"/>
                <w:color w:val="auto"/>
                <w:sz w:val="24"/>
                <w:szCs w:val="24"/>
              </w:rPr>
              <w:t>则年用</w:t>
            </w:r>
            <w:r>
              <w:rPr>
                <w:rFonts w:hint="eastAsia" w:cs="宋体"/>
                <w:color w:val="auto"/>
                <w:sz w:val="24"/>
                <w:szCs w:val="24"/>
                <w:lang w:val="en-US" w:eastAsia="zh-CN"/>
              </w:rPr>
              <w:t>稀释剂</w:t>
            </w:r>
            <w:r>
              <w:rPr>
                <w:rFonts w:ascii="Times New Roman" w:hAnsi="Times New Roman" w:eastAsia="宋体" w:cs="宋体"/>
                <w:color w:val="auto"/>
                <w:sz w:val="24"/>
                <w:szCs w:val="24"/>
              </w:rPr>
              <w:t>108000mL （2×12mL/min×15min×300d=108000mL/a）。根据 MSDS 报告，</w:t>
            </w:r>
            <w:r>
              <w:rPr>
                <w:rFonts w:hint="eastAsia" w:cs="宋体"/>
                <w:color w:val="auto"/>
                <w:sz w:val="24"/>
                <w:szCs w:val="24"/>
                <w:lang w:val="en-US" w:eastAsia="zh-CN"/>
              </w:rPr>
              <w:t>稀释剂</w:t>
            </w:r>
            <w:r>
              <w:rPr>
                <w:rFonts w:ascii="Times New Roman" w:hAnsi="Times New Roman" w:eastAsia="宋体" w:cs="宋体"/>
                <w:color w:val="auto"/>
                <w:sz w:val="24"/>
                <w:szCs w:val="24"/>
              </w:rPr>
              <w:t>的相对密度0.8</w:t>
            </w:r>
            <w:r>
              <w:rPr>
                <w:rFonts w:hint="eastAsia" w:ascii="Times New Roman" w:hAnsi="Times New Roman" w:eastAsia="宋体" w:cs="宋体"/>
                <w:color w:val="auto"/>
                <w:sz w:val="24"/>
                <w:szCs w:val="24"/>
                <w:lang w:val="en-US" w:eastAsia="zh-CN"/>
              </w:rPr>
              <w:t>8</w:t>
            </w:r>
            <w:r>
              <w:rPr>
                <w:rFonts w:ascii="Times New Roman" w:hAnsi="Times New Roman" w:eastAsia="宋体" w:cs="宋体"/>
                <w:color w:val="auto"/>
                <w:sz w:val="24"/>
                <w:szCs w:val="24"/>
              </w:rPr>
              <w:t>g/cm</w:t>
            </w:r>
            <w:r>
              <w:rPr>
                <w:rFonts w:ascii="Times New Roman" w:hAnsi="Times New Roman" w:eastAsia="宋体" w:cs="宋体"/>
                <w:color w:val="auto"/>
                <w:sz w:val="24"/>
                <w:szCs w:val="24"/>
                <w:vertAlign w:val="superscript"/>
              </w:rPr>
              <w:t>3</w:t>
            </w:r>
            <w:r>
              <w:rPr>
                <w:rFonts w:ascii="Times New Roman" w:hAnsi="Times New Roman" w:eastAsia="宋体" w:cs="宋体"/>
                <w:color w:val="auto"/>
                <w:sz w:val="24"/>
                <w:szCs w:val="24"/>
              </w:rPr>
              <w:t>，故项目</w:t>
            </w:r>
            <w:r>
              <w:rPr>
                <w:rFonts w:hint="eastAsia" w:cs="宋体"/>
                <w:color w:val="auto"/>
                <w:sz w:val="24"/>
                <w:szCs w:val="24"/>
                <w:lang w:val="en-US" w:eastAsia="zh-CN"/>
              </w:rPr>
              <w:t>稀释剂</w:t>
            </w:r>
            <w:r>
              <w:rPr>
                <w:rFonts w:ascii="Times New Roman" w:hAnsi="Times New Roman" w:eastAsia="宋体" w:cs="宋体"/>
                <w:color w:val="auto"/>
                <w:sz w:val="24"/>
                <w:szCs w:val="24"/>
              </w:rPr>
              <w:t>用量为0.09</w:t>
            </w:r>
            <w:r>
              <w:rPr>
                <w:rFonts w:hint="eastAsia" w:ascii="Times New Roman" w:hAnsi="Times New Roman" w:eastAsia="宋体" w:cs="宋体"/>
                <w:color w:val="auto"/>
                <w:sz w:val="24"/>
                <w:szCs w:val="24"/>
                <w:lang w:val="en-US" w:eastAsia="zh-CN"/>
              </w:rPr>
              <w:t>5</w:t>
            </w:r>
            <w:r>
              <w:rPr>
                <w:rFonts w:ascii="Times New Roman" w:hAnsi="Times New Roman" w:eastAsia="宋体" w:cs="宋体"/>
                <w:color w:val="auto"/>
                <w:sz w:val="24"/>
                <w:szCs w:val="24"/>
              </w:rPr>
              <w:t>t/a，由于挥发、损耗，本项目以0.1t/a核算</w:t>
            </w:r>
            <w:r>
              <w:rPr>
                <w:rFonts w:hint="eastAsia" w:ascii="Times New Roman" w:hAnsi="Times New Roman" w:eastAsia="宋体" w:cs="宋体"/>
                <w:color w:val="auto"/>
                <w:sz w:val="24"/>
                <w:szCs w:val="24"/>
                <w:lang w:eastAsia="zh-CN"/>
              </w:rPr>
              <w:t>；清洗过程</w:t>
            </w:r>
            <w:r>
              <w:rPr>
                <w:rFonts w:hint="eastAsia" w:cs="宋体"/>
                <w:color w:val="auto"/>
                <w:sz w:val="24"/>
                <w:szCs w:val="24"/>
                <w:lang w:val="en-US" w:eastAsia="zh-CN"/>
              </w:rPr>
              <w:t>稀释剂</w:t>
            </w:r>
            <w:r>
              <w:rPr>
                <w:rFonts w:hint="eastAsia" w:ascii="Times New Roman" w:hAnsi="Times New Roman" w:eastAsia="宋体" w:cs="宋体"/>
                <w:color w:val="auto"/>
                <w:sz w:val="24"/>
                <w:szCs w:val="24"/>
                <w:lang w:eastAsia="zh-CN"/>
              </w:rPr>
              <w:t>中有</w:t>
            </w:r>
            <w:r>
              <w:rPr>
                <w:rFonts w:hint="eastAsia" w:ascii="Times New Roman" w:hAnsi="Times New Roman" w:eastAsia="宋体" w:cs="宋体"/>
                <w:color w:val="auto"/>
                <w:sz w:val="24"/>
                <w:szCs w:val="24"/>
                <w:lang w:val="en-US" w:eastAsia="zh-CN"/>
              </w:rPr>
              <w:t>3</w:t>
            </w:r>
            <w:r>
              <w:rPr>
                <w:rFonts w:hint="eastAsia" w:ascii="Times New Roman" w:hAnsi="Times New Roman" w:eastAsia="宋体" w:cs="宋体"/>
                <w:color w:val="auto"/>
                <w:sz w:val="24"/>
                <w:szCs w:val="24"/>
                <w:lang w:eastAsia="zh-CN"/>
              </w:rPr>
              <w:t>0%作为清洗废气和</w:t>
            </w:r>
            <w:r>
              <w:rPr>
                <w:rFonts w:hint="eastAsia" w:ascii="Times New Roman" w:hAnsi="Times New Roman" w:eastAsia="宋体" w:cs="宋体"/>
                <w:color w:val="auto"/>
                <w:sz w:val="24"/>
                <w:szCs w:val="24"/>
                <w:lang w:val="en-US" w:eastAsia="zh-CN"/>
              </w:rPr>
              <w:t>7</w:t>
            </w:r>
            <w:r>
              <w:rPr>
                <w:rFonts w:hint="eastAsia" w:ascii="Times New Roman" w:hAnsi="Times New Roman" w:eastAsia="宋体" w:cs="宋体"/>
                <w:color w:val="auto"/>
                <w:sz w:val="24"/>
                <w:szCs w:val="24"/>
                <w:lang w:eastAsia="zh-CN"/>
              </w:rPr>
              <w:t>0%清洗废液产生。</w:t>
            </w:r>
          </w:p>
          <w:p>
            <w:pPr>
              <w:pStyle w:val="38"/>
              <w:numPr>
                <w:ilvl w:val="0"/>
                <w:numId w:val="0"/>
              </w:numPr>
              <w:bidi w:val="0"/>
              <w:ind w:firstLine="476" w:firstLineChars="200"/>
              <w:rPr>
                <w:rFonts w:hint="default" w:ascii="Times New Roman" w:hAnsi="Times New Roman" w:eastAsia="宋体"/>
                <w:b w:val="0"/>
                <w:bCs w:val="0"/>
                <w:caps w:val="0"/>
                <w:color w:val="auto"/>
                <w:sz w:val="24"/>
                <w:szCs w:val="24"/>
                <w:lang w:val="en-US" w:eastAsia="zh-CN"/>
              </w:rPr>
            </w:pPr>
            <w:r>
              <w:rPr>
                <w:rFonts w:hint="eastAsia" w:ascii="Times New Roman" w:hAnsi="Times New Roman" w:eastAsia="宋体"/>
                <w:b w:val="0"/>
                <w:bCs w:val="0"/>
                <w:caps w:val="0"/>
                <w:color w:val="auto"/>
                <w:sz w:val="24"/>
                <w:szCs w:val="24"/>
                <w:lang w:val="en-US" w:eastAsia="zh-CN"/>
              </w:rPr>
              <w:t>（1）高固份漆物料平衡</w:t>
            </w:r>
          </w:p>
          <w:p>
            <w:pPr>
              <w:pStyle w:val="38"/>
              <w:bidi w:val="0"/>
              <w:rPr>
                <w:rFonts w:hint="default" w:ascii="Times New Roman" w:hAnsi="Times New Roman" w:eastAsia="宋体"/>
                <w:b w:val="0"/>
                <w:bCs w:val="0"/>
                <w:caps w:val="0"/>
                <w:color w:val="auto"/>
                <w:sz w:val="24"/>
                <w:szCs w:val="24"/>
                <w:lang w:val="en-US" w:eastAsia="zh-CN"/>
              </w:rPr>
            </w:pPr>
            <w:r>
              <w:rPr>
                <w:rFonts w:hint="eastAsia" w:ascii="Times New Roman" w:hAnsi="Times New Roman" w:eastAsia="宋体"/>
                <w:b w:val="0"/>
                <w:bCs w:val="0"/>
                <w:color w:val="auto"/>
                <w:sz w:val="24"/>
                <w:lang w:val="en-US" w:eastAsia="zh-CN"/>
              </w:rPr>
              <w:t>面漆</w:t>
            </w:r>
            <w:r>
              <w:rPr>
                <w:rFonts w:hint="default" w:ascii="Times New Roman" w:hAnsi="Times New Roman" w:eastAsia="宋体"/>
                <w:b w:val="0"/>
                <w:bCs w:val="0"/>
                <w:caps w:val="0"/>
                <w:color w:val="auto"/>
                <w:sz w:val="24"/>
                <w:szCs w:val="24"/>
                <w:lang w:val="en-US" w:eastAsia="zh-CN"/>
              </w:rPr>
              <w:t>物料平衡图见图2-</w:t>
            </w:r>
            <w:r>
              <w:rPr>
                <w:rFonts w:hint="eastAsia" w:ascii="Times New Roman" w:hAnsi="Times New Roman" w:eastAsia="宋体"/>
                <w:b w:val="0"/>
                <w:bCs w:val="0"/>
                <w:caps w:val="0"/>
                <w:color w:val="auto"/>
                <w:sz w:val="24"/>
                <w:szCs w:val="24"/>
                <w:lang w:val="en-US" w:eastAsia="zh-CN"/>
              </w:rPr>
              <w:t>3</w:t>
            </w:r>
            <w:r>
              <w:rPr>
                <w:rFonts w:hint="default" w:ascii="Times New Roman" w:hAnsi="Times New Roman" w:eastAsia="宋体"/>
                <w:b w:val="0"/>
                <w:bCs w:val="0"/>
                <w:caps w:val="0"/>
                <w:color w:val="auto"/>
                <w:sz w:val="24"/>
                <w:szCs w:val="24"/>
                <w:lang w:val="en-US" w:eastAsia="zh-CN"/>
              </w:rPr>
              <w:t>，</w:t>
            </w:r>
            <w:r>
              <w:rPr>
                <w:rFonts w:hint="eastAsia" w:ascii="Times New Roman" w:hAnsi="Times New Roman" w:eastAsia="宋体"/>
                <w:b w:val="0"/>
                <w:bCs w:val="0"/>
                <w:caps w:val="0"/>
                <w:color w:val="auto"/>
                <w:sz w:val="24"/>
                <w:szCs w:val="24"/>
                <w:lang w:val="en-US" w:eastAsia="zh-CN"/>
              </w:rPr>
              <w:t>面漆</w:t>
            </w:r>
            <w:r>
              <w:rPr>
                <w:rFonts w:hint="default" w:ascii="Times New Roman" w:hAnsi="Times New Roman" w:eastAsia="宋体"/>
                <w:b w:val="0"/>
                <w:bCs w:val="0"/>
                <w:caps w:val="0"/>
                <w:color w:val="auto"/>
                <w:sz w:val="24"/>
                <w:szCs w:val="24"/>
                <w:lang w:val="en-US" w:eastAsia="zh-CN"/>
              </w:rPr>
              <w:t>物料平衡表见下表2-</w:t>
            </w:r>
            <w:r>
              <w:rPr>
                <w:rFonts w:hint="eastAsia" w:ascii="Times New Roman" w:hAnsi="Times New Roman" w:eastAsia="宋体"/>
                <w:b w:val="0"/>
                <w:bCs w:val="0"/>
                <w:caps w:val="0"/>
                <w:color w:val="auto"/>
                <w:sz w:val="24"/>
                <w:szCs w:val="24"/>
                <w:lang w:val="en-US" w:eastAsia="zh-CN"/>
              </w:rPr>
              <w:t>9</w:t>
            </w:r>
            <w:r>
              <w:rPr>
                <w:rFonts w:hint="default" w:ascii="Times New Roman" w:hAnsi="Times New Roman" w:eastAsia="宋体"/>
                <w:b w:val="0"/>
                <w:bCs w:val="0"/>
                <w:caps w:val="0"/>
                <w:color w:val="auto"/>
                <w:sz w:val="24"/>
                <w:szCs w:val="24"/>
                <w:lang w:val="en-US" w:eastAsia="zh-CN"/>
              </w:rPr>
              <w:t>。</w:t>
            </w:r>
          </w:p>
          <w:p>
            <w:pPr>
              <w:pStyle w:val="4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lang w:eastAsia="zh-CN"/>
              </w:rPr>
            </w:pPr>
            <w:r>
              <w:rPr>
                <w:rFonts w:hint="eastAsia" w:ascii="Times New Roman" w:hAnsi="Times New Roman" w:eastAsia="宋体"/>
                <w:caps w:val="0"/>
                <w:color w:val="auto"/>
                <w:lang w:val="en-US" w:eastAsia="zh-CN"/>
              </w:rPr>
              <w:t>表2-9 建设项目高固份漆物料平衡表</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t/a</w:t>
            </w:r>
            <w:r>
              <w:rPr>
                <w:rFonts w:hint="eastAsia" w:ascii="Times New Roman" w:hAnsi="Times New Roman" w:eastAsia="宋体"/>
                <w:color w:val="auto"/>
                <w:lang w:eastAsia="zh-CN"/>
              </w:rPr>
              <w:t>）</w:t>
            </w:r>
          </w:p>
          <w:tbl>
            <w:tblPr>
              <w:tblStyle w:val="21"/>
              <w:tblW w:w="8321"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autofit"/>
              <w:tblCellMar>
                <w:top w:w="0" w:type="dxa"/>
                <w:left w:w="0" w:type="dxa"/>
                <w:bottom w:w="0" w:type="dxa"/>
                <w:right w:w="0" w:type="dxa"/>
              </w:tblCellMar>
            </w:tblPr>
            <w:tblGrid>
              <w:gridCol w:w="395"/>
              <w:gridCol w:w="514"/>
              <w:gridCol w:w="719"/>
              <w:gridCol w:w="829"/>
              <w:gridCol w:w="745"/>
              <w:gridCol w:w="745"/>
              <w:gridCol w:w="662"/>
              <w:gridCol w:w="514"/>
              <w:gridCol w:w="802"/>
              <w:gridCol w:w="896"/>
              <w:gridCol w:w="745"/>
              <w:gridCol w:w="75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vMerge w:val="restart"/>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序号</w:t>
                  </w:r>
                </w:p>
              </w:tc>
              <w:tc>
                <w:tcPr>
                  <w:tcW w:w="3510" w:type="dxa"/>
                  <w:gridSpan w:val="5"/>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投入</w:t>
                  </w:r>
                </w:p>
              </w:tc>
              <w:tc>
                <w:tcPr>
                  <w:tcW w:w="4370" w:type="dxa"/>
                  <w:gridSpan w:val="6"/>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产出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vMerge w:val="continue"/>
                  <w:tcBorders>
                    <w:tl2br w:val="nil"/>
                    <w:tr2bl w:val="nil"/>
                  </w:tcBorders>
                  <w:vAlign w:val="center"/>
                </w:tcPr>
                <w:p>
                  <w:pPr>
                    <w:widowControl/>
                    <w:adjustRightInd/>
                    <w:snapToGrid/>
                    <w:spacing w:line="240" w:lineRule="auto"/>
                    <w:jc w:val="left"/>
                    <w:rPr>
                      <w:rFonts w:ascii="Times New Roman" w:hAnsi="Times New Roman" w:eastAsia="宋体"/>
                      <w:b/>
                      <w:bCs/>
                      <w:color w:val="auto"/>
                      <w:kern w:val="0"/>
                      <w:sz w:val="21"/>
                      <w:szCs w:val="21"/>
                    </w:rPr>
                  </w:pPr>
                </w:p>
              </w:tc>
              <w:tc>
                <w:tcPr>
                  <w:tcW w:w="2334" w:type="dxa"/>
                  <w:gridSpan w:val="3"/>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物料名称</w:t>
                  </w:r>
                </w:p>
              </w:tc>
              <w:tc>
                <w:tcPr>
                  <w:tcW w:w="1176" w:type="dxa"/>
                  <w:gridSpan w:val="2"/>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数量</w:t>
                  </w:r>
                </w:p>
              </w:tc>
              <w:tc>
                <w:tcPr>
                  <w:tcW w:w="847" w:type="dxa"/>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类别</w:t>
                  </w:r>
                </w:p>
              </w:tc>
              <w:tc>
                <w:tcPr>
                  <w:tcW w:w="2336" w:type="dxa"/>
                  <w:gridSpan w:val="3"/>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名称</w:t>
                  </w:r>
                </w:p>
              </w:tc>
              <w:tc>
                <w:tcPr>
                  <w:tcW w:w="1187" w:type="dxa"/>
                  <w:gridSpan w:val="2"/>
                  <w:tcBorders>
                    <w:tl2br w:val="nil"/>
                    <w:tr2bl w:val="nil"/>
                  </w:tcBorders>
                  <w:vAlign w:val="center"/>
                </w:tcPr>
                <w:p>
                  <w:pPr>
                    <w:widowControl/>
                    <w:spacing w:line="240" w:lineRule="auto"/>
                    <w:jc w:val="center"/>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数量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75" w:hRule="atLeast"/>
              </w:trPr>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1</w:t>
                  </w:r>
                </w:p>
              </w:tc>
              <w:tc>
                <w:tcPr>
                  <w:tcW w:w="638" w:type="dxa"/>
                  <w:vMerge w:val="restart"/>
                  <w:tcBorders>
                    <w:tl2br w:val="nil"/>
                    <w:tr2bl w:val="nil"/>
                  </w:tcBorders>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val="en-US" w:eastAsia="zh-CN"/>
                    </w:rPr>
                    <w:t>面漆</w:t>
                  </w:r>
                </w:p>
              </w:tc>
              <w:tc>
                <w:tcPr>
                  <w:tcW w:w="1696" w:type="dxa"/>
                  <w:gridSpan w:val="2"/>
                  <w:tcBorders>
                    <w:tl2br w:val="nil"/>
                    <w:tr2bl w:val="nil"/>
                  </w:tcBorders>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val="en-US" w:eastAsia="zh-CN"/>
                    </w:rPr>
                    <w:t>固体份（88%）</w:t>
                  </w:r>
                </w:p>
              </w:tc>
              <w:tc>
                <w:tcPr>
                  <w:tcW w:w="1176"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rPr>
                    <w:t>4.1448</w:t>
                  </w:r>
                </w:p>
              </w:tc>
              <w:tc>
                <w:tcPr>
                  <w:tcW w:w="847"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产品附着</w:t>
                  </w:r>
                </w:p>
              </w:tc>
              <w:tc>
                <w:tcPr>
                  <w:tcW w:w="2336"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漆膜</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2.901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2</w:t>
                  </w:r>
                </w:p>
              </w:tc>
              <w:tc>
                <w:tcPr>
                  <w:tcW w:w="638" w:type="dxa"/>
                  <w:vMerge w:val="continue"/>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p>
              </w:tc>
              <w:tc>
                <w:tcPr>
                  <w:tcW w:w="840" w:type="dxa"/>
                  <w:vMerge w:val="restart"/>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lang w:val="en-US" w:eastAsia="zh-CN"/>
                    </w:rPr>
                    <w:t>挥发份（</w:t>
                  </w:r>
                  <w:r>
                    <w:rPr>
                      <w:rFonts w:hint="eastAsia" w:ascii="Times New Roman" w:hAnsi="Times New Roman" w:eastAsia="宋体"/>
                      <w:color w:val="auto"/>
                      <w:kern w:val="0"/>
                      <w:sz w:val="21"/>
                      <w:szCs w:val="21"/>
                    </w:rPr>
                    <w:t>非甲烷总烃</w:t>
                  </w:r>
                  <w:r>
                    <w:rPr>
                      <w:rFonts w:hint="eastAsia" w:ascii="Times New Roman" w:hAnsi="Times New Roman" w:eastAsia="宋体"/>
                      <w:color w:val="auto"/>
                      <w:kern w:val="0"/>
                      <w:sz w:val="21"/>
                      <w:szCs w:val="21"/>
                      <w:lang w:val="en-US" w:eastAsia="zh-CN"/>
                    </w:rPr>
                    <w:t>）</w:t>
                  </w:r>
                </w:p>
              </w:tc>
              <w:tc>
                <w:tcPr>
                  <w:tcW w:w="856" w:type="dxa"/>
                  <w:vMerge w:val="restart"/>
                  <w:tcBorders>
                    <w:tl2br w:val="nil"/>
                    <w:tr2bl w:val="nil"/>
                  </w:tcBorders>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rPr>
                    <w:t>二甲苯</w:t>
                  </w:r>
                  <w:r>
                    <w:rPr>
                      <w:rFonts w:hint="eastAsia" w:ascii="Times New Roman" w:hAnsi="Times New Roman" w:eastAsia="宋体"/>
                      <w:color w:val="auto"/>
                      <w:kern w:val="0"/>
                      <w:sz w:val="21"/>
                      <w:szCs w:val="21"/>
                      <w:lang w:eastAsia="zh-CN"/>
                    </w:rPr>
                    <w:t>（</w:t>
                  </w:r>
                  <w:r>
                    <w:rPr>
                      <w:rFonts w:hint="eastAsia" w:ascii="Times New Roman" w:hAnsi="Times New Roman" w:eastAsia="宋体"/>
                      <w:color w:val="auto"/>
                      <w:kern w:val="0"/>
                      <w:sz w:val="21"/>
                      <w:szCs w:val="21"/>
                      <w:lang w:val="en-US" w:eastAsia="zh-CN"/>
                    </w:rPr>
                    <w:t>3%</w:t>
                  </w:r>
                  <w:r>
                    <w:rPr>
                      <w:rFonts w:hint="eastAsia" w:ascii="Times New Roman" w:hAnsi="Times New Roman" w:eastAsia="宋体"/>
                      <w:color w:val="auto"/>
                      <w:kern w:val="0"/>
                      <w:sz w:val="21"/>
                      <w:szCs w:val="21"/>
                      <w:lang w:eastAsia="zh-CN"/>
                    </w:rPr>
                    <w:t>）</w:t>
                  </w:r>
                </w:p>
              </w:tc>
              <w:tc>
                <w:tcPr>
                  <w:tcW w:w="588" w:type="dxa"/>
                  <w:vMerge w:val="restart"/>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rPr>
                    <w:t>0.5652</w:t>
                  </w:r>
                </w:p>
              </w:tc>
              <w:tc>
                <w:tcPr>
                  <w:tcW w:w="588" w:type="dxa"/>
                  <w:vMerge w:val="restart"/>
                  <w:tcBorders>
                    <w:tl2br w:val="nil"/>
                    <w:tr2bl w:val="nil"/>
                  </w:tcBorders>
                  <w:noWrap/>
                  <w:vAlign w:val="center"/>
                </w:tcPr>
                <w:p>
                  <w:pPr>
                    <w:widowControl/>
                    <w:spacing w:line="240" w:lineRule="auto"/>
                    <w:jc w:val="center"/>
                    <w:rPr>
                      <w:rFonts w:hint="default" w:ascii="Times New Roman" w:hAnsi="Times New Roman" w:eastAsia="宋体" w:cs="Times New Roman"/>
                      <w:caps w:val="0"/>
                      <w:color w:val="auto"/>
                      <w:kern w:val="0"/>
                      <w:sz w:val="21"/>
                      <w:szCs w:val="21"/>
                      <w:highlight w:val="none"/>
                      <w:lang w:val="en-US" w:eastAsia="zh-CN" w:bidi="ar-SA"/>
                    </w:rPr>
                  </w:pPr>
                  <w:r>
                    <w:rPr>
                      <w:rFonts w:hint="eastAsia" w:ascii="Times New Roman" w:hAnsi="Times New Roman" w:eastAsia="宋体" w:cs="Times New Roman"/>
                      <w:caps w:val="0"/>
                      <w:color w:val="auto"/>
                      <w:kern w:val="0"/>
                      <w:sz w:val="21"/>
                      <w:szCs w:val="21"/>
                      <w:highlight w:val="none"/>
                      <w:lang w:val="en-US" w:eastAsia="zh-CN" w:bidi="ar-SA"/>
                    </w:rPr>
                    <w:t>0.1413</w:t>
                  </w:r>
                </w:p>
              </w:tc>
              <w:tc>
                <w:tcPr>
                  <w:tcW w:w="847" w:type="dxa"/>
                  <w:vMerge w:val="restart"/>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废气</w:t>
                  </w:r>
                </w:p>
              </w:tc>
              <w:tc>
                <w:tcPr>
                  <w:tcW w:w="638" w:type="dxa"/>
                  <w:vMerge w:val="restart"/>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有组织</w:t>
                  </w:r>
                </w:p>
              </w:tc>
              <w:tc>
                <w:tcPr>
                  <w:tcW w:w="1698" w:type="dxa"/>
                  <w:gridSpan w:val="2"/>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漆雾</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rPr>
                    <w:t>0.0315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56" w:hRule="atLeast"/>
              </w:trPr>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3</w:t>
                  </w:r>
                </w:p>
              </w:tc>
              <w:tc>
                <w:tcPr>
                  <w:tcW w:w="638" w:type="dxa"/>
                  <w:vMerge w:val="continue"/>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p>
              </w:tc>
              <w:tc>
                <w:tcPr>
                  <w:tcW w:w="840"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856"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588" w:type="dxa"/>
                  <w:vMerge w:val="continue"/>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p>
              </w:tc>
              <w:tc>
                <w:tcPr>
                  <w:tcW w:w="588" w:type="dxa"/>
                  <w:vMerge w:val="continue"/>
                  <w:tcBorders>
                    <w:tl2br w:val="nil"/>
                    <w:tr2bl w:val="nil"/>
                  </w:tcBorders>
                  <w:noWrap/>
                  <w:vAlign w:val="center"/>
                </w:tcPr>
                <w:p>
                  <w:pPr>
                    <w:widowControl/>
                    <w:spacing w:line="240" w:lineRule="auto"/>
                    <w:jc w:val="center"/>
                    <w:rPr>
                      <w:rFonts w:hint="default" w:ascii="Times New Roman" w:hAnsi="Times New Roman" w:eastAsia="宋体" w:cs="Times New Roman"/>
                      <w:caps w:val="0"/>
                      <w:color w:val="auto"/>
                      <w:kern w:val="0"/>
                      <w:sz w:val="21"/>
                      <w:szCs w:val="21"/>
                      <w:highlight w:val="none"/>
                      <w:lang w:val="en-US" w:eastAsia="zh-CN" w:bidi="ar-SA"/>
                    </w:rPr>
                  </w:pP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638" w:type="dxa"/>
                  <w:vMerge w:val="continue"/>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p>
              </w:tc>
              <w:tc>
                <w:tcPr>
                  <w:tcW w:w="802" w:type="dxa"/>
                  <w:vMerge w:val="restart"/>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非甲烷总烃</w:t>
                  </w:r>
                </w:p>
              </w:tc>
              <w:tc>
                <w:tcPr>
                  <w:tcW w:w="896" w:type="dxa"/>
                  <w:vMerge w:val="restart"/>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二甲苯</w:t>
                  </w:r>
                </w:p>
              </w:tc>
              <w:tc>
                <w:tcPr>
                  <w:tcW w:w="588"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rPr>
                    <w:t>0.0729</w:t>
                  </w:r>
                </w:p>
              </w:tc>
              <w:tc>
                <w:tcPr>
                  <w:tcW w:w="599" w:type="dxa"/>
                  <w:vMerge w:val="restar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0.0067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471" w:hRule="atLeast"/>
              </w:trPr>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4</w:t>
                  </w:r>
                </w:p>
              </w:tc>
              <w:tc>
                <w:tcPr>
                  <w:tcW w:w="638"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840"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856"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其他</w:t>
                  </w:r>
                </w:p>
              </w:tc>
              <w:tc>
                <w:tcPr>
                  <w:tcW w:w="588" w:type="dxa"/>
                  <w:vMerge w:val="continue"/>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p>
              </w:tc>
              <w:tc>
                <w:tcPr>
                  <w:tcW w:w="588" w:type="dxa"/>
                  <w:tcBorders>
                    <w:tl2br w:val="nil"/>
                    <w:tr2bl w:val="nil"/>
                  </w:tcBorders>
                  <w:noWrap/>
                  <w:vAlign w:val="center"/>
                </w:tcPr>
                <w:p>
                  <w:pPr>
                    <w:widowControl/>
                    <w:spacing w:line="240" w:lineRule="auto"/>
                    <w:jc w:val="center"/>
                    <w:rPr>
                      <w:rFonts w:hint="default" w:ascii="Times New Roman" w:hAnsi="Times New Roman" w:eastAsia="宋体" w:cs="Times New Roman"/>
                      <w:caps w:val="0"/>
                      <w:color w:val="auto"/>
                      <w:kern w:val="0"/>
                      <w:sz w:val="21"/>
                      <w:szCs w:val="21"/>
                      <w:highlight w:val="none"/>
                      <w:lang w:val="en-US" w:eastAsia="zh-CN" w:bidi="ar-SA"/>
                    </w:rPr>
                  </w:pPr>
                  <w:r>
                    <w:rPr>
                      <w:rFonts w:hint="eastAsia" w:ascii="Times New Roman" w:hAnsi="Times New Roman" w:eastAsia="宋体" w:cs="Times New Roman"/>
                      <w:caps w:val="0"/>
                      <w:color w:val="auto"/>
                      <w:kern w:val="0"/>
                      <w:sz w:val="21"/>
                      <w:szCs w:val="21"/>
                      <w:highlight w:val="none"/>
                      <w:lang w:val="en-US" w:eastAsia="zh-CN" w:bidi="ar-SA"/>
                    </w:rPr>
                    <w:t>0.4239</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638" w:type="dxa"/>
                  <w:vMerge w:val="continue"/>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p>
              </w:tc>
              <w:tc>
                <w:tcPr>
                  <w:tcW w:w="802"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896" w:type="dxa"/>
                  <w:vMerge w:val="continue"/>
                  <w:tcBorders>
                    <w:tl2br w:val="nil"/>
                    <w:tr2bl w:val="nil"/>
                  </w:tcBorders>
                  <w:vAlign w:val="bottom"/>
                </w:tcPr>
                <w:p>
                  <w:pPr>
                    <w:widowControl/>
                    <w:spacing w:line="240" w:lineRule="auto"/>
                    <w:jc w:val="center"/>
                    <w:rPr>
                      <w:rFonts w:ascii="Times New Roman" w:hAnsi="Times New Roman" w:eastAsia="宋体"/>
                      <w:color w:val="auto"/>
                      <w:kern w:val="0"/>
                      <w:sz w:val="21"/>
                      <w:szCs w:val="21"/>
                    </w:rPr>
                  </w:pPr>
                </w:p>
              </w:tc>
              <w:tc>
                <w:tcPr>
                  <w:tcW w:w="588" w:type="dxa"/>
                  <w:vMerge w:val="continue"/>
                  <w:tcBorders>
                    <w:tl2br w:val="nil"/>
                    <w:tr2bl w:val="nil"/>
                  </w:tcBorders>
                  <w:noWrap/>
                  <w:vAlign w:val="center"/>
                </w:tcPr>
                <w:p>
                  <w:pPr>
                    <w:jc w:val="center"/>
                    <w:rPr>
                      <w:rFonts w:ascii="Times New Roman" w:hAnsi="Times New Roman" w:eastAsia="宋体"/>
                      <w:color w:val="auto"/>
                      <w:kern w:val="0"/>
                      <w:sz w:val="21"/>
                      <w:szCs w:val="21"/>
                    </w:rPr>
                  </w:pPr>
                </w:p>
              </w:tc>
              <w:tc>
                <w:tcPr>
                  <w:tcW w:w="599" w:type="dxa"/>
                  <w:vMerge w:val="continue"/>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olor w:val="auto"/>
                      <w:kern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5</w:t>
                  </w:r>
                </w:p>
              </w:tc>
              <w:tc>
                <w:tcPr>
                  <w:tcW w:w="638"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稀释剂</w:t>
                  </w:r>
                </w:p>
              </w:tc>
              <w:tc>
                <w:tcPr>
                  <w:tcW w:w="1696" w:type="dxa"/>
                  <w:gridSpan w:val="2"/>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非甲烷总烃</w:t>
                  </w:r>
                </w:p>
              </w:tc>
              <w:tc>
                <w:tcPr>
                  <w:tcW w:w="1176" w:type="dxa"/>
                  <w:gridSpan w:val="2"/>
                  <w:tcBorders>
                    <w:tl2br w:val="nil"/>
                    <w:tr2bl w:val="nil"/>
                  </w:tcBorders>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1.04</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638" w:type="dxa"/>
                  <w:vMerge w:val="continue"/>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p>
              </w:tc>
              <w:tc>
                <w:tcPr>
                  <w:tcW w:w="802"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896"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其他</w:t>
                  </w:r>
                </w:p>
              </w:tc>
              <w:tc>
                <w:tcPr>
                  <w:tcW w:w="588" w:type="dxa"/>
                  <w:vMerge w:val="continue"/>
                  <w:tcBorders>
                    <w:tl2br w:val="nil"/>
                    <w:tr2bl w:val="nil"/>
                  </w:tcBorders>
                  <w:noWrap/>
                  <w:vAlign w:val="center"/>
                </w:tcPr>
                <w:p>
                  <w:pPr>
                    <w:jc w:val="center"/>
                    <w:rPr>
                      <w:rFonts w:ascii="Times New Roman" w:hAnsi="Times New Roman" w:eastAsia="宋体"/>
                      <w:color w:val="auto"/>
                      <w:kern w:val="0"/>
                      <w:sz w:val="21"/>
                      <w:szCs w:val="21"/>
                    </w:rPr>
                  </w:pPr>
                </w:p>
              </w:tc>
              <w:tc>
                <w:tcPr>
                  <w:tcW w:w="599"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0.0662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94" w:hRule="atLeast"/>
              </w:trPr>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6</w:t>
                  </w: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1176" w:type="dxa"/>
                  <w:gridSpan w:val="2"/>
                  <w:tcBorders>
                    <w:tl2br w:val="nil"/>
                    <w:tr2bl w:val="nil"/>
                  </w:tcBorders>
                  <w:noWrap/>
                  <w:vAlign w:val="center"/>
                </w:tcPr>
                <w:p>
                  <w:pPr>
                    <w:widowControl/>
                    <w:adjustRightInd/>
                    <w:snapToGrid/>
                    <w:spacing w:line="240" w:lineRule="auto"/>
                    <w:jc w:val="center"/>
                    <w:rPr>
                      <w:rFonts w:ascii="Times New Roman" w:hAnsi="Times New Roman" w:eastAsia="宋体"/>
                      <w:bCs/>
                      <w:color w:val="auto"/>
                      <w:kern w:val="0"/>
                      <w:sz w:val="21"/>
                      <w:szCs w:val="21"/>
                    </w:rPr>
                  </w:pPr>
                  <w:r>
                    <w:rPr>
                      <w:rFonts w:ascii="Times New Roman" w:hAnsi="Times New Roman" w:eastAsia="宋体"/>
                      <w:color w:val="auto"/>
                      <w:kern w:val="0"/>
                      <w:sz w:val="21"/>
                      <w:szCs w:val="21"/>
                    </w:rPr>
                    <w:t>/</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638" w:type="dxa"/>
                  <w:vMerge w:val="restart"/>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无组织</w:t>
                  </w:r>
                </w:p>
              </w:tc>
              <w:tc>
                <w:tcPr>
                  <w:tcW w:w="1698"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漆雾</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rPr>
                    <w:t>0.0414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7</w:t>
                  </w: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1176"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638"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802" w:type="dxa"/>
                  <w:vMerge w:val="restart"/>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非甲烷总烃</w:t>
                  </w:r>
                </w:p>
              </w:tc>
              <w:tc>
                <w:tcPr>
                  <w:tcW w:w="896" w:type="dxa"/>
                  <w:tcBorders>
                    <w:tl2br w:val="nil"/>
                    <w:tr2bl w:val="nil"/>
                  </w:tcBorders>
                  <w:vAlign w:val="bottom"/>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二甲苯</w:t>
                  </w:r>
                </w:p>
              </w:tc>
              <w:tc>
                <w:tcPr>
                  <w:tcW w:w="588" w:type="dxa"/>
                  <w:vMerge w:val="restart"/>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rPr>
                    <w:t>0.0768</w:t>
                  </w:r>
                </w:p>
              </w:tc>
              <w:tc>
                <w:tcPr>
                  <w:tcW w:w="599" w:type="dxa"/>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0.0071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8</w:t>
                  </w: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1176"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638" w:type="dxa"/>
                  <w:vMerge w:val="continue"/>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p>
              </w:tc>
              <w:tc>
                <w:tcPr>
                  <w:tcW w:w="802" w:type="dxa"/>
                  <w:vMerge w:val="continue"/>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896" w:type="dxa"/>
                  <w:tcBorders>
                    <w:tl2br w:val="nil"/>
                    <w:tr2bl w:val="nil"/>
                  </w:tcBorders>
                  <w:vAlign w:val="bottom"/>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其他</w:t>
                  </w:r>
                </w:p>
              </w:tc>
              <w:tc>
                <w:tcPr>
                  <w:tcW w:w="588" w:type="dxa"/>
                  <w:vMerge w:val="continue"/>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p>
              </w:tc>
              <w:tc>
                <w:tcPr>
                  <w:tcW w:w="599" w:type="dxa"/>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0.0697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9</w:t>
                  </w: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1176"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2336" w:type="dxa"/>
                  <w:gridSpan w:val="3"/>
                  <w:tcBorders>
                    <w:tl2br w:val="nil"/>
                    <w:tr2bl w:val="nil"/>
                  </w:tcBorders>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进入活性炭</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1.3855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10</w:t>
                  </w: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1176"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847" w:type="dxa"/>
                  <w:vMerge w:val="restart"/>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r>
                    <w:rPr>
                      <w:rFonts w:ascii="Times New Roman" w:hAnsi="Times New Roman" w:eastAsia="宋体"/>
                      <w:color w:val="auto"/>
                      <w:kern w:val="0"/>
                      <w:sz w:val="21"/>
                      <w:szCs w:val="21"/>
                    </w:rPr>
                    <w:t>固废</w:t>
                  </w:r>
                </w:p>
              </w:tc>
              <w:tc>
                <w:tcPr>
                  <w:tcW w:w="2336"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漆渣</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0.414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p>
              </w:tc>
              <w:tc>
                <w:tcPr>
                  <w:tcW w:w="1176"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2336" w:type="dxa"/>
                  <w:gridSpan w:val="3"/>
                  <w:tcBorders>
                    <w:tl2br w:val="nil"/>
                    <w:tr2bl w:val="nil"/>
                  </w:tcBorders>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喷漆清洗废液</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11</w:t>
                  </w:r>
                </w:p>
              </w:tc>
              <w:tc>
                <w:tcPr>
                  <w:tcW w:w="2334" w:type="dxa"/>
                  <w:gridSpan w:val="3"/>
                  <w:tcBorders>
                    <w:tl2br w:val="nil"/>
                    <w:tr2bl w:val="nil"/>
                  </w:tcBorders>
                  <w:vAlign w:val="center"/>
                </w:tcPr>
                <w:p>
                  <w:pPr>
                    <w:widowControl/>
                    <w:adjustRightInd/>
                    <w:snapToGrid/>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1176" w:type="dxa"/>
                  <w:gridSpan w:val="2"/>
                  <w:tcBorders>
                    <w:tl2br w:val="nil"/>
                    <w:tr2bl w:val="nil"/>
                  </w:tcBorders>
                  <w:noWrap/>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w:t>
                  </w:r>
                </w:p>
              </w:tc>
              <w:tc>
                <w:tcPr>
                  <w:tcW w:w="847" w:type="dxa"/>
                  <w:vMerge w:val="continue"/>
                  <w:tcBorders>
                    <w:tl2br w:val="nil"/>
                    <w:tr2bl w:val="nil"/>
                  </w:tcBorders>
                  <w:vAlign w:val="center"/>
                </w:tcPr>
                <w:p>
                  <w:pPr>
                    <w:widowControl/>
                    <w:adjustRightInd/>
                    <w:snapToGrid/>
                    <w:spacing w:line="240" w:lineRule="auto"/>
                    <w:jc w:val="left"/>
                    <w:rPr>
                      <w:rFonts w:ascii="Times New Roman" w:hAnsi="Times New Roman" w:eastAsia="宋体"/>
                      <w:color w:val="auto"/>
                      <w:kern w:val="0"/>
                      <w:sz w:val="21"/>
                      <w:szCs w:val="21"/>
                    </w:rPr>
                  </w:pPr>
                </w:p>
              </w:tc>
              <w:tc>
                <w:tcPr>
                  <w:tcW w:w="2336"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进入干式过滤系统的漆雾</w:t>
                  </w:r>
                </w:p>
              </w:tc>
              <w:tc>
                <w:tcPr>
                  <w:tcW w:w="1187" w:type="dxa"/>
                  <w:gridSpan w:val="2"/>
                  <w:tcBorders>
                    <w:tl2br w:val="nil"/>
                    <w:tr2bl w:val="nil"/>
                  </w:tcBorders>
                  <w:noWrap/>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0.7569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c>
                <w:tcPr>
                  <w:tcW w:w="441" w:type="dxa"/>
                  <w:tcBorders>
                    <w:tl2br w:val="nil"/>
                    <w:tr2bl w:val="nil"/>
                  </w:tcBorders>
                  <w:vAlign w:val="center"/>
                </w:tcPr>
                <w:p>
                  <w:pPr>
                    <w:widowControl/>
                    <w:spacing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12</w:t>
                  </w:r>
                </w:p>
              </w:tc>
              <w:tc>
                <w:tcPr>
                  <w:tcW w:w="2334" w:type="dxa"/>
                  <w:gridSpan w:val="3"/>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合计</w:t>
                  </w:r>
                </w:p>
              </w:tc>
              <w:tc>
                <w:tcPr>
                  <w:tcW w:w="1176" w:type="dxa"/>
                  <w:gridSpan w:val="2"/>
                  <w:tcBorders>
                    <w:tl2br w:val="nil"/>
                    <w:tr2bl w:val="nil"/>
                  </w:tcBorders>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5.75</w:t>
                  </w:r>
                </w:p>
              </w:tc>
              <w:tc>
                <w:tcPr>
                  <w:tcW w:w="3183" w:type="dxa"/>
                  <w:gridSpan w:val="4"/>
                  <w:tcBorders>
                    <w:tl2br w:val="nil"/>
                    <w:tr2bl w:val="nil"/>
                  </w:tcBorders>
                  <w:vAlign w:val="center"/>
                </w:tcPr>
                <w:p>
                  <w:pPr>
                    <w:widowControl/>
                    <w:spacing w:line="240" w:lineRule="auto"/>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合计</w:t>
                  </w:r>
                </w:p>
              </w:tc>
              <w:tc>
                <w:tcPr>
                  <w:tcW w:w="1187" w:type="dxa"/>
                  <w:gridSpan w:val="2"/>
                  <w:tcBorders>
                    <w:tl2br w:val="nil"/>
                    <w:tr2bl w:val="nil"/>
                  </w:tcBorders>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5.75</w:t>
                  </w:r>
                </w:p>
              </w:tc>
            </w:tr>
          </w:tbl>
          <w:p>
            <w:pPr>
              <w:pStyle w:val="4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lang w:val="en-US" w:eastAsia="zh-CN"/>
              </w:rPr>
            </w:pPr>
          </w:p>
          <w:p>
            <w:pPr>
              <w:pStyle w:val="38"/>
              <w:numPr>
                <w:ilvl w:val="0"/>
                <w:numId w:val="0"/>
              </w:numPr>
              <w:bidi w:val="0"/>
              <w:jc w:val="center"/>
              <w:rPr>
                <w:rFonts w:hint="eastAsia" w:ascii="Times New Roman" w:hAnsi="Times New Roman" w:eastAsia="宋体"/>
                <w:caps w:val="0"/>
                <w:color w:val="auto"/>
                <w:sz w:val="21"/>
                <w:szCs w:val="21"/>
                <w:lang w:eastAsia="zh-CN"/>
              </w:rPr>
            </w:pPr>
            <w:r>
              <w:rPr>
                <w:rFonts w:hint="eastAsia" w:ascii="Times New Roman" w:hAnsi="Times New Roman" w:eastAsia="宋体"/>
                <w:caps w:val="0"/>
                <w:color w:val="auto"/>
                <w:sz w:val="21"/>
                <w:szCs w:val="21"/>
                <w:lang w:eastAsia="zh-CN"/>
              </w:rPr>
              <w:drawing>
                <wp:inline distT="0" distB="0" distL="114300" distR="114300">
                  <wp:extent cx="5292090" cy="2499995"/>
                  <wp:effectExtent l="0" t="0" r="11430" b="14605"/>
                  <wp:docPr id="58" name="图片 58" descr="油漆物料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油漆物料平衡图"/>
                          <pic:cNvPicPr>
                            <a:picLocks noChangeAspect="1"/>
                          </pic:cNvPicPr>
                        </pic:nvPicPr>
                        <pic:blipFill>
                          <a:blip r:embed="rId9"/>
                          <a:stretch>
                            <a:fillRect/>
                          </a:stretch>
                        </pic:blipFill>
                        <pic:spPr>
                          <a:xfrm>
                            <a:off x="0" y="0"/>
                            <a:ext cx="5292090" cy="2499995"/>
                          </a:xfrm>
                          <a:prstGeom prst="rect">
                            <a:avLst/>
                          </a:prstGeom>
                        </pic:spPr>
                      </pic:pic>
                    </a:graphicData>
                  </a:graphic>
                </wp:inline>
              </w:drawing>
            </w:r>
          </w:p>
          <w:p>
            <w:pPr>
              <w:pStyle w:val="38"/>
              <w:numPr>
                <w:ilvl w:val="0"/>
                <w:numId w:val="0"/>
              </w:numPr>
              <w:bidi w:val="0"/>
              <w:jc w:val="center"/>
              <w:rPr>
                <w:rFonts w:hint="default" w:ascii="Times New Roman" w:hAnsi="Times New Roman" w:eastAsia="宋体"/>
                <w:b/>
                <w:bCs/>
                <w:caps w:val="0"/>
                <w:color w:val="auto"/>
                <w:sz w:val="24"/>
                <w:szCs w:val="24"/>
                <w:lang w:val="en-US" w:eastAsia="zh-CN"/>
              </w:rPr>
            </w:pPr>
            <w:bookmarkStart w:id="15" w:name="OLE_LINK9"/>
            <w:r>
              <w:rPr>
                <w:rFonts w:hint="eastAsia" w:ascii="Times New Roman" w:hAnsi="Times New Roman" w:eastAsia="宋体"/>
                <w:b/>
                <w:bCs/>
                <w:caps w:val="0"/>
                <w:color w:val="auto"/>
                <w:sz w:val="24"/>
                <w:szCs w:val="24"/>
                <w:lang w:val="en-US" w:eastAsia="zh-CN"/>
              </w:rPr>
              <w:t>图2-3 高固份漆物料平衡图</w:t>
            </w:r>
            <w:bookmarkEnd w:id="15"/>
          </w:p>
          <w:p>
            <w:pPr>
              <w:pStyle w:val="18"/>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caps w:val="0"/>
                <w:color w:val="auto"/>
                <w:spacing w:val="-1"/>
                <w:kern w:val="0"/>
                <w:sz w:val="24"/>
                <w:szCs w:val="24"/>
                <w:lang w:val="en-US" w:eastAsia="zh-CN" w:bidi="ar-SA"/>
              </w:rPr>
            </w:pPr>
            <w:r>
              <w:rPr>
                <w:rFonts w:hint="eastAsia" w:ascii="Times New Roman" w:hAnsi="Times New Roman" w:eastAsia="宋体" w:cs="Times New Roman"/>
                <w:b/>
                <w:bCs/>
                <w:caps w:val="0"/>
                <w:color w:val="auto"/>
                <w:spacing w:val="-1"/>
                <w:kern w:val="0"/>
                <w:sz w:val="24"/>
                <w:szCs w:val="24"/>
                <w:lang w:val="en-US" w:eastAsia="zh-CN" w:bidi="ar-SA"/>
              </w:rPr>
              <w:drawing>
                <wp:inline distT="0" distB="0" distL="114300" distR="114300">
                  <wp:extent cx="4547235" cy="1228090"/>
                  <wp:effectExtent l="0" t="0" r="9525" b="6350"/>
                  <wp:docPr id="59" name="图片 59" descr="VOC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VOC平衡图"/>
                          <pic:cNvPicPr>
                            <a:picLocks noChangeAspect="1"/>
                          </pic:cNvPicPr>
                        </pic:nvPicPr>
                        <pic:blipFill>
                          <a:blip r:embed="rId10"/>
                          <a:stretch>
                            <a:fillRect/>
                          </a:stretch>
                        </pic:blipFill>
                        <pic:spPr>
                          <a:xfrm>
                            <a:off x="0" y="0"/>
                            <a:ext cx="4547235" cy="1228090"/>
                          </a:xfrm>
                          <a:prstGeom prst="rect">
                            <a:avLst/>
                          </a:prstGeom>
                        </pic:spPr>
                      </pic:pic>
                    </a:graphicData>
                  </a:graphic>
                </wp:inline>
              </w:drawing>
            </w:r>
          </w:p>
          <w:p>
            <w:pPr>
              <w:pStyle w:val="18"/>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eastAsia" w:ascii="Times New Roman" w:hAnsi="Times New Roman" w:eastAsia="宋体"/>
                <w:caps w:val="0"/>
                <w:color w:val="auto"/>
                <w:sz w:val="21"/>
                <w:szCs w:val="21"/>
                <w:lang w:eastAsia="zh-CN"/>
              </w:rPr>
            </w:pPr>
            <w:r>
              <w:rPr>
                <w:rFonts w:hint="eastAsia" w:ascii="Times New Roman" w:hAnsi="Times New Roman" w:eastAsia="宋体" w:cs="Times New Roman"/>
                <w:b/>
                <w:bCs/>
                <w:caps w:val="0"/>
                <w:color w:val="auto"/>
                <w:spacing w:val="-1"/>
                <w:kern w:val="0"/>
                <w:sz w:val="24"/>
                <w:szCs w:val="24"/>
                <w:lang w:val="en-US" w:eastAsia="zh-CN" w:bidi="ar-SA"/>
              </w:rPr>
              <w:t>图2-4 本项目VOCs物料平衡图</w:t>
            </w:r>
          </w:p>
        </w:tc>
      </w:tr>
    </w:tbl>
    <w:p>
      <w:pPr>
        <w:pStyle w:val="16"/>
        <w:jc w:val="both"/>
        <w:rPr>
          <w:rFonts w:hint="eastAsia" w:ascii="黑体" w:hAnsi="黑体" w:eastAsia="黑体"/>
          <w:snapToGrid w:val="0"/>
          <w:color w:val="auto"/>
          <w:sz w:val="36"/>
          <w:szCs w:val="36"/>
        </w:rPr>
        <w:sectPr>
          <w:footerReference r:id="rId6" w:type="default"/>
          <w:pgSz w:w="11906" w:h="16838"/>
          <w:pgMar w:top="1417" w:right="1531"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trPr>
        <w:tc>
          <w:tcPr>
            <w:tcW w:w="528" w:type="dxa"/>
            <w:vAlign w:val="center"/>
          </w:tcPr>
          <w:p>
            <w:pPr>
              <w:jc w:val="center"/>
              <w:rPr>
                <w:rFonts w:ascii="Times New Roman" w:hAnsi="Times New Roman" w:eastAsia="宋体"/>
                <w:color w:val="auto"/>
              </w:rPr>
            </w:pPr>
            <w:r>
              <w:rPr>
                <w:rFonts w:hint="eastAsia" w:ascii="Times New Roman" w:hAnsi="Times New Roman" w:eastAsia="宋体"/>
                <w:color w:val="auto"/>
              </w:rPr>
              <w:t>工艺流程及产排污环节</w:t>
            </w:r>
          </w:p>
          <w:p>
            <w:pPr>
              <w:pStyle w:val="16"/>
              <w:jc w:val="both"/>
              <w:rPr>
                <w:rFonts w:hint="eastAsia" w:ascii="Times New Roman" w:hAnsi="Times New Roman" w:eastAsia="宋体"/>
                <w:snapToGrid w:val="0"/>
                <w:color w:val="auto"/>
                <w:sz w:val="21"/>
                <w:szCs w:val="36"/>
              </w:rPr>
            </w:pPr>
          </w:p>
        </w:tc>
        <w:tc>
          <w:tcPr>
            <w:tcW w:w="8531" w:type="dxa"/>
          </w:tcPr>
          <w:p>
            <w:pPr>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1、施工期工艺流程</w:t>
            </w:r>
          </w:p>
          <w:p>
            <w:pPr>
              <w:adjustRightInd w:val="0"/>
              <w:snapToGrid w:val="0"/>
              <w:spacing w:line="360" w:lineRule="auto"/>
              <w:ind w:firstLine="480" w:firstLineChars="200"/>
              <w:rPr>
                <w:rFonts w:hint="default" w:ascii="Times New Roman" w:hAnsi="Times New Roman" w:eastAsia="宋体"/>
                <w:bCs/>
                <w:color w:val="auto"/>
                <w:sz w:val="24"/>
                <w:lang w:val="en-US" w:eastAsia="zh-CN"/>
              </w:rPr>
            </w:pPr>
            <w:r>
              <w:rPr>
                <w:rFonts w:hint="default" w:ascii="Times New Roman" w:hAnsi="Times New Roman" w:eastAsia="宋体"/>
                <w:bCs/>
                <w:color w:val="auto"/>
                <w:sz w:val="24"/>
                <w:lang w:val="en-US" w:eastAsia="zh-CN"/>
              </w:rPr>
              <w:t>本项目利用现有厂房，施工期主要为设备调整安装，施工量较小且施工时间较短。因此，本次评价不对施工期作出评价。</w:t>
            </w:r>
          </w:p>
          <w:p>
            <w:pPr>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bCs/>
                <w:color w:val="auto"/>
                <w:sz w:val="24"/>
              </w:rPr>
              <w:t>2、运营期工艺流程</w:t>
            </w:r>
          </w:p>
          <w:p>
            <w:pPr>
              <w:rPr>
                <w:rFonts w:ascii="Times New Roman" w:hAnsi="Times New Roman" w:eastAsia="宋体"/>
                <w:color w:val="auto"/>
              </w:rPr>
            </w:pPr>
            <w:r>
              <w:rPr>
                <w:rFonts w:hint="eastAsia" w:ascii="Times New Roman" w:hAnsi="Times New Roman" w:eastAsia="宋体"/>
                <w:color w:val="auto"/>
              </w:rPr>
              <w:t xml:space="preserve">   </w:t>
            </w:r>
          </w:p>
          <w:p>
            <w:pPr>
              <w:adjustRightInd w:val="0"/>
              <w:snapToGrid w:val="0"/>
              <w:spacing w:line="360" w:lineRule="auto"/>
              <w:jc w:val="center"/>
              <w:rPr>
                <w:rFonts w:ascii="Times New Roman" w:hAnsi="Times New Roman" w:eastAsia="宋体"/>
                <w:b/>
                <w:bCs/>
                <w:color w:val="auto"/>
              </w:rPr>
            </w:pPr>
            <w:r>
              <w:rPr>
                <w:rFonts w:ascii="Times New Roman" w:hAnsi="Times New Roman" w:eastAsia="宋体"/>
                <w:color w:val="auto"/>
              </w:rPr>
              <mc:AlternateContent>
                <mc:Choice Requires="wpc">
                  <w:drawing>
                    <wp:inline distT="0" distB="0" distL="114300" distR="114300">
                      <wp:extent cx="4802505" cy="6518275"/>
                      <wp:effectExtent l="0" t="0" r="0" b="4445"/>
                      <wp:docPr id="243" name="画布 1"/>
                      <wp:cNvGraphicFramePr/>
                      <a:graphic xmlns:a="http://schemas.openxmlformats.org/drawingml/2006/main">
                        <a:graphicData uri="http://schemas.microsoft.com/office/word/2010/wordprocessingCanvas">
                          <wpc:wpc>
                            <wpc:bg>
                              <a:noFill/>
                            </wpc:bg>
                            <wpc:whole>
                              <a:ln>
                                <a:noFill/>
                              </a:ln>
                            </wpc:whole>
                            <wps:wsp>
                              <wps:cNvPr id="135" name="文本框 2"/>
                              <wps:cNvSpPr txBox="1"/>
                              <wps:spPr>
                                <a:xfrm>
                                  <a:off x="1361440" y="7620"/>
                                  <a:ext cx="1261745" cy="256540"/>
                                </a:xfrm>
                                <a:prstGeom prst="rect">
                                  <a:avLst/>
                                </a:prstGeom>
                                <a:solidFill>
                                  <a:srgbClr val="FFFFFF"/>
                                </a:solidFill>
                                <a:ln w="6350">
                                  <a:noFill/>
                                </a:ln>
                              </wps:spPr>
                              <wps:txbx>
                                <w:txbxContent>
                                  <w:p>
                                    <w:pPr>
                                      <w:jc w:val="center"/>
                                      <w:rPr>
                                        <w:rFonts w:hint="default" w:eastAsia="宋体"/>
                                        <w:sz w:val="20"/>
                                        <w:szCs w:val="20"/>
                                        <w:lang w:val="en-US" w:eastAsia="zh-CN"/>
                                      </w:rPr>
                                    </w:pPr>
                                    <w:r>
                                      <w:rPr>
                                        <w:rFonts w:hint="eastAsia"/>
                                        <w:sz w:val="20"/>
                                        <w:szCs w:val="20"/>
                                        <w:lang w:val="en-US" w:eastAsia="zh-CN"/>
                                      </w:rPr>
                                      <w:t>钢板、型材</w:t>
                                    </w:r>
                                  </w:p>
                                </w:txbxContent>
                              </wps:txbx>
                              <wps:bodyPr vert="horz" wrap="square" anchor="t" anchorCtr="0" upright="1"/>
                            </wps:wsp>
                            <wps:wsp>
                              <wps:cNvPr id="140" name="文本框 30"/>
                              <wps:cNvSpPr txBox="1"/>
                              <wps:spPr>
                                <a:xfrm>
                                  <a:off x="2691765" y="850900"/>
                                  <a:ext cx="1551305" cy="255905"/>
                                </a:xfrm>
                                <a:prstGeom prst="rect">
                                  <a:avLst/>
                                </a:prstGeom>
                                <a:noFill/>
                                <a:ln w="6350">
                                  <a:noFill/>
                                </a:ln>
                              </wps:spPr>
                              <wps:txbx>
                                <w:txbxContent>
                                  <w:p>
                                    <w:pPr>
                                      <w:jc w:val="left"/>
                                      <w:rPr>
                                        <w:rFonts w:hint="eastAsia" w:eastAsia="宋体"/>
                                        <w:sz w:val="20"/>
                                        <w:szCs w:val="20"/>
                                        <w:lang w:val="en-US" w:eastAsia="zh-CN"/>
                                      </w:rPr>
                                    </w:pPr>
                                    <w:r>
                                      <w:rPr>
                                        <w:sz w:val="20"/>
                                        <w:szCs w:val="20"/>
                                      </w:rPr>
                                      <w:t>N</w:t>
                                    </w:r>
                                    <w:r>
                                      <w:rPr>
                                        <w:rFonts w:hint="eastAsia"/>
                                        <w:sz w:val="20"/>
                                        <w:szCs w:val="20"/>
                                        <w:lang w:val="en-US" w:eastAsia="zh-CN"/>
                                      </w:rPr>
                                      <w:t>噪声</w:t>
                                    </w:r>
                                  </w:p>
                                </w:txbxContent>
                              </wps:txbx>
                              <wps:bodyPr vert="horz" wrap="square" anchor="t" anchorCtr="0" upright="1"/>
                            </wps:wsp>
                            <wps:wsp>
                              <wps:cNvPr id="141" name="文本框 2"/>
                              <wps:cNvSpPr txBox="1"/>
                              <wps:spPr>
                                <a:xfrm>
                                  <a:off x="1584960" y="445770"/>
                                  <a:ext cx="807085" cy="231775"/>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线 224"/>
                              <wps:cNvCnPr/>
                              <wps:spPr>
                                <a:xfrm>
                                  <a:off x="1993265" y="185420"/>
                                  <a:ext cx="635" cy="248920"/>
                                </a:xfrm>
                                <a:prstGeom prst="line">
                                  <a:avLst/>
                                </a:prstGeom>
                                <a:ln w="9525" cap="flat" cmpd="sng">
                                  <a:solidFill>
                                    <a:srgbClr val="000000"/>
                                  </a:solidFill>
                                  <a:prstDash val="solid"/>
                                  <a:headEnd type="none" w="med" len="med"/>
                                  <a:tailEnd type="triangle" w="med" len="med"/>
                                </a:ln>
                              </wps:spPr>
                              <wps:bodyPr/>
                            </wps:wsp>
                            <wps:wsp>
                              <wps:cNvPr id="147" name="直接箭头连接符 29"/>
                              <wps:cNvCnPr/>
                              <wps:spPr>
                                <a:xfrm flipV="1">
                                  <a:off x="2390775" y="972820"/>
                                  <a:ext cx="309245" cy="3175"/>
                                </a:xfrm>
                                <a:prstGeom prst="straightConnector1">
                                  <a:avLst/>
                                </a:prstGeom>
                                <a:ln w="9525" cap="flat" cmpd="sng">
                                  <a:solidFill>
                                    <a:srgbClr val="000000"/>
                                  </a:solidFill>
                                  <a:prstDash val="dash"/>
                                  <a:headEnd type="none" w="med" len="med"/>
                                  <a:tailEnd type="triangle" w="med" len="med"/>
                                </a:ln>
                              </wps:spPr>
                              <wps:bodyPr/>
                            </wps:wsp>
                            <wps:wsp>
                              <wps:cNvPr id="181" name="文本框 2"/>
                              <wps:cNvSpPr txBox="1"/>
                              <wps:spPr>
                                <a:xfrm>
                                  <a:off x="1646555" y="6259830"/>
                                  <a:ext cx="774700" cy="254000"/>
                                </a:xfrm>
                                <a:prstGeom prst="rect">
                                  <a:avLst/>
                                </a:prstGeom>
                                <a:solidFill>
                                  <a:srgbClr val="FFFFFF"/>
                                </a:solidFill>
                                <a:ln w="6350">
                                  <a:noFill/>
                                </a:ln>
                              </wps:spPr>
                              <wps:txbx>
                                <w:txbxContent>
                                  <w:p>
                                    <w:pPr>
                                      <w:jc w:val="center"/>
                                      <w:rPr>
                                        <w:sz w:val="20"/>
                                        <w:szCs w:val="20"/>
                                      </w:rPr>
                                    </w:pPr>
                                    <w:r>
                                      <w:rPr>
                                        <w:rFonts w:hint="eastAsia"/>
                                        <w:sz w:val="20"/>
                                        <w:szCs w:val="20"/>
                                      </w:rPr>
                                      <w:t>成 品</w:t>
                                    </w:r>
                                  </w:p>
                                </w:txbxContent>
                              </wps:txbx>
                              <wps:bodyPr vert="horz" wrap="square" anchor="t" anchorCtr="0" upright="1"/>
                            </wps:wsp>
                            <wps:wsp>
                              <wps:cNvPr id="182" name="文本框 2"/>
                              <wps:cNvSpPr txBox="1"/>
                              <wps:spPr>
                                <a:xfrm>
                                  <a:off x="330200" y="2020570"/>
                                  <a:ext cx="922020" cy="254000"/>
                                </a:xfrm>
                                <a:prstGeom prst="rect">
                                  <a:avLst/>
                                </a:prstGeom>
                                <a:solidFill>
                                  <a:srgbClr val="FFFFFF"/>
                                </a:solidFill>
                                <a:ln w="6350">
                                  <a:noFill/>
                                </a:ln>
                              </wps:spPr>
                              <wps:txbx>
                                <w:txbxContent>
                                  <w:p>
                                    <w:pPr>
                                      <w:jc w:val="center"/>
                                      <w:rPr>
                                        <w:sz w:val="20"/>
                                        <w:szCs w:val="20"/>
                                      </w:rPr>
                                    </w:pPr>
                                    <w:r>
                                      <w:rPr>
                                        <w:rFonts w:hint="eastAsia"/>
                                        <w:sz w:val="20"/>
                                        <w:szCs w:val="20"/>
                                      </w:rPr>
                                      <w:t xml:space="preserve"> </w:t>
                                    </w:r>
                                  </w:p>
                                </w:txbxContent>
                              </wps:txbx>
                              <wps:bodyPr vert="horz" wrap="square" anchor="t" anchorCtr="0" upright="1"/>
                            </wps:wsp>
                            <wps:wsp>
                              <wps:cNvPr id="221" name="文本框 30"/>
                              <wps:cNvSpPr txBox="1"/>
                              <wps:spPr>
                                <a:xfrm>
                                  <a:off x="2853690" y="2120900"/>
                                  <a:ext cx="1661795" cy="462915"/>
                                </a:xfrm>
                                <a:prstGeom prst="rect">
                                  <a:avLst/>
                                </a:prstGeom>
                                <a:noFill/>
                                <a:ln w="6350">
                                  <a:noFill/>
                                </a:ln>
                              </wps:spPr>
                              <wps:txbx>
                                <w:txbxContent>
                                  <w:p>
                                    <w:pPr>
                                      <w:jc w:val="left"/>
                                      <w:rPr>
                                        <w:rFonts w:hint="eastAsia"/>
                                        <w:sz w:val="20"/>
                                        <w:szCs w:val="20"/>
                                        <w:lang w:val="en-US" w:eastAsia="zh-CN"/>
                                      </w:rPr>
                                    </w:pPr>
                                    <w:r>
                                      <w:rPr>
                                        <w:rFonts w:hint="eastAsia"/>
                                        <w:sz w:val="20"/>
                                        <w:szCs w:val="20"/>
                                        <w:lang w:val="en-US" w:eastAsia="zh-CN"/>
                                      </w:rPr>
                                      <w:t>G3机加工废气、S3边角料、S4废切削液</w:t>
                                    </w:r>
                                  </w:p>
                                  <w:p>
                                    <w:pPr>
                                      <w:pStyle w:val="7"/>
                                      <w:rPr>
                                        <w:rFonts w:hint="default"/>
                                        <w:lang w:val="en-US" w:eastAsia="zh-CN"/>
                                      </w:rPr>
                                    </w:pPr>
                                    <w:r>
                                      <w:rPr>
                                        <w:rFonts w:hint="eastAsia"/>
                                        <w:lang w:val="en-US" w:eastAsia="zh-CN"/>
                                      </w:rPr>
                                      <w:t>N噪声</w:t>
                                    </w:r>
                                  </w:p>
                                </w:txbxContent>
                              </wps:txbx>
                              <wps:bodyPr vert="horz" wrap="square" anchor="t" anchorCtr="0" upright="1"/>
                            </wps:wsp>
                            <wps:wsp>
                              <wps:cNvPr id="231" name="直线 224"/>
                              <wps:cNvCnPr/>
                              <wps:spPr>
                                <a:xfrm>
                                  <a:off x="1998980" y="3690620"/>
                                  <a:ext cx="0" cy="241300"/>
                                </a:xfrm>
                                <a:prstGeom prst="line">
                                  <a:avLst/>
                                </a:prstGeom>
                                <a:ln w="9525" cap="flat" cmpd="sng">
                                  <a:solidFill>
                                    <a:srgbClr val="000000"/>
                                  </a:solidFill>
                                  <a:prstDash val="solid"/>
                                  <a:headEnd type="none" w="med" len="med"/>
                                  <a:tailEnd type="triangle" w="med" len="med"/>
                                </a:ln>
                              </wps:spPr>
                              <wps:bodyPr/>
                            </wps:wsp>
                            <wps:wsp>
                              <wps:cNvPr id="233" name="直接箭头连接符 29"/>
                              <wps:cNvCnPr/>
                              <wps:spPr>
                                <a:xfrm flipV="1">
                                  <a:off x="2393950" y="1812925"/>
                                  <a:ext cx="292100" cy="0"/>
                                </a:xfrm>
                                <a:prstGeom prst="straightConnector1">
                                  <a:avLst/>
                                </a:prstGeom>
                                <a:ln w="9525" cap="flat" cmpd="sng">
                                  <a:solidFill>
                                    <a:srgbClr val="000000"/>
                                  </a:solidFill>
                                  <a:prstDash val="dash"/>
                                  <a:headEnd type="none" w="med" len="med"/>
                                  <a:tailEnd type="triangle" w="med" len="med"/>
                                </a:ln>
                              </wps:spPr>
                              <wps:bodyPr/>
                            </wps:wsp>
                            <wps:wsp>
                              <wps:cNvPr id="234" name="直接箭头连接符 29"/>
                              <wps:cNvCnPr/>
                              <wps:spPr>
                                <a:xfrm flipV="1">
                                  <a:off x="2392680" y="2247900"/>
                                  <a:ext cx="292100" cy="0"/>
                                </a:xfrm>
                                <a:prstGeom prst="straightConnector1">
                                  <a:avLst/>
                                </a:prstGeom>
                                <a:ln w="9525" cap="flat" cmpd="sng">
                                  <a:solidFill>
                                    <a:srgbClr val="000000"/>
                                  </a:solidFill>
                                  <a:prstDash val="dash"/>
                                  <a:headEnd type="none" w="med" len="med"/>
                                  <a:tailEnd type="triangle" w="med" len="med"/>
                                </a:ln>
                              </wps:spPr>
                              <wps:bodyPr/>
                            </wps:wsp>
                            <wps:wsp>
                              <wps:cNvPr id="238" name="直接箭头连接符 29"/>
                              <wps:cNvCnPr/>
                              <wps:spPr>
                                <a:xfrm flipV="1">
                                  <a:off x="2418080" y="583565"/>
                                  <a:ext cx="304800" cy="0"/>
                                </a:xfrm>
                                <a:prstGeom prst="straightConnector1">
                                  <a:avLst/>
                                </a:prstGeom>
                                <a:ln w="9525" cap="flat" cmpd="sng">
                                  <a:solidFill>
                                    <a:srgbClr val="000000"/>
                                  </a:solidFill>
                                  <a:prstDash val="dash"/>
                                  <a:headEnd type="none" w="med" len="med"/>
                                  <a:tailEnd type="triangle" w="med" len="med"/>
                                </a:ln>
                              </wps:spPr>
                              <wps:bodyPr/>
                            </wps:wsp>
                            <wps:wsp>
                              <wps:cNvPr id="239" name="文本框 30"/>
                              <wps:cNvSpPr txBox="1"/>
                              <wps:spPr>
                                <a:xfrm>
                                  <a:off x="2728595" y="346710"/>
                                  <a:ext cx="1625600" cy="451485"/>
                                </a:xfrm>
                                <a:prstGeom prst="rect">
                                  <a:avLst/>
                                </a:prstGeom>
                                <a:noFill/>
                                <a:ln w="6350">
                                  <a:noFill/>
                                </a:ln>
                              </wps:spPr>
                              <wps:txbx>
                                <w:txbxContent>
                                  <w:p>
                                    <w:pPr>
                                      <w:jc w:val="left"/>
                                      <w:rPr>
                                        <w:rFonts w:hint="eastAsia"/>
                                        <w:sz w:val="20"/>
                                        <w:szCs w:val="20"/>
                                        <w:lang w:val="en-US" w:eastAsia="zh-CN"/>
                                      </w:rPr>
                                    </w:pPr>
                                    <w:r>
                                      <w:rPr>
                                        <w:rFonts w:hint="eastAsia"/>
                                        <w:sz w:val="20"/>
                                        <w:szCs w:val="20"/>
                                        <w:lang w:val="en-US" w:eastAsia="zh-CN"/>
                                      </w:rPr>
                                      <w:t>G1切割粉尘、S1边角料</w:t>
                                    </w:r>
                                  </w:p>
                                  <w:p>
                                    <w:pPr>
                                      <w:pStyle w:val="7"/>
                                      <w:rPr>
                                        <w:rFonts w:hint="default"/>
                                        <w:lang w:val="en-US" w:eastAsia="zh-CN"/>
                                      </w:rPr>
                                    </w:pPr>
                                    <w:r>
                                      <w:rPr>
                                        <w:rFonts w:hint="eastAsia"/>
                                        <w:sz w:val="20"/>
                                        <w:szCs w:val="20"/>
                                        <w:lang w:val="en-US" w:eastAsia="zh-CN"/>
                                      </w:rPr>
                                      <w:t>N噪声</w:t>
                                    </w:r>
                                  </w:p>
                                </w:txbxContent>
                              </wps:txbx>
                              <wps:bodyPr vert="horz" anchor="t" anchorCtr="0" upright="1"/>
                            </wps:wsp>
                            <wps:wsp>
                              <wps:cNvPr id="327" name="文本框 2"/>
                              <wps:cNvSpPr txBox="1"/>
                              <wps:spPr>
                                <a:xfrm>
                                  <a:off x="1581150" y="857250"/>
                                  <a:ext cx="807085" cy="237490"/>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冷加工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文本框 2"/>
                              <wps:cNvSpPr txBox="1"/>
                              <wps:spPr>
                                <a:xfrm>
                                  <a:off x="1581150" y="1276350"/>
                                  <a:ext cx="807085" cy="246380"/>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装配成型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文本框 2"/>
                              <wps:cNvSpPr txBox="1"/>
                              <wps:spPr>
                                <a:xfrm>
                                  <a:off x="1572895" y="1704340"/>
                                  <a:ext cx="807085" cy="236855"/>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0" name="文本框 2"/>
                              <wps:cNvSpPr txBox="1"/>
                              <wps:spPr>
                                <a:xfrm>
                                  <a:off x="1581150" y="2124075"/>
                                  <a:ext cx="807085" cy="2292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1" name="文本框 2"/>
                              <wps:cNvSpPr txBox="1"/>
                              <wps:spPr>
                                <a:xfrm>
                                  <a:off x="1564005" y="2543810"/>
                                  <a:ext cx="857250" cy="242570"/>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淬火（外协）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文本框 2"/>
                              <wps:cNvSpPr txBox="1"/>
                              <wps:spPr>
                                <a:xfrm>
                                  <a:off x="1617980" y="3441065"/>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一道漆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7" name="文本框 30"/>
                              <wps:cNvSpPr txBox="1"/>
                              <wps:spPr>
                                <a:xfrm>
                                  <a:off x="2699385" y="1595755"/>
                                  <a:ext cx="1590040" cy="452755"/>
                                </a:xfrm>
                                <a:prstGeom prst="rect">
                                  <a:avLst/>
                                </a:prstGeom>
                                <a:noFill/>
                                <a:ln w="6350">
                                  <a:noFill/>
                                </a:ln>
                              </wps:spPr>
                              <wps:txbx>
                                <w:txbxContent>
                                  <w:p>
                                    <w:pPr>
                                      <w:jc w:val="left"/>
                                      <w:rPr>
                                        <w:rFonts w:hint="eastAsia"/>
                                        <w:sz w:val="20"/>
                                        <w:szCs w:val="20"/>
                                        <w:lang w:val="en-US" w:eastAsia="zh-CN"/>
                                      </w:rPr>
                                    </w:pPr>
                                    <w:r>
                                      <w:rPr>
                                        <w:rFonts w:hint="eastAsia"/>
                                        <w:sz w:val="20"/>
                                        <w:szCs w:val="20"/>
                                        <w:lang w:val="en-US" w:eastAsia="zh-CN"/>
                                      </w:rPr>
                                      <w:t>G2焊接烟尘、S2焊渣</w:t>
                                    </w:r>
                                  </w:p>
                                  <w:p>
                                    <w:pPr>
                                      <w:pStyle w:val="7"/>
                                      <w:rPr>
                                        <w:rFonts w:hint="default"/>
                                        <w:lang w:val="en-US" w:eastAsia="zh-CN"/>
                                      </w:rPr>
                                    </w:pPr>
                                    <w:r>
                                      <w:rPr>
                                        <w:rFonts w:hint="eastAsia"/>
                                        <w:lang w:val="en-US" w:eastAsia="zh-CN"/>
                                      </w:rPr>
                                      <w:t>N噪声</w:t>
                                    </w:r>
                                  </w:p>
                                </w:txbxContent>
                              </wps:txbx>
                              <wps:bodyPr vert="horz" wrap="square" anchor="t" anchorCtr="0" upright="1"/>
                            </wps:wsp>
                            <wps:wsp>
                              <wps:cNvPr id="65" name="文本框 2"/>
                              <wps:cNvSpPr txBox="1"/>
                              <wps:spPr>
                                <a:xfrm>
                                  <a:off x="1622425" y="5379720"/>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机电装配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2"/>
                              <wps:cNvSpPr txBox="1"/>
                              <wps:spPr>
                                <a:xfrm>
                                  <a:off x="234315" y="1720850"/>
                                  <a:ext cx="1044575" cy="254000"/>
                                </a:xfrm>
                                <a:prstGeom prst="rect">
                                  <a:avLst/>
                                </a:prstGeom>
                                <a:noFill/>
                                <a:ln w="6350">
                                  <a:noFill/>
                                </a:ln>
                              </wps:spPr>
                              <wps:txbx>
                                <w:txbxContent>
                                  <w:p>
                                    <w:pPr>
                                      <w:jc w:val="center"/>
                                      <w:rPr>
                                        <w:rFonts w:hint="default" w:eastAsia="宋体"/>
                                        <w:sz w:val="20"/>
                                        <w:szCs w:val="20"/>
                                        <w:lang w:val="en-US" w:eastAsia="zh-CN"/>
                                      </w:rPr>
                                    </w:pPr>
                                    <w:r>
                                      <w:rPr>
                                        <w:rFonts w:hint="eastAsia"/>
                                        <w:sz w:val="20"/>
                                        <w:szCs w:val="20"/>
                                        <w:lang w:val="en-US" w:eastAsia="zh-CN"/>
                                      </w:rPr>
                                      <w:t>焊丝、氧气</w:t>
                                    </w:r>
                                  </w:p>
                                </w:txbxContent>
                              </wps:txbx>
                              <wps:bodyPr vert="horz" anchor="t" anchorCtr="0" upright="1"/>
                            </wps:wsp>
                            <wps:wsp>
                              <wps:cNvPr id="18" name="直接箭头连接符 29"/>
                              <wps:cNvCnPr/>
                              <wps:spPr>
                                <a:xfrm flipV="1">
                                  <a:off x="2384425" y="3566160"/>
                                  <a:ext cx="279400" cy="0"/>
                                </a:xfrm>
                                <a:prstGeom prst="straightConnector1">
                                  <a:avLst/>
                                </a:prstGeom>
                                <a:ln w="9525" cap="flat" cmpd="sng">
                                  <a:solidFill>
                                    <a:srgbClr val="000000"/>
                                  </a:solidFill>
                                  <a:prstDash val="dash"/>
                                  <a:headEnd type="none" w="med" len="med"/>
                                  <a:tailEnd type="triangle" w="med" len="med"/>
                                </a:ln>
                              </wps:spPr>
                              <wps:bodyPr/>
                            </wps:wsp>
                            <wps:wsp>
                              <wps:cNvPr id="30" name="文本框 30"/>
                              <wps:cNvSpPr txBox="1"/>
                              <wps:spPr>
                                <a:xfrm>
                                  <a:off x="2640330" y="3421380"/>
                                  <a:ext cx="1673860" cy="264160"/>
                                </a:xfrm>
                                <a:prstGeom prst="rect">
                                  <a:avLst/>
                                </a:prstGeom>
                                <a:noFill/>
                                <a:ln w="6350">
                                  <a:noFill/>
                                </a:ln>
                              </wps:spPr>
                              <wps:txbx>
                                <w:txbxContent>
                                  <w:p>
                                    <w:pPr>
                                      <w:jc w:val="left"/>
                                      <w:rPr>
                                        <w:rFonts w:hint="eastAsia"/>
                                        <w:sz w:val="21"/>
                                        <w:szCs w:val="21"/>
                                        <w:lang w:val="en-US" w:eastAsia="zh-CN"/>
                                      </w:rPr>
                                    </w:pPr>
                                    <w:r>
                                      <w:rPr>
                                        <w:rFonts w:hint="eastAsia"/>
                                        <w:sz w:val="21"/>
                                        <w:szCs w:val="21"/>
                                        <w:lang w:val="en-US" w:eastAsia="zh-CN"/>
                                      </w:rPr>
                                      <w:t>G5喷漆废气、S5漆渣</w:t>
                                    </w:r>
                                  </w:p>
                                  <w:p>
                                    <w:pPr>
                                      <w:jc w:val="left"/>
                                      <w:rPr>
                                        <w:rFonts w:hint="default" w:eastAsia="宋体"/>
                                        <w:sz w:val="21"/>
                                        <w:szCs w:val="21"/>
                                        <w:lang w:val="en-US" w:eastAsia="zh-CN"/>
                                      </w:rPr>
                                    </w:pPr>
                                  </w:p>
                                </w:txbxContent>
                              </wps:txbx>
                              <wps:bodyPr vert="horz" wrap="square" anchor="t" anchorCtr="0" upright="1"/>
                            </wps:wsp>
                            <wps:wsp>
                              <wps:cNvPr id="44" name="文本框 2"/>
                              <wps:cNvSpPr txBox="1"/>
                              <wps:spPr>
                                <a:xfrm>
                                  <a:off x="1631315" y="5860415"/>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机电调试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2"/>
                              <wps:cNvSpPr txBox="1"/>
                              <wps:spPr>
                                <a:xfrm>
                                  <a:off x="1642745" y="3936365"/>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晾干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线 224"/>
                              <wps:cNvCnPr/>
                              <wps:spPr>
                                <a:xfrm>
                                  <a:off x="2000885" y="4180205"/>
                                  <a:ext cx="0" cy="241300"/>
                                </a:xfrm>
                                <a:prstGeom prst="line">
                                  <a:avLst/>
                                </a:prstGeom>
                                <a:ln w="9525" cap="flat" cmpd="sng">
                                  <a:solidFill>
                                    <a:srgbClr val="000000"/>
                                  </a:solidFill>
                                  <a:prstDash val="solid"/>
                                  <a:headEnd type="none" w="med" len="med"/>
                                  <a:tailEnd type="triangle" w="med" len="med"/>
                                </a:ln>
                              </wps:spPr>
                              <wps:bodyPr/>
                            </wps:wsp>
                            <wps:wsp>
                              <wps:cNvPr id="79" name="文本框 2"/>
                              <wps:cNvSpPr txBox="1"/>
                              <wps:spPr>
                                <a:xfrm>
                                  <a:off x="1635125" y="4919345"/>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晾干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2"/>
                              <wps:cNvSpPr txBox="1"/>
                              <wps:spPr>
                                <a:xfrm>
                                  <a:off x="1642745" y="4431665"/>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二道漆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直线 224"/>
                              <wps:cNvCnPr/>
                              <wps:spPr>
                                <a:xfrm>
                                  <a:off x="1993265" y="4683125"/>
                                  <a:ext cx="0" cy="241300"/>
                                </a:xfrm>
                                <a:prstGeom prst="line">
                                  <a:avLst/>
                                </a:prstGeom>
                                <a:ln w="9525" cap="flat" cmpd="sng">
                                  <a:solidFill>
                                    <a:srgbClr val="000000"/>
                                  </a:solidFill>
                                  <a:prstDash val="solid"/>
                                  <a:headEnd type="none" w="med" len="med"/>
                                  <a:tailEnd type="triangle" w="med" len="med"/>
                                </a:ln>
                              </wps:spPr>
                              <wps:bodyPr/>
                            </wps:wsp>
                            <wps:wsp>
                              <wps:cNvPr id="156" name="直线 224"/>
                              <wps:cNvCnPr/>
                              <wps:spPr>
                                <a:xfrm flipH="1">
                                  <a:off x="1997710" y="5641340"/>
                                  <a:ext cx="3810" cy="205105"/>
                                </a:xfrm>
                                <a:prstGeom prst="line">
                                  <a:avLst/>
                                </a:prstGeom>
                                <a:ln w="9525" cap="flat" cmpd="sng">
                                  <a:solidFill>
                                    <a:srgbClr val="000000"/>
                                  </a:solidFill>
                                  <a:prstDash val="solid"/>
                                  <a:headEnd type="none" w="med" len="med"/>
                                  <a:tailEnd type="triangle" w="med" len="med"/>
                                </a:ln>
                              </wps:spPr>
                              <wps:bodyPr/>
                            </wps:wsp>
                            <wps:wsp>
                              <wps:cNvPr id="157" name="直线 224"/>
                              <wps:cNvCnPr/>
                              <wps:spPr>
                                <a:xfrm flipH="1">
                                  <a:off x="2016760" y="6127115"/>
                                  <a:ext cx="3810" cy="205105"/>
                                </a:xfrm>
                                <a:prstGeom prst="line">
                                  <a:avLst/>
                                </a:prstGeom>
                                <a:ln w="9525" cap="flat" cmpd="sng">
                                  <a:solidFill>
                                    <a:srgbClr val="000000"/>
                                  </a:solidFill>
                                  <a:prstDash val="solid"/>
                                  <a:headEnd type="none" w="med" len="med"/>
                                  <a:tailEnd type="triangle" w="med" len="med"/>
                                </a:ln>
                              </wps:spPr>
                              <wps:bodyPr/>
                            </wps:wsp>
                            <wps:wsp>
                              <wps:cNvPr id="158" name="直线 224"/>
                              <wps:cNvCnPr/>
                              <wps:spPr>
                                <a:xfrm flipH="1">
                                  <a:off x="1996440" y="5173345"/>
                                  <a:ext cx="3810" cy="205105"/>
                                </a:xfrm>
                                <a:prstGeom prst="line">
                                  <a:avLst/>
                                </a:prstGeom>
                                <a:ln w="9525" cap="flat" cmpd="sng">
                                  <a:solidFill>
                                    <a:srgbClr val="000000"/>
                                  </a:solidFill>
                                  <a:prstDash val="solid"/>
                                  <a:headEnd type="none" w="med" len="med"/>
                                  <a:tailEnd type="triangle" w="med" len="med"/>
                                </a:ln>
                              </wps:spPr>
                              <wps:bodyPr/>
                            </wps:wsp>
                            <wps:wsp>
                              <wps:cNvPr id="14" name="直接箭头连接符 29"/>
                              <wps:cNvCnPr/>
                              <wps:spPr>
                                <a:xfrm flipV="1">
                                  <a:off x="2398395" y="4049395"/>
                                  <a:ext cx="279400" cy="0"/>
                                </a:xfrm>
                                <a:prstGeom prst="straightConnector1">
                                  <a:avLst/>
                                </a:prstGeom>
                                <a:ln w="9525" cap="flat" cmpd="sng">
                                  <a:solidFill>
                                    <a:srgbClr val="000000"/>
                                  </a:solidFill>
                                  <a:prstDash val="dash"/>
                                  <a:headEnd type="none" w="med" len="med"/>
                                  <a:tailEnd type="triangle" w="med" len="med"/>
                                </a:ln>
                              </wps:spPr>
                              <wps:bodyPr/>
                            </wps:wsp>
                            <wps:wsp>
                              <wps:cNvPr id="22" name="直接箭头连接符 29"/>
                              <wps:cNvCnPr/>
                              <wps:spPr>
                                <a:xfrm flipV="1">
                                  <a:off x="2395220" y="4557395"/>
                                  <a:ext cx="279400" cy="0"/>
                                </a:xfrm>
                                <a:prstGeom prst="straightConnector1">
                                  <a:avLst/>
                                </a:prstGeom>
                                <a:ln w="9525" cap="flat" cmpd="sng">
                                  <a:solidFill>
                                    <a:srgbClr val="000000"/>
                                  </a:solidFill>
                                  <a:prstDash val="dash"/>
                                  <a:headEnd type="none" w="med" len="med"/>
                                  <a:tailEnd type="triangle" w="med" len="med"/>
                                </a:ln>
                              </wps:spPr>
                              <wps:bodyPr/>
                            </wps:wsp>
                            <wps:wsp>
                              <wps:cNvPr id="32" name="直接箭头连接符 29"/>
                              <wps:cNvCnPr/>
                              <wps:spPr>
                                <a:xfrm flipV="1">
                                  <a:off x="2389505" y="5042535"/>
                                  <a:ext cx="279400" cy="0"/>
                                </a:xfrm>
                                <a:prstGeom prst="straightConnector1">
                                  <a:avLst/>
                                </a:prstGeom>
                                <a:ln w="9525" cap="flat" cmpd="sng">
                                  <a:solidFill>
                                    <a:srgbClr val="000000"/>
                                  </a:solidFill>
                                  <a:prstDash val="dash"/>
                                  <a:headEnd type="none" w="med" len="med"/>
                                  <a:tailEnd type="triangle" w="med" len="med"/>
                                </a:ln>
                              </wps:spPr>
                              <wps:bodyPr/>
                            </wps:wsp>
                            <wps:wsp>
                              <wps:cNvPr id="52" name="直线 224"/>
                              <wps:cNvCnPr/>
                              <wps:spPr>
                                <a:xfrm>
                                  <a:off x="1323975" y="1818640"/>
                                  <a:ext cx="236855" cy="3175"/>
                                </a:xfrm>
                                <a:prstGeom prst="line">
                                  <a:avLst/>
                                </a:prstGeom>
                                <a:ln w="9525" cap="flat" cmpd="sng">
                                  <a:solidFill>
                                    <a:srgbClr val="000000"/>
                                  </a:solidFill>
                                  <a:prstDash val="solid"/>
                                  <a:headEnd type="none" w="med" len="med"/>
                                  <a:tailEnd type="triangle" w="med" len="med"/>
                                </a:ln>
                              </wps:spPr>
                              <wps:bodyPr/>
                            </wps:wsp>
                            <wps:wsp>
                              <wps:cNvPr id="66" name="文本框 66"/>
                              <wps:cNvSpPr txBox="1"/>
                              <wps:spPr>
                                <a:xfrm>
                                  <a:off x="2694305" y="3927475"/>
                                  <a:ext cx="1413510" cy="259715"/>
                                </a:xfrm>
                                <a:prstGeom prst="rect">
                                  <a:avLst/>
                                </a:prstGeom>
                                <a:noFill/>
                                <a:ln w="6350">
                                  <a:noFill/>
                                </a:ln>
                              </wps:spPr>
                              <wps:txbx>
                                <w:txbxContent>
                                  <w:p>
                                    <w:pPr>
                                      <w:jc w:val="left"/>
                                      <w:rPr>
                                        <w:rFonts w:hint="default" w:eastAsia="宋体"/>
                                        <w:sz w:val="20"/>
                                        <w:szCs w:val="20"/>
                                        <w:lang w:val="en-US" w:eastAsia="zh-CN"/>
                                      </w:rPr>
                                    </w:pPr>
                                    <w:r>
                                      <w:rPr>
                                        <w:rFonts w:hint="eastAsia"/>
                                        <w:sz w:val="20"/>
                                        <w:szCs w:val="20"/>
                                        <w:lang w:val="en-US" w:eastAsia="zh-CN"/>
                                      </w:rPr>
                                      <w:t>G6晾干废气</w:t>
                                    </w:r>
                                  </w:p>
                                </w:txbxContent>
                              </wps:txbx>
                              <wps:bodyPr vert="horz" wrap="square" anchor="t" anchorCtr="0" upright="1"/>
                            </wps:wsp>
                            <wps:wsp>
                              <wps:cNvPr id="82" name="文本框 82"/>
                              <wps:cNvSpPr txBox="1"/>
                              <wps:spPr>
                                <a:xfrm>
                                  <a:off x="2673350" y="4925060"/>
                                  <a:ext cx="1413510" cy="259715"/>
                                </a:xfrm>
                                <a:prstGeom prst="rect">
                                  <a:avLst/>
                                </a:prstGeom>
                                <a:noFill/>
                                <a:ln w="6350">
                                  <a:noFill/>
                                </a:ln>
                              </wps:spPr>
                              <wps:txbx>
                                <w:txbxContent>
                                  <w:p>
                                    <w:pPr>
                                      <w:jc w:val="left"/>
                                      <w:rPr>
                                        <w:rFonts w:hint="default" w:eastAsia="宋体"/>
                                        <w:sz w:val="20"/>
                                        <w:szCs w:val="20"/>
                                        <w:lang w:val="en-US" w:eastAsia="zh-CN"/>
                                      </w:rPr>
                                    </w:pPr>
                                    <w:r>
                                      <w:rPr>
                                        <w:rFonts w:hint="eastAsia"/>
                                        <w:sz w:val="20"/>
                                        <w:szCs w:val="20"/>
                                        <w:lang w:val="en-US" w:eastAsia="zh-CN"/>
                                      </w:rPr>
                                      <w:t>G8晾干废气</w:t>
                                    </w:r>
                                  </w:p>
                                </w:txbxContent>
                              </wps:txbx>
                              <wps:bodyPr vert="horz" wrap="square" anchor="t" anchorCtr="0" upright="1"/>
                            </wps:wsp>
                            <wps:wsp>
                              <wps:cNvPr id="84" name="矩形 84"/>
                              <wps:cNvSpPr/>
                              <wps:spPr>
                                <a:xfrm>
                                  <a:off x="1022350" y="3337560"/>
                                  <a:ext cx="3166110" cy="1891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直接连接符 86"/>
                              <wps:cNvCnPr/>
                              <wps:spPr>
                                <a:xfrm flipV="1">
                                  <a:off x="256540" y="4320540"/>
                                  <a:ext cx="755015" cy="698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7" name="文本框 87"/>
                              <wps:cNvSpPr txBox="1"/>
                              <wps:spPr>
                                <a:xfrm>
                                  <a:off x="117475" y="4001770"/>
                                  <a:ext cx="101155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本次技改工艺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
                              <wps:cNvSpPr txBox="1"/>
                              <wps:spPr>
                                <a:xfrm>
                                  <a:off x="793750" y="2111375"/>
                                  <a:ext cx="682625" cy="254000"/>
                                </a:xfrm>
                                <a:prstGeom prst="rect">
                                  <a:avLst/>
                                </a:prstGeom>
                                <a:noFill/>
                                <a:ln w="6350">
                                  <a:noFill/>
                                </a:ln>
                              </wps:spPr>
                              <wps:txbx>
                                <w:txbxContent>
                                  <w:p>
                                    <w:pPr>
                                      <w:jc w:val="center"/>
                                      <w:rPr>
                                        <w:rFonts w:hint="default" w:eastAsia="宋体"/>
                                        <w:sz w:val="20"/>
                                        <w:szCs w:val="20"/>
                                        <w:lang w:val="en-US" w:eastAsia="zh-CN"/>
                                      </w:rPr>
                                    </w:pPr>
                                    <w:r>
                                      <w:rPr>
                                        <w:rFonts w:hint="eastAsia"/>
                                        <w:sz w:val="20"/>
                                        <w:szCs w:val="20"/>
                                        <w:lang w:val="en-US" w:eastAsia="zh-CN"/>
                                      </w:rPr>
                                      <w:t>切削液</w:t>
                                    </w:r>
                                  </w:p>
                                </w:txbxContent>
                              </wps:txbx>
                              <wps:bodyPr vert="horz" anchor="t" anchorCtr="0" upright="1"/>
                            </wps:wsp>
                            <wps:wsp>
                              <wps:cNvPr id="91" name="直线 224"/>
                              <wps:cNvCnPr/>
                              <wps:spPr>
                                <a:xfrm flipV="1">
                                  <a:off x="1330325" y="3562985"/>
                                  <a:ext cx="274955" cy="6350"/>
                                </a:xfrm>
                                <a:prstGeom prst="line">
                                  <a:avLst/>
                                </a:prstGeom>
                                <a:ln w="9525" cap="flat" cmpd="sng">
                                  <a:solidFill>
                                    <a:srgbClr val="000000"/>
                                  </a:solidFill>
                                  <a:prstDash val="solid"/>
                                  <a:headEnd type="none" w="med" len="med"/>
                                  <a:tailEnd type="triangle" w="med" len="med"/>
                                </a:ln>
                              </wps:spPr>
                              <wps:bodyPr/>
                            </wps:wsp>
                            <wps:wsp>
                              <wps:cNvPr id="92" name="直线 224"/>
                              <wps:cNvCnPr/>
                              <wps:spPr>
                                <a:xfrm flipV="1">
                                  <a:off x="1353185" y="4553585"/>
                                  <a:ext cx="274955" cy="6350"/>
                                </a:xfrm>
                                <a:prstGeom prst="line">
                                  <a:avLst/>
                                </a:prstGeom>
                                <a:ln w="9525" cap="flat" cmpd="sng">
                                  <a:solidFill>
                                    <a:srgbClr val="000000"/>
                                  </a:solidFill>
                                  <a:prstDash val="solid"/>
                                  <a:headEnd type="none" w="med" len="med"/>
                                  <a:tailEnd type="triangle" w="med" len="med"/>
                                </a:ln>
                              </wps:spPr>
                              <wps:bodyPr/>
                            </wps:wsp>
                            <wps:wsp>
                              <wps:cNvPr id="93" name="文本框 2"/>
                              <wps:cNvSpPr txBox="1"/>
                              <wps:spPr>
                                <a:xfrm>
                                  <a:off x="141605" y="3456305"/>
                                  <a:ext cx="1189355" cy="254000"/>
                                </a:xfrm>
                                <a:prstGeom prst="rect">
                                  <a:avLst/>
                                </a:prstGeom>
                                <a:noFill/>
                                <a:ln w="6350">
                                  <a:noFill/>
                                </a:ln>
                              </wps:spPr>
                              <wps:txbx>
                                <w:txbxContent>
                                  <w:p>
                                    <w:pPr>
                                      <w:jc w:val="center"/>
                                      <w:rPr>
                                        <w:rFonts w:hint="default" w:eastAsia="宋体"/>
                                        <w:sz w:val="20"/>
                                        <w:szCs w:val="20"/>
                                        <w:lang w:val="en-US" w:eastAsia="zh-CN"/>
                                      </w:rPr>
                                    </w:pPr>
                                    <w:r>
                                      <w:rPr>
                                        <w:rFonts w:hint="eastAsia"/>
                                        <w:sz w:val="20"/>
                                        <w:szCs w:val="20"/>
                                        <w:lang w:val="en-US" w:eastAsia="zh-CN"/>
                                      </w:rPr>
                                      <w:t>高固份漆、稀释剂</w:t>
                                    </w:r>
                                  </w:p>
                                </w:txbxContent>
                              </wps:txbx>
                              <wps:bodyPr vert="horz" anchor="t" anchorCtr="0" upright="1"/>
                            </wps:wsp>
                            <wps:wsp>
                              <wps:cNvPr id="94" name="文本框 2"/>
                              <wps:cNvSpPr txBox="1"/>
                              <wps:spPr>
                                <a:xfrm>
                                  <a:off x="151765" y="4439285"/>
                                  <a:ext cx="1189990" cy="254000"/>
                                </a:xfrm>
                                <a:prstGeom prst="rect">
                                  <a:avLst/>
                                </a:prstGeom>
                                <a:noFill/>
                                <a:ln w="6350">
                                  <a:noFill/>
                                </a:ln>
                              </wps:spPr>
                              <wps:txbx>
                                <w:txbxContent>
                                  <w:p>
                                    <w:pPr>
                                      <w:jc w:val="center"/>
                                      <w:rPr>
                                        <w:rFonts w:hint="default" w:eastAsia="宋体"/>
                                        <w:sz w:val="20"/>
                                        <w:szCs w:val="20"/>
                                        <w:lang w:val="en-US" w:eastAsia="zh-CN"/>
                                      </w:rPr>
                                    </w:pPr>
                                    <w:r>
                                      <w:rPr>
                                        <w:rFonts w:hint="eastAsia"/>
                                        <w:sz w:val="20"/>
                                        <w:szCs w:val="20"/>
                                        <w:lang w:val="en-US" w:eastAsia="zh-CN"/>
                                      </w:rPr>
                                      <w:t>高固份漆、稀释剂</w:t>
                                    </w:r>
                                  </w:p>
                                </w:txbxContent>
                              </wps:txbx>
                              <wps:bodyPr vert="horz" anchor="t" anchorCtr="0" upright="1"/>
                            </wps:wsp>
                            <wps:wsp>
                              <wps:cNvPr id="63" name="文本框 63"/>
                              <wps:cNvSpPr txBox="1"/>
                              <wps:spPr>
                                <a:xfrm>
                                  <a:off x="2690495" y="4415790"/>
                                  <a:ext cx="1673860" cy="327660"/>
                                </a:xfrm>
                                <a:prstGeom prst="rect">
                                  <a:avLst/>
                                </a:prstGeom>
                                <a:noFill/>
                                <a:ln w="6350">
                                  <a:noFill/>
                                </a:ln>
                              </wps:spPr>
                              <wps:txbx>
                                <w:txbxContent>
                                  <w:p>
                                    <w:pPr>
                                      <w:jc w:val="left"/>
                                      <w:rPr>
                                        <w:rFonts w:hint="default" w:eastAsia="宋体"/>
                                        <w:sz w:val="21"/>
                                        <w:szCs w:val="21"/>
                                        <w:lang w:val="en-US" w:eastAsia="zh-CN"/>
                                      </w:rPr>
                                    </w:pPr>
                                    <w:r>
                                      <w:rPr>
                                        <w:rFonts w:hint="eastAsia"/>
                                        <w:sz w:val="21"/>
                                        <w:szCs w:val="21"/>
                                        <w:lang w:val="en-US" w:eastAsia="zh-CN"/>
                                      </w:rPr>
                                      <w:t>G7喷漆废气、S5漆渣</w:t>
                                    </w:r>
                                  </w:p>
                                </w:txbxContent>
                              </wps:txbx>
                              <wps:bodyPr vert="horz" wrap="square" anchor="t" anchorCtr="0" upright="1"/>
                            </wps:wsp>
                            <wps:wsp>
                              <wps:cNvPr id="21" name="矩形 21"/>
                              <wps:cNvSpPr/>
                              <wps:spPr>
                                <a:xfrm>
                                  <a:off x="902970" y="2032000"/>
                                  <a:ext cx="3535680" cy="459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文本框 56"/>
                              <wps:cNvSpPr txBox="1"/>
                              <wps:spPr>
                                <a:xfrm>
                                  <a:off x="0" y="2196465"/>
                                  <a:ext cx="101155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本次技改工艺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连接符 57"/>
                              <wps:cNvCnPr/>
                              <wps:spPr>
                                <a:xfrm flipV="1">
                                  <a:off x="84455" y="2437130"/>
                                  <a:ext cx="807085" cy="114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3" name="直线 224"/>
                              <wps:cNvCnPr/>
                              <wps:spPr>
                                <a:xfrm flipH="1">
                                  <a:off x="1978660" y="674370"/>
                                  <a:ext cx="635" cy="182880"/>
                                </a:xfrm>
                                <a:prstGeom prst="line">
                                  <a:avLst/>
                                </a:prstGeom>
                                <a:ln w="9525" cap="flat" cmpd="sng">
                                  <a:solidFill>
                                    <a:srgbClr val="000000"/>
                                  </a:solidFill>
                                  <a:prstDash val="solid"/>
                                  <a:headEnd type="none" w="med" len="med"/>
                                  <a:tailEnd type="triangle" w="med" len="med"/>
                                </a:ln>
                              </wps:spPr>
                              <wps:bodyPr/>
                            </wps:wsp>
                            <wps:wsp>
                              <wps:cNvPr id="174" name="直线 224"/>
                              <wps:cNvCnPr/>
                              <wps:spPr>
                                <a:xfrm flipH="1">
                                  <a:off x="1983740" y="1097280"/>
                                  <a:ext cx="635" cy="182880"/>
                                </a:xfrm>
                                <a:prstGeom prst="line">
                                  <a:avLst/>
                                </a:prstGeom>
                                <a:ln w="9525" cap="flat" cmpd="sng">
                                  <a:solidFill>
                                    <a:srgbClr val="000000"/>
                                  </a:solidFill>
                                  <a:prstDash val="solid"/>
                                  <a:headEnd type="none" w="med" len="med"/>
                                  <a:tailEnd type="triangle" w="med" len="med"/>
                                </a:ln>
                              </wps:spPr>
                              <wps:bodyPr/>
                            </wps:wsp>
                            <wps:wsp>
                              <wps:cNvPr id="176" name="直线 224"/>
                              <wps:cNvCnPr/>
                              <wps:spPr>
                                <a:xfrm flipH="1">
                                  <a:off x="1972945" y="1526540"/>
                                  <a:ext cx="635" cy="182880"/>
                                </a:xfrm>
                                <a:prstGeom prst="line">
                                  <a:avLst/>
                                </a:prstGeom>
                                <a:ln w="9525" cap="flat" cmpd="sng">
                                  <a:solidFill>
                                    <a:srgbClr val="000000"/>
                                  </a:solidFill>
                                  <a:prstDash val="solid"/>
                                  <a:headEnd type="none" w="med" len="med"/>
                                  <a:tailEnd type="triangle" w="med" len="med"/>
                                </a:ln>
                              </wps:spPr>
                              <wps:bodyPr/>
                            </wps:wsp>
                            <wps:wsp>
                              <wps:cNvPr id="177" name="直线 224"/>
                              <wps:cNvCnPr/>
                              <wps:spPr>
                                <a:xfrm flipH="1">
                                  <a:off x="1973580" y="1941195"/>
                                  <a:ext cx="635" cy="182880"/>
                                </a:xfrm>
                                <a:prstGeom prst="line">
                                  <a:avLst/>
                                </a:prstGeom>
                                <a:ln w="9525" cap="flat" cmpd="sng">
                                  <a:solidFill>
                                    <a:srgbClr val="000000"/>
                                  </a:solidFill>
                                  <a:prstDash val="solid"/>
                                  <a:headEnd type="none" w="med" len="med"/>
                                  <a:tailEnd type="triangle" w="med" len="med"/>
                                </a:ln>
                              </wps:spPr>
                              <wps:bodyPr/>
                            </wps:wsp>
                            <wps:wsp>
                              <wps:cNvPr id="178" name="直线 224"/>
                              <wps:cNvCnPr/>
                              <wps:spPr>
                                <a:xfrm>
                                  <a:off x="1338580" y="2228215"/>
                                  <a:ext cx="236855" cy="3175"/>
                                </a:xfrm>
                                <a:prstGeom prst="line">
                                  <a:avLst/>
                                </a:prstGeom>
                                <a:ln w="9525" cap="flat" cmpd="sng">
                                  <a:solidFill>
                                    <a:srgbClr val="000000"/>
                                  </a:solidFill>
                                  <a:prstDash val="solid"/>
                                  <a:headEnd type="none" w="med" len="med"/>
                                  <a:tailEnd type="triangle" w="med" len="med"/>
                                </a:ln>
                              </wps:spPr>
                              <wps:bodyPr/>
                            </wps:wsp>
                            <wps:wsp>
                              <wps:cNvPr id="179" name="直线 224"/>
                              <wps:cNvCnPr/>
                              <wps:spPr>
                                <a:xfrm flipH="1">
                                  <a:off x="1980565" y="2362835"/>
                                  <a:ext cx="635" cy="182880"/>
                                </a:xfrm>
                                <a:prstGeom prst="line">
                                  <a:avLst/>
                                </a:prstGeom>
                                <a:ln w="9525" cap="flat" cmpd="sng">
                                  <a:solidFill>
                                    <a:srgbClr val="000000"/>
                                  </a:solidFill>
                                  <a:prstDash val="solid"/>
                                  <a:headEnd type="none" w="med" len="med"/>
                                  <a:tailEnd type="triangle" w="med" len="med"/>
                                </a:ln>
                              </wps:spPr>
                              <wps:bodyPr/>
                            </wps:wsp>
                            <wps:wsp>
                              <wps:cNvPr id="180" name="直线 224"/>
                              <wps:cNvCnPr/>
                              <wps:spPr>
                                <a:xfrm flipH="1">
                                  <a:off x="1972945" y="2788285"/>
                                  <a:ext cx="635" cy="182880"/>
                                </a:xfrm>
                                <a:prstGeom prst="line">
                                  <a:avLst/>
                                </a:prstGeom>
                                <a:ln w="9525" cap="flat" cmpd="sng">
                                  <a:solidFill>
                                    <a:srgbClr val="000000"/>
                                  </a:solidFill>
                                  <a:prstDash val="solid"/>
                                  <a:headEnd type="none" w="med" len="med"/>
                                  <a:tailEnd type="triangle" w="med" len="med"/>
                                </a:ln>
                              </wps:spPr>
                              <wps:bodyPr/>
                            </wps:wsp>
                            <wps:wsp>
                              <wps:cNvPr id="183" name="文本框 2"/>
                              <wps:cNvSpPr txBox="1"/>
                              <wps:spPr>
                                <a:xfrm>
                                  <a:off x="1586865" y="2971800"/>
                                  <a:ext cx="807085" cy="23685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直线 224"/>
                              <wps:cNvCnPr/>
                              <wps:spPr>
                                <a:xfrm flipH="1">
                                  <a:off x="2001520" y="3238500"/>
                                  <a:ext cx="635" cy="182880"/>
                                </a:xfrm>
                                <a:prstGeom prst="line">
                                  <a:avLst/>
                                </a:prstGeom>
                                <a:ln w="9525" cap="flat" cmpd="sng">
                                  <a:solidFill>
                                    <a:srgbClr val="000000"/>
                                  </a:solidFill>
                                  <a:prstDash val="solid"/>
                                  <a:headEnd type="none" w="med" len="med"/>
                                  <a:tailEnd type="triangle" w="med" len="med"/>
                                </a:ln>
                              </wps:spPr>
                              <wps:bodyPr/>
                            </wps:wsp>
                            <wps:wsp>
                              <wps:cNvPr id="186" name="直接箭头连接符 29"/>
                              <wps:cNvCnPr/>
                              <wps:spPr>
                                <a:xfrm flipV="1">
                                  <a:off x="2401570" y="3086100"/>
                                  <a:ext cx="292100" cy="0"/>
                                </a:xfrm>
                                <a:prstGeom prst="straightConnector1">
                                  <a:avLst/>
                                </a:prstGeom>
                                <a:ln w="9525" cap="flat" cmpd="sng">
                                  <a:solidFill>
                                    <a:srgbClr val="000000"/>
                                  </a:solidFill>
                                  <a:prstDash val="dash"/>
                                  <a:headEnd type="none" w="med" len="med"/>
                                  <a:tailEnd type="triangle" w="med" len="med"/>
                                </a:ln>
                              </wps:spPr>
                              <wps:bodyPr/>
                            </wps:wsp>
                            <wps:wsp>
                              <wps:cNvPr id="187" name="文本框 30"/>
                              <wps:cNvSpPr txBox="1"/>
                              <wps:spPr>
                                <a:xfrm>
                                  <a:off x="2703195" y="2963545"/>
                                  <a:ext cx="1661795" cy="282575"/>
                                </a:xfrm>
                                <a:prstGeom prst="rect">
                                  <a:avLst/>
                                </a:prstGeom>
                                <a:noFill/>
                                <a:ln w="6350">
                                  <a:noFill/>
                                </a:ln>
                              </wps:spPr>
                              <wps:txbx>
                                <w:txbxContent>
                                  <w:p>
                                    <w:pPr>
                                      <w:jc w:val="left"/>
                                      <w:rPr>
                                        <w:rFonts w:hint="default"/>
                                        <w:lang w:val="en-US" w:eastAsia="zh-CN"/>
                                      </w:rPr>
                                    </w:pPr>
                                    <w:r>
                                      <w:rPr>
                                        <w:rFonts w:hint="eastAsia"/>
                                        <w:sz w:val="20"/>
                                        <w:szCs w:val="20"/>
                                        <w:lang w:val="en-US" w:eastAsia="zh-CN"/>
                                      </w:rPr>
                                      <w:t>G4打磨粉尘、</w:t>
                                    </w:r>
                                    <w:r>
                                      <w:rPr>
                                        <w:rFonts w:hint="eastAsia"/>
                                        <w:lang w:val="en-US" w:eastAsia="zh-CN"/>
                                      </w:rPr>
                                      <w:t>N噪声</w:t>
                                    </w:r>
                                  </w:p>
                                </w:txbxContent>
                              </wps:txbx>
                              <wps:bodyPr vert="horz" wrap="square" anchor="t" anchorCtr="0" upright="1"/>
                            </wps:wsp>
                          </wpc:wpc>
                        </a:graphicData>
                      </a:graphic>
                    </wp:inline>
                  </w:drawing>
                </mc:Choice>
                <mc:Fallback>
                  <w:pict>
                    <v:group id="画布 1" o:spid="_x0000_s1026" o:spt="203" style="height:513.25pt;width:378.15pt;" coordsize="4802505,6518275" editas="canvas" o:gfxdata="UEsFBgAAAAAAAAAAAAAAAAAAAAAAAFBLAwQKAAAAAACHTuJAAAAAAAAAAAAAAAAABAAAAGRycy9Q&#10;SwMEFAAAAAgAh07iQDtNQfLXAAAABgEAAA8AAABkcnMvZG93bnJldi54bWxNj0FLw0AQhe+C/2EZ&#10;wYu0u600Ssymh4JYRChNbc/b7JgEs7NpdpvUf+/oRS8Phvd475tseXGtGLAPjScNs6kCgVR621Cl&#10;4X33PHkEEaIha1pPqOELAyzz66vMpNaPtMWhiJXgEgqp0VDH2KVShrJGZ8LUd0jsffjemchnX0nb&#10;m5HLXSvnSiXSmYZ4oTYdrmosP4uz0zCWm+Gwe3uRm7vD2tNpfVoV+1etb29m6glExEv8C8MPPqND&#10;zkxHfyYbRKuBH4m/yt7DIrkHceSQmicLkHkm/+Pn31BLAwQUAAAACACHTuJAju7etdMMAAB5jAAA&#10;DgAAAGRycy9lMm9Eb2MueG1s7V3LjtvIFd0HyD8Q2sfNquJTcHvgtKedAEbGgPNYsyXqgVCkQrLd&#10;7dkGSHZZBdlMkCBBEiDAJCsvggTBfI3tfEbOrSqSIiWNutXsh+zyok1RFCXWvXUf55669fizy0Vi&#10;vY7zYp6lxwP2yB5YcTrKxvN0ejz4yY9PvxcMrKKM0nGUZGl8PHgTF4PPnnz3O48vlsOYZ7MsGce5&#10;hZukxfBieTyYleVyeHRUjGbxIioeZcs4xZuTLF9EJV7m06NxHl3g7ovkiNu2d3SR5eNlno3iosDZ&#10;Z+rNgb5jfpUbZpPJfBQ/y0bnizgt1V3zOIlKPFIxmy+LwRP5ayeTeFR+MZkUcWklxwM8aSn/4ktw&#10;fEZ/j548jobTPFrO5iP9E6Kr/ITOMy2ieYovrW/1LCoj6zyfr91qMR/lWZFNykejbHGkHkSOCJ6C&#10;2Z2xeZ5n50v5LNPhxXRZDzoE1Rn1vW87+tHrl7k1Hx8PuCMGVhotIPIPv/3Pu3/90mI0OhfL6RAX&#10;Pc+Xr5Yvc31iql7RA19O8gX9j0exLuW4vqnHNb4srRFOOoHNXdsdWCO857ks4L6rRn40g3jWPjea&#10;fb7jk0fVFx/R76t/zsUSOlk0A1XcbKBezaJlLMe/oDHQA8UEnkQN1Pvf/fr9779+/6dfWVyNlbyO&#10;BsoqL7+f4dH1GBbDAic3jBcTHnMcaCNGxve4Vshq4Bj3mO/ogeOu5+JKiKB++mi4zIvyeZwtLDo4&#10;HuRQeKmH0esXRakurS6hby+yZD4+nSeJfJFPz06S3HodYXKcyn/67q3LktS6gNiEa8s7pxl9Xt06&#10;SfFjaNDV09FReXl2KbWkGJ5l4zcYCdga/LJZln85sC4w044HxS/OozweWFE6wunjQVkdnpRqap4v&#10;8/l0hk/J4ZPfALGSMt6FfEkcXfkKOfD0/VCE6wiYeyHzPYgQAg5cO7S7InZdJqq5wV03xPGNRFzL&#10;Jxp+epJj65Lbe2a6gRN6amY6juv7HcEFtm8H1dQUzFcm7V6nZmva0rSvZ/dZEo1+vj658WtpCkfD&#10;WLpKbTJ2Teg8w8zEwBTL0ekc3/IiKsqXUQ6/iZM027/An0mSwWpk+mhg0fzfdH67dUh+mMJ+h8o8&#10;lvIFxAATaeWr75ytvpOeL04yWDPoAX6dPKTry6Q6nOTZ4mcIQJ6STcJbW00QAphR/PSpvAiuehmV&#10;L9JXyxHdmgYszZ6el9lkLm0sDZgydtoc3qWx4pXKf/jq7Yd/f2Nx7pCgtak6SbXTrmx05Thrj83C&#10;UHBtoFjgOhhgfBwqoV0wDL9y3NwJQvXmdiVP5ik5zGi4xf8oixS6nO5JrmCCqA2Hi+UYbiGdys+2&#10;1LhYdVK2/Leux8oPPouKmXJm8g7qMWZxNP48HVvlmyUimxQhLbzQ8WARjwdWEiMCpiP5wGU0T5or&#10;y3wepdNky9V64nR8n9IBst40+nepBP6KErz/zV8//PMf7/7y9n/f/IGOv/6bxUN6xG9XCWuSzJc/&#10;rfRbh3NchDZZNvJeoc+DrnIIO+RVfAIbuMN1FWUekV8/ydIUgUqWq7l0v7oyhtZ8QqoS9OkiPcdz&#10;XaUdHnfDQEVJje3wfcdHwCPjfo7gVQU/282HCV+vkx5uSU+C2iPcPD0RwkbOLqc/x5HbDYJCTqeN&#10;gO/S2nO+YQrvn58ErvBCLWLGNyQoHnLQEJOcknfH4yHbYeV3TeJPOEHhohbd/tFaEAZKXCS3Ncig&#10;mowOskoZyW23tiZYk7HxHQdrXDQ421dvew7WRAiUhoI1FjAeIspuhfI4wyp3vEM3TKgm8boms7v7&#10;qJ4L5/aieu5pI4J00V8DpYyiHFL6xwVKNhq579miOCywtaK4gQAA3TYowga0rz2OMSjroMLDggmQ&#10;zFd60mQG+weOgANcigvhbYTj+ayDGzFkhF6lHI7LHIClZEQbAKoqTFyxdnFLceNWBPBeixCC15BO&#10;I6sbQNmM6cAgAISKw1Zc0IayfQfpwI0ktR3Au3KVqXULA2V/ClC24LUb61flGfdl9XK7zjuegJcz&#10;Om/KN3ecDAog82u15v3NPFyy9sjMtx2h2AINHNu2814A6NbovNH5u9Z5hJw96nxQhzaccceumEVV&#10;+bKl88hrUc00Om90/s51vgZ++4htPJTSVOaFqpoIuqmXjvFV2c3humqzf+bVCsZbBXkTz4NTukpA&#10;MdSUmicpRI+FSEZFqKru4TjM7kJRvmPjrK5EOiw0dt7QsfI7Z+IIsQG22R9i88DNIo4hFXSAtfkq&#10;YG8Cepy0baKrytqsC1r1DaObW8LYDoH2SxS4Lut370zMQ1mFOG4QnCt8MKc6iJuxVoY8ev/kUW+D&#10;sdpX5VGtFGCGSFMFdQfVnfKsFVNlE4kaF5Cp6oMLdkum6mGWA1gNjYI30i9nIHAqS4X6nsfAeG/J&#10;jfshkg0lth0QqeEM3DtnYBO0coPww7FBANQVPs40Rr4ypz1fBLREQs5pz9HKs3+ieUtz+hDCD6cm&#10;e/QAEHiCVcbYhYAcRdlrBGfCDxN+3H/44dZEuD5U3uFypSSxEULhCYMPVOsvzXKth7Ncy1+N4/ZZ&#10;rQU2vh1oSIDIWeDkt+O1yhsb/m+9tOthsbD8Piu+4DUwjTM4IUBPrMVqRe/G0RtHf/+OnnD7/qC1&#10;xtE7gBw84+iNo3+A67LdOp/bf6VPvS7b8QJBdr5l242nX1vE/bA8PXO9yu5dRwfkQuwfdBZiY5W+&#10;TxRrWVEA0rLG7ZIsAAXE2C7b1UTELP26j6VfzK0B9xsrBNpFeb5uT+KB4QoWVNs8GIXY1ObhoVmI&#10;vfLBbRbCqzpJucwXa7mAUYgDUIjVqKHfOg+6M2huMJgyIR23oglT5zmoJX81tar3eiCa81BHB+Co&#10;juv6Rk9Qwz7czkANBa93PcFKA81BdW1UkBXfrikxGXtySPbEXbUn++DSTGB1qW4Uhd4DARjKHf8i&#10;5HoTmaHs7hRl8pP7yE+8Ol9tCnI4hzhBtw67ZuNLRza2lBU5FOe6KzMYslhkqhUjKPRNY5kr9ATe&#10;3PRpU88nnNtXcsge9HJhB01E7C4nyEhON7u+VtvlLZJrIv4//v3df/9sBavtG2nCaSGqFrvN6nnd&#10;oY/ZHGuaVMAmQD/Gmvu24SWInFXTjAUhsxUhqEeWDuAHSRHb1NDRipIpuiyOynxHb8fTU2ruSL8d&#10;v6y14oSWf2/s7biYl2hFnswXaK1LH64+vaEtse5F/DHWwmlodR/TE90/+UCalwa1v1HRadOwEu80&#10;tmtLD9PNDStVk2yZvggUx7thCBjyNtFUibHmhbtaUuwKQ9b4agczE2ia3W2T0qDGPpvgAucaMV8n&#10;uGBoi66jTbBT0Xy5Y/SYDTyUOlNKZqLvEUtRWZaqX/39NR/5GG1QeaAWiBof9lWZ9kN4X+WIOWMM&#10;L0jlmozYCzha4lTh7s2boa4Zn35a9D9MAnxYr5+9duWk29OYgdMsNGkGlHeuvUAjKOQqYWU7qsYh&#10;26OlXT7CtLy+jU04wr0Ai40hA7JQgcbnFeQpXBUVGH04JAAr7JNLTAsZlD6giOYRiNEy5AxZlKgM&#10;hFnKtHX7os0Jb1gnvE0cuC9SwVDopHWbVKxwRIiGdOuSCsnHm0VntGPWNSXlbZhTOLdfxI59cFB2&#10;rGQFJoRqMtdYWdAZmsVEaH/nPaCQffsmJQ8zWmo6hH9QoBJOtMWmX20BlUKbh0ipaF5xxEoaWWlk&#10;BY/pygayNK8cNwTNmO6/PUi6dk/wg0mkrY8xnTtcSKmh3DXeBefayn/VzdmqZC6kfS7oHs0MMACD&#10;ZfZnam1kuTnaaTH+QOhpIE6802jldSBOLNim4JNssyN8tPlva+ZqwzPGUIKjt7db5l3p6xrKcDCW&#10;mR77biFOsO4qOOnaKMU64dcPKAQiOXs+BN0RM4AJFdZiN81gV/PSXUI2GMVtYBTAqHtUh0BQlEXq&#10;wGzaisvoA23odkgYBXLVHvXB5yHtvEb64GL/vm6hy9iHDZv8wQ1urQ3fh7uoS2J9uAsAl9o+hA5j&#10;XX6v0YcD0Ie9VgNQWlKRQQTaxWkt4BzbNXYXhXDDwjsANahXiPdgFgKbdm2R2YLwOPZwaWcLxiw8&#10;fH2gCV1v73Nlcu6WRUJN2MD9AKmD0YeDCyODOstsMK79KygByDHaQICCS9s5IRJqgK5VOEF7j2/F&#10;E3YhvS1mn+kljU2oVzczN72kN8NoDKzYvmwgyhnImFSojFUL6FTZUXnjEw/AJ66m0r0ulHSgHbr2&#10;JezAow0zWwbR7I14UJjLJtqpwsT3WdPi24IyaxlOh7AT3X5LxLWvN0tG/kUdb2/kLtfgd3ypLZn0&#10;9TubQY3y8uwS30wPqbnvPRaxgatPhxfTpSwsTPNoOZuPnkVltPpaou/DmGezLBnH+ZP/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kPAABbQ29u&#10;dGVudF9UeXBlc10ueG1sUEsBAhQACgAAAAAAh07iQAAAAAAAAAAAAAAAAAYAAAAAAAAAAAAQAAAA&#10;Ow4AAF9yZWxzL1BLAQIUABQAAAAIAIdO4kCKFGY80QAAAJQBAAALAAAAAAAAAAEAIAAAAF8OAABf&#10;cmVscy8ucmVsc1BLAQIUAAoAAAAAAIdO4kAAAAAAAAAAAAAAAAAEAAAAAAAAAAAAEAAAABYAAABk&#10;cnMvUEsBAhQAFAAAAAgAh07iQDtNQfLXAAAABgEAAA8AAAAAAAAAAQAgAAAAOAAAAGRycy9kb3du&#10;cmV2LnhtbFBLAQIUABQAAAAIAIdO4kCO7t610wwAAHmMAAAOAAAAAAAAAAEAIAAAADwBAABkcnMv&#10;ZTJvRG9jLnhtbFBLBQYAAAAABgAGAFkBAACBEAAAAAA=&#10;">
                      <o:lock v:ext="edit" aspectratio="f"/>
                      <v:shape id="画布 1" o:spid="_x0000_s1026" style="position:absolute;left:0;top:0;height:6518275;width:4802505;" filled="f" stroked="f" coordsize="21600,21600" o:gfxdata="UEsFBgAAAAAAAAAAAAAAAAAAAAAAAFBLAwQKAAAAAACHTuJAAAAAAAAAAAAAAAAABAAAAGRycy9Q&#10;SwMEFAAAAAgAh07iQDtNQfLXAAAABgEAAA8AAABkcnMvZG93bnJldi54bWxNj0FLw0AQhe+C/2EZ&#10;wYu0u600Ssymh4JYRChNbc/b7JgEs7NpdpvUf+/oRS8Phvd475tseXGtGLAPjScNs6kCgVR621Cl&#10;4X33PHkEEaIha1pPqOELAyzz66vMpNaPtMWhiJXgEgqp0VDH2KVShrJGZ8LUd0jsffjemchnX0nb&#10;m5HLXSvnSiXSmYZ4oTYdrmosP4uz0zCWm+Gwe3uRm7vD2tNpfVoV+1etb29m6glExEv8C8MPPqND&#10;zkxHfyYbRKuBH4m/yt7DIrkHceSQmicLkHkm/+Pn31BLAwQUAAAACACHTuJAKoW8o4oMAAD0iwAA&#10;DgAAAGRycy9lMm9Eb2MueG1s7V1db+NKGb5H4j9YuefUM+PPaLtHS5cC0oqz0vJx7SZOE+HYwXa3&#10;3fMD4I5LbkAgECAhHbg6V0jo/Jqzy8/geWfGduwkm9Z1m4adlbZ1xu7E9vvO+/G8H/Ps85tlYr2N&#10;82KRpacj9pk9suJ0kk0X6eXp6Gc/Pf9eMLKKMkqnUZKl8enoXVyMPn/+3e88u16NY57Ns2Qa5xYm&#10;SYvx9ep0NC/L1fjkpJjM42VUfJat4hQnZ1m+jEp8zC9Ppnl0jdmXyQm3be/kOsunqzybxEWB0Zfq&#10;5EjPmN9mwmw2W0zil9nkahmnpZo1j5OoxCMV88WqGD2XdzubxZPyi9msiEsrOR3hSUv5E1+C4wv6&#10;efL8WTS+zKPVfDHRtxDd5hY6z7SMFim+tJ7qZVRG1lW+2JhquZjkWZHNys8m2fJEPYh8I3gKZnfe&#10;zVmUvo3Uw0zwrqsbxNGA815c0n2n2fkiSfA2TjD7mMbo9zWoHdPpJG1fpEbktfqa6xXYoVjVjFHc&#10;7xbfzKNVLMlYjCc/efs6txZTcKtwR1YaLcGW73/3m/d/+Or9n39tcSIifT2ue7PCleXN97MbXFyN&#10;Fxik27+Z5Uv6jbdu0XnhMccBI7w7Hfke17wQ35TWhM5yj/kOvm6C09z1XFxJr6eZZpUX5Q/jbGnR&#10;wekoB69JFojevipKdWl1CX1rkSWLKb1k+SG/vDhLcuttBL48l//07K3LktS6Ph15wrXlzA2R6vdf&#10;jNXT0fOXNxc3+lVcZNN3eBNY5rizeZZ/ObKuweSno+JXV1Eej6wonWD4dFRWh2elWhVXq3xxOcdf&#10;ydcHCkuyqhf88PQlcnTpK+SL70Fg7oXM90BCUDBw7dDukth1mbBrErshju9F4po+RJ5PjXJsk3K9&#10;V6YbOKGnVqbjuL7fIVxg+3ZQ0U0w378n3Vprrui1NFtT0LKvV/dFEk1+ubm4IUiUUI2lltIig7j8&#10;Yws6z7Ay8WKK1eR8gW95FRXl6yiHysIgrfYv8GOWZJAamT4aWbT+t43vlg7Jj1PI71CJx1J+ABkg&#10;Iq18/czF+pn0anmWQZqBD3B38pCuL5PqcJZny19A978gmYRTO0UQbIdJ/OKFvAhachWVr9I3pPOY&#10;loIvrspstpAyll6YEnZSdT2usOIVy3/4/dcf/v2NxblDhNai6ix9netPuzRQGAquBRQLXAcvGH8Q&#10;jSsdBMGv9Y8ThOrkbv2TLFJSmNF4h/5REil0Oc1JqmAGgwmHy9UUaiG9lH/bYuPWSrDlv00+jsbE&#10;7S+jYq6UmZxBPcY8jqY/SKdW+W4FhZ3CmoQWOh0t4+nISmIYn3QkH7iMFklzZZkvovQy2XG1XjhS&#10;MzVLRfEAJnt0jeWvMcH73/7tw7/++e1fv/7vN3+k46/+bvGQHvHjLGHNksXq5xV/a/OEi9AmyUba&#10;K/R50GUOYYe8sk8gA/eIwKLMI9LrZ1mawlDJcrWWDssrU3DNJ8QqwZAq0nM811Xc4XE3DJSV1MgO&#10;33d8GDzafHWweulN7xYfxny9i2e2wz0Jao1wf/dECBvuslz+HEdu1wgKOQ0bAj+myud8yxLu758E&#10;rvBCTWLGtzgoHnzQEIucfFDH4yHbI+X3LeJP2EHhoiZdf2stCANFLqLbBmRQLUYHXuUeaWuMNWkb&#10;P7KxxoV4OGNNhEBpyFhjAeMhrGxp2VamPEZYpY738IYx1SRe13h2j2/Vc+E8HKNwTwsRuIv+Bihl&#10;GOWY3D8uEC1RgCW0yqDun8MCWzOKGwgA0G2BImwnMALlWGACOPMVnzSeQX/DEXCAS3YhtI1wPJ91&#10;cCMGj9CrmMNxmQOw9F7O3wPZjTsRwIMGIQSvIZ2GVveAshnThkEACBWHLbugDWX7DtyBe1FqN4B3&#10;6yhTawoDZX8KULbgtRobluUZ92X0cjfPO56AljM8b8I3j+wMCiDzG7Hm/mIeKllrZObbjlDZAg0c&#10;25bzXgDo1vC84fnH5nmYnAPyfFCbNpxxx1YxqB08D78W0UzD84bnH53na+B3CNvGQyhNeV7cdUTQ&#10;db20ja/Cbg7XUZuDht2MPf/JpaYIMWAgklEQqop7OA6zu1CU79gY1ZFIh4VGzpt0rPzRM3GE2ALb&#10;9IfYPORmUY4hBXSAtfnKYG+MGwzaNqWrytisy/UF/SX9A2Fsx5D2Sylw3azf3p6Yh7AK5biBcK7w&#10;kTnVQdyMtDLJo4dPHvW2CKu+LI9opUBmiBRVYHekupOftSaqbEqixgWqlOH+uWAPJKqeZjiA1dDo&#10;0BE+ETiVpEJ8z2PIeG/RjfshaKXItgciNTkDB88Z2Aat3MP8cGwkAOoIH2caI19b054vAiqRkGva&#10;czTzGPODKgN3FtRtT9t06mSPAQACT7BKGLsgkKNS9hrCGfPDmB+HNz/cOhFuCJZ3uKyUpGyEUHjC&#10;4AO6JMky5VpUWfw0yrX8dTuuT7UWsvHtQEMClJyFnPy2vVZpY5P/W5d2wR6hKkcJ+R++WMsfMuKL&#10;vAamcQYnBOiJWqyW9W4UvVH0h1f0hNsPB601it4B5OAZRW8U/ROsy3Zrf65/pU9dl+14gSA535Lt&#10;RtNvFHE/LU3PXK+Se3fhAVmI/aNOITYLQ59SrGVEAUjLRm6XzAJQQIztsn1NREzp1yFKv5hbA+73&#10;Zgh0avJ83Z7EQ4YrsqDa4sEwxLY2D09NQvTyB3dJCK/qJOUyX2z4AoYhjoAh1q2GQSu5BLoz6Nxg&#10;ZMqEdNyyJkyc56hK/urUqsHjgWjOQx0dgKM6rusbPkEM+3g7AzUpeIPzCSoNdA6qayOCrPLtmhCT&#10;kSfHJE/cdXnSB5dmAtWlulEUeg8EyFDu6Bch602kh7K/U5TxTw7hn3i1v9oE5DAGO0G3Dntzh86m&#10;aHzpyMaWMiKH4Fy3MoPBi4WnWmUEhb5pLHOLdrzbswe29XzCWF/KwXvQ5cIOmojY3ZwgQzndZ/pO&#10;jZR3UK6x+P/0j2//8xcrWG/fSAtOE1FFrprOv1UDYZujpkkZbALpx6i5bwtegshZtcxYEDJbJQQN&#10;mKUD+EGmiG1r6GhFySW6LE7KfE9vx/Nzau5I94472ygX2drbcbko0QU8WSzRWpf+uPrrndG+/8tY&#10;OL1a3cf0TPdPPpLmpUGtb5R12jSsxJlGdu3oYbq9YaVqki3dF4HgeNcMQYa8TWmqlLHmhftaUuwz&#10;QzZyUI9mJdAyI6WObtqP1FY7qLHPxrjAWEPmuxgXDG3RtbWJ7FQ0X+4IPWYDD6XOlDIz0fcoS1FJ&#10;lqr/etUV/ZaN0zco3b8fusnHeTr5ONT4cKjItB9C+ypFzBlj+EAs13jEXsDREqcyd00CPLpwb9tv&#10;YruZFNb1s3eOnHR7GjPkNAudNIOUd661QEMo+CphJTuqxiG7raV9OsK0vH6ITTjCXoDFVpMBXqhA&#10;4/MK8hSusgoMPxwTgBUOmUtMhQyKHxBE8wjEaAlyBi9KVAICBfiN43F442J9O4WnWcoU1g5vYwf2&#10;RSoYAp1Ut0nBCkeEaEi3SamQdLwpOutRkuJtWVMY62exAw5E2LGiFTIhVJO5RsoinaEpJkL7O+8J&#10;mezrq+oYapmbDuEfFKiEgTbZ9KcdoFJo8xAuFa0rDltJC7iGVtCYrmwgS+vKcUOkGdP8u42kO/cE&#10;PxpH2kBKEtd7KgUWTcpdo10w1mb+227OVjlzIe1zQXM0K8AADJbZn6m1h+R2v7WV8YeEngbixJmG&#10;K+8CcaJgm4xPks2O8NHmv82Z603+GEMIjk7vlsz73NcN4OtoJDM99uNCnMi6q+CkO6MUmwm/fkAm&#10;ENHZ80HoDpkBTCizlgU82Ne8dB+RDUbxEBgFMOoB2SEQZGUROzCbtuIy/EAbuh0TRgFfdUB+8HlI&#10;O68RP7jYv68b6DLyYcsmf1CDO2PDh1AXdUhsCHUB4FLLh9BhrJvfa/jhCPihVzUAuSVVMohAuzjN&#10;BZxju8ZuUQg3WXhHwAZ1hfgAYiGwadcW6S0Ij2MPl7a3YMTC0+cHWtD19j63Ts7dUSTUmA3cD+A6&#10;GH44OjMyqL3MBuPqH0EJkByjBQRScGk7J1hCDdC1Dido7fFRPGEf0tvK7Gtt7mz2hhlZZpvz7TAa&#10;Q1bsUDIQ4Qx4TMpURtUCOlV2WN7oxCPQieuu9KCFkg64Q8e+hB14tGFmSyCavRGPCnPZlnaqMPE+&#10;NS2+LcizluZ0CDnR7bdEufb1Zsnwv6jj7b3U5Qb8ji+1dcTtfJEkavItoEZ5c3GDk/SQF9n03evc&#10;GjCIDVx9MsZ/GVi4zKPVfDF5GZXR+meJvo9jns2zZBrnz/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EA8AAFtDb250ZW50X1R5cGVzXS54bWxQ&#10;SwECFAAKAAAAAACHTuJAAAAAAAAAAAAAAAAABgAAAAAAAAAAABAAAADyDQAAX3JlbHMvUEsBAhQA&#10;FAAAAAgAh07iQIoUZjzRAAAAlAEAAAsAAAAAAAAAAQAgAAAAFg4AAF9yZWxzLy5yZWxzUEsBAhQA&#10;CgAAAAAAh07iQAAAAAAAAAAAAAAAAAQAAAAAAAAAAAAQAAAAFgAAAGRycy9QSwECFAAUAAAACACH&#10;TuJAO01B8tcAAAAGAQAADwAAAAAAAAABACAAAAA4AAAAZHJzL2Rvd25yZXYueG1sUEsBAhQAFAAA&#10;AAgAh07iQCqFvKOKDAAA9IsAAA4AAAAAAAAAAQAgAAAAPAEAAGRycy9lMm9Eb2MueG1sUEsFBgAA&#10;AAAGAAYAWQEAADgQAAAAAA==&#10;">
                        <v:fill on="f" focussize="0,0"/>
                        <v:stroke on="f"/>
                        <v:imagedata o:title=""/>
                        <o:lock v:ext="edit" aspectratio="f"/>
                      </v:shape>
                      <v:shape id="文本框 2" o:spid="_x0000_s1026" o:spt="202" type="#_x0000_t202" style="position:absolute;left:1361440;top:7620;height:256540;width:1261745;" fillcolor="#FFFFFF" filled="t" stroked="f" coordsize="21600,21600" o:gfxdata="UEsFBgAAAAAAAAAAAAAAAAAAAAAAAFBLAwQKAAAAAACHTuJAAAAAAAAAAAAAAAAABAAAAGRycy9Q&#10;SwMEFAAAAAgAh07iQISFCvjSAAAABgEAAA8AAABkcnMvZG93bnJldi54bWxNj81OwzAQhO9IvIO1&#10;SNyonUIDCnF6QOKKRFt6duMljrDXke3+Pj0LF7iMtJrRzLft8hS8OGDKYyQN1UyBQOqjHWnQsFm/&#10;3j2ByMWQNT4SajhjhmV3fdWaxsYjveNhVQbBJZQbo8GVMjVS5t5hMHkWJyT2PmMKpvCZBmmTOXJ5&#10;8HKuVC2DGYkXnJnwxWH/tdoHDdshXLYf1ZScDf6B3i7n9SaOWt/eVOoZRMFT+QvDDz6jQ8dMu7gn&#10;m4XXwI+UX2XvcVHfg9hxSM3rBciulf/xu29QSwMEFAAAAAgAh07iQNouSunvAQAAvgMAAA4AAABk&#10;cnMvZTJvRG9jLnhtbK1TzY7TMBC+I/EOlu80adpmUdV0JbYqFwRICw/gOk5jyX+M3SblAeANOHHh&#10;znP1OXbspLvs7mUP5OCMZ8bfzPd5vLrutSJHAV5aU9HpJKdEGG5rafYV/fpl++YtJT4wUzNljajo&#10;SXh6vX79atW5pShsa1UtgCCI8cvOVbQNwS2zzPNWaOYn1gmDwcaCZgG3sM9qYB2ia5UVeV5mnYXa&#10;geXCe/RuhiAdEeElgLZpJBcbyw9amDCgglAsICXfSufpOnXbNIKHT03jRSCqosg0pBWLoL2La7Ze&#10;seUemGslH1tgL2nhCSfNpMGi91AbFhg5gHwGpSUH620TJtzqbCCSFEEW0/yJNrctcyJxQam9uxfd&#10;/z9Y/vH4GYiscRJmC0oM03jl518/z7//nv/8IEUUqHN+iXm3DjND/872mHzxe3RG3n0DOv6REYnx&#10;WTmdz1HkU0WvymLUWfSB8BgtyunVHMtxDBeLcoGZWCd7gHHgw3thNYlGRQHvMcnLjh98GFIvKbGq&#10;t0rWW6lU2sB+d6OAHBne+TZ9I/qjNGVIV9FytsgTsrHx/ACtDDYTWQ/sohX6XT9KsbP1CZXAJ4Sd&#10;tRa+U9LhAFXUfzswEJQww9Fd0XAxb8IwcQcHct/iqSRfqoDXmoiPIxjn5t996uPh2a3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SFCvjSAAAABgEAAA8AAAAAAAAAAQAgAAAAOAAAAGRycy9kb3du&#10;cmV2LnhtbFBLAQIUABQAAAAIAIdO4kDaLkrp7wEAAL4DAAAOAAAAAAAAAAEAIAAAADcBAABkcnMv&#10;ZTJvRG9jLnhtbFBLBQYAAAAABgAGAFkBAACYBQAAAAA=&#10;">
                        <v:fill on="t"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钢板、型材</w:t>
                              </w:r>
                            </w:p>
                          </w:txbxContent>
                        </v:textbox>
                      </v:shape>
                      <v:shape id="文本框 30" o:spid="_x0000_s1026" o:spt="202" type="#_x0000_t202" style="position:absolute;left:2691765;top:850900;height:255905;width:155130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KQlQRndAQAAmAMA&#10;AA4AAABkcnMvZTJvRG9jLnhtbK1TzY7TMBC+I/EOlu80aUvKtqq7ElTLBQHSwgO4jtNY8h8et0l5&#10;AHgDTly481x9DsZOtkXLZQ9ckvHM+Jv5vhmvb3ujyVEGUM4yOp2UlEgrXK3sntHPn+5e3FACkdua&#10;a2cloycJ9Hbz/Nm68ys5c63TtQwEQSysOs9oG6NfFQWIVhoOE+elxWDjguERj2Ff1IF3iG50MSvL&#10;RdG5UPvghARA73YI0hExPAXQNY0ScuvEwUgbB9QgNY9ICVrlgW5yt00jRfzQNCAj0Ywi05i/WATt&#10;XfoWmzVf7QP3rRJjC/wpLTziZLiyWPQCteWRk0NQ/0AZJYID18SJcKYYiGRFkMW0fKTNfcu9zFxQ&#10;avAX0eH/wYr3x4+BqBo34SVqYrnBkZ9/fD///H3+9Y3Ms0KdhxUm3ntMjf1r12N2Ui75AZ2JeN8E&#10;k/5IiWB8tlhOXy0qSk6M3lTlshylln0kIt2vqum8xLjAhFlVLdFGxOIK5APEt9IZkgxGA44yK8yP&#10;7yAOqQ8pqa51d0rrPE5tScfoYl6V+cIlguDaYo1r28mK/a4fuexcfUKK+DiwYOvCV0o6XA1G4cuB&#10;B0kJtwLdjMYH800cdungg9q3eCvrkivgwDKfcbnSRvx9zn1cH9T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58GSHYAAAABgEAAA8AAAAAAAAAAQAgAAAAOAAAAGRycy9kb3ducmV2LnhtbFBLAQIU&#10;ABQAAAAIAIdO4kCkJUEZ3QEAAJgDAAAOAAAAAAAAAAEAIAAAAD0BAABkcnMvZTJvRG9jLnhtbFBL&#10;BQYAAAAABgAGAFkBAACMBQAAAAA=&#10;">
                        <v:fill on="f" focussize="0,0"/>
                        <v:stroke on="f" weight="0.5pt"/>
                        <v:imagedata o:title=""/>
                        <o:lock v:ext="edit" aspectratio="f"/>
                        <v:textbox>
                          <w:txbxContent>
                            <w:p>
                              <w:pPr>
                                <w:jc w:val="left"/>
                                <w:rPr>
                                  <w:rFonts w:hint="eastAsia" w:eastAsia="宋体"/>
                                  <w:sz w:val="20"/>
                                  <w:szCs w:val="20"/>
                                  <w:lang w:val="en-US" w:eastAsia="zh-CN"/>
                                </w:rPr>
                              </w:pPr>
                              <w:r>
                                <w:rPr>
                                  <w:sz w:val="20"/>
                                  <w:szCs w:val="20"/>
                                </w:rPr>
                                <w:t>N</w:t>
                              </w:r>
                              <w:r>
                                <w:rPr>
                                  <w:rFonts w:hint="eastAsia"/>
                                  <w:sz w:val="20"/>
                                  <w:szCs w:val="20"/>
                                  <w:lang w:val="en-US" w:eastAsia="zh-CN"/>
                                </w:rPr>
                                <w:t>噪声</w:t>
                              </w:r>
                            </w:p>
                          </w:txbxContent>
                        </v:textbox>
                      </v:shape>
                      <v:shape id="文本框 2" o:spid="_x0000_s1026" o:spt="202" type="#_x0000_t202" style="position:absolute;left:1584960;top:445770;height:231775;width:807085;"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BqTnTAaAIAANEEAAAOAAAA&#10;ZHJzL2Uyb0RvYy54bWytVM1uEzEQviPxDpbvdDdp0qRRNlVoFYRU0UoFcXa83qyF7TG2k93yAPAG&#10;nLhw57n6HIy9m/SPQw/k4Mx4Rt/MfP5m52etVmQnnJdgCjo4yikRhkMpzaagnz6u3kwp8YGZkikw&#10;oqC3wtOzxetX88bOxBBqUKVwBEGMnzW2oHUIdpZlntdCM38EVhgMVuA0C+i6TVY61iC6Vtkwz0+y&#10;BlxpHXDhPd5edEHaI7qXAEJVSS4ugG+1MKFDdUKxgCP5WlpPF6nbqhI8XFWVF4GoguKkIZ1YBO11&#10;PLPFnM02jtla8r4F9pIWnsykmTRY9AB1wQIjWyefQWnJHXiowhEHnXWDJEZwikH+hJubmlmRZkGq&#10;vT2Q7v8fLP+wu3ZElqiE0YASwzQ++d3PH3e//tz9/k6GkaDG+hnm3VjMDO1baDF5f+/xMs7dVk7H&#10;f5yIxPh4Ojo9QZJvCzoajSeTnmnRBsIxPs0n+XRMCcf48HgwmYwjYHaPY50P7wRoEo2COnzIxC/b&#10;XfrQpe5TYlkPSpYrqVRy3GZ9rhzZMXz0Vfr16I/SlCFNQU+Ox3lCfhSL2AeItWL8y3ME7FaZWE8k&#10;nfV9RbI6UqIV2nXbM7iG8hYJdNBp0Fu+kljlkvlwzRyKDtnCtQxXeFQKsDXoLUpqcN/+dR/zUQsY&#10;paRBERfUf90yJyhR7w2q5HQwGkXVJwefYYiOexhZP4yYrT4HpAx1gN0lM+YHtTcrB/ozbu8yVsUQ&#10;MxxrFzTszfPQrRZuPxfLZUpCnVsWLs2N5RE6EmZguQ1QyfSQkaaOGxRAdFDpSQr9VsZVeuinrPsv&#10;0e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ptSxpdMAAAAGAQAADwAAAAAAAAABACAAAAA4AAAA&#10;ZHJzL2Rvd25yZXYueG1sUEsBAhQAFAAAAAgAh07iQGpOdMBoAgAA0QQAAA4AAAAAAAAAAQAgAAAA&#10;OAEAAGRycy9lMm9Eb2MueG1sUEsFBgAAAAAGAAYAWQEAABIGA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切割</w:t>
                              </w:r>
                            </w:p>
                          </w:txbxContent>
                        </v:textbox>
                      </v:shape>
                      <v:line id="直线 224" o:spid="_x0000_s1026" o:spt="20" style="position:absolute;left:1993265;top:185420;height:248920;width:635;" filled="f" stroked="t" coordsize="21600,21600" o:gfxdata="UEsFBgAAAAAAAAAAAAAAAAAAAAAAAFBLAwQKAAAAAACHTuJAAAAAAAAAAAAAAAAABAAAAGRycy9Q&#10;SwMEFAAAAAgAh07iQNYvV2HYAAAABgEAAA8AAABkcnMvZG93bnJldi54bWxNj8FOwzAQRO9I/IO1&#10;SNyonaKGKMTpAalcWkBtEYKbGy9JRLyOYqcNf8/SC1xGWs1o5m2xnFwnjjiE1pOGZKZAIFXetlRr&#10;eN2vbjIQIRqypvOEGr4xwLK8vChMbv2JtnjcxVpwCYXcaGhi7HMpQ9WgM2HmeyT2Pv3gTORzqKUd&#10;zInLXSfnSqXSmZZ4oTE9PjRYfe1Gp2G7Wa2zt/U4VcPHY/K8f9k8vYdM6+urRN2DiDjFvzD84jM6&#10;lMx08CPZIDoN/Eg8K3t3i/QWxIFDap4uQJaF/I9f/gBQSwMEFAAAAAgAh07iQEWwwnT1AQAA4wMA&#10;AA4AAABkcnMvZTJvRG9jLnhtbK1TS27bMBDdF+gdCO5rOYpt2ILlLOKmm6I10PYAY5KSCPAHDmPZ&#10;Z+k1uuqmx8k1OpTcuE0RIItoQQ05wzfzHmfWN0dr2EFF1N7V/Goy5Uw54aV2bc2/fb17t+QMEzgJ&#10;xjtV85NCfrN5+2bdh0qVvvNGqsgIxGHVh5p3KYWqKFB0ygJOfFCOnI2PFhJtY1vICD2hW1OU0+mi&#10;6H2UIXqhEOl0Ozr5GTG+BNA3jRZq68W9VS6NqFEZSEQJOx2Qb4Zqm0aJ9LlpUCVmak5M07BSErL3&#10;eS02a6jaCKHT4lwCvKSEJ5wsaEdJH6G2kIDdR/0flNUievRNmghvi5HIoAixuJo+0eZLB0ENXEhq&#10;DI+i4+vBik+HXWRaUifMSs4cWHryh+8/Hn7+YmU5y/r0ASsKu3W7eN5h2MVM9thEm/9Egx0JYbW6&#10;Lhdzzk5kL+ez8iyvOiYmyL+4Jp8gZzlbrkZncQEJEdMH5S3LRs2Ndpk6VHD4iIkSU+ifkHxsHOtr&#10;vpqXGROoDxt6fzJtIC7o2uEueqPlnTYm38DY7m9NZAfIvTB8mR7h/hOWk2wBuzFucI1d0imQ751k&#10;6RRII0fDwXMJVknOjKJZyhYBQpVAm0tkihpca56JpvTGURVZ5VHXbO29PA1yD+f09kOd5z7NzfX3&#10;frh9mc3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YvV2HYAAAABgEAAA8AAAAAAAAAAQAgAAAA&#10;OAAAAGRycy9kb3ducmV2LnhtbFBLAQIUABQAAAAIAIdO4kBFsMJ09QEAAOMDAAAOAAAAAAAAAAEA&#10;IAAAAD0BAABkcnMvZTJvRG9jLnhtbFBLBQYAAAAABgAGAFkBAACkBQAAAAA=&#10;">
                        <v:fill on="f" focussize="0,0"/>
                        <v:stroke color="#000000" joinstyle="round" endarrow="block"/>
                        <v:imagedata o:title=""/>
                        <o:lock v:ext="edit" aspectratio="f"/>
                      </v:line>
                      <v:shape id="直接箭头连接符 29" o:spid="_x0000_s1026" o:spt="32" type="#_x0000_t32" style="position:absolute;left:2390775;top:972820;flip:y;height:3175;width:309245;"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B2g/rEaAgAACQQAAA4AAABk&#10;cnMvZTJvRG9jLnhtbK1TzW4TMRC+I/EOlu9kN5uWNKtsekgoFwSV+Lk7/tm15D/ZbjZ5CV4AiRNw&#10;Kpx652mgPAZj79JCEVIP+GCNPTPfzPd5vDzda4V23AdpTYOnkxIjbqhl0rQNfv3q7NEJRiESw4iy&#10;hjf4wAM+XT18sOxdzSvbWcW4RwBiQt27BncxurooAu24JmFiHTfgFNZrEuHo24J50gO6VkVVlo+L&#10;3nrmvKU8BLjdDE48Ivr7AFohJOUbSy80N3FA9VyRCJRCJ13Aq9ytEJzGF0IEHpFqMDCNeYciYG/T&#10;XqyWpG49cZ2kYwvkPi3c4aSJNFD0BmpDIkEXXv4FpSX1NlgRJ9TqYiCSFQEW0/KONi874njmAlIH&#10;dyN6+H+w9Pnu3CPJYBKO5hgZouHJr99dfX/78frL528frn58fZ/sy0+oWiS1ehdqSFqbcz+egjv3&#10;ifpeeI2Eku4NgGUxgB7aN7iaLcr5/BijQ4MX8+qkGmXn+4go+GflojoCNwX/bAqBAFwMeAnX+RCf&#10;cqtRMhocoiey7eLaGgPPa/1Qi+yehTgk/kpIycqgHqoeVwmfwLgKGBMwtQPKwbS5z2CVZGdSqZQR&#10;fLtdK492JI1MXmNDf4SlIhsSuiGOgZWiSN1xwp4YhuLBgZIGvhBOHWjOMFIcflyycmQkUt1GRi+J&#10;adU/okEOZUCVpP6gd7K2lh3yM+R7mJCs2zjNaQR/P+fs2x+8+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NpWXA0gAAAAYBAAAPAAAAAAAAAAEAIAAAADgAAABkcnMvZG93bnJldi54bWxQSwECFAAU&#10;AAAACACHTuJAHaD+sRoCAAAJBAAADgAAAAAAAAABACAAAAA3AQAAZHJzL2Uyb0RvYy54bWxQSwUG&#10;AAAAAAYABgBZAQAAwwUAAAAA&#10;">
                        <v:fill on="f" focussize="0,0"/>
                        <v:stroke color="#000000" joinstyle="round" dashstyle="dash" endarrow="block"/>
                        <v:imagedata o:title=""/>
                        <o:lock v:ext="edit" aspectratio="f"/>
                      </v:shape>
                      <v:shape id="文本框 2" o:spid="_x0000_s1026" o:spt="202" type="#_x0000_t202" style="position:absolute;left:1646555;top:6259830;height:254000;width:774700;" fillcolor="#FFFFFF" filled="t" stroked="f" coordsize="21600,21600" o:gfxdata="UEsFBgAAAAAAAAAAAAAAAAAAAAAAAFBLAwQKAAAAAACHTuJAAAAAAAAAAAAAAAAABAAAAGRycy9Q&#10;SwMEFAAAAAgAh07iQISFCvjSAAAABgEAAA8AAABkcnMvZG93bnJldi54bWxNj81OwzAQhO9IvIO1&#10;SNyonUIDCnF6QOKKRFt6duMljrDXke3+Pj0LF7iMtJrRzLft8hS8OGDKYyQN1UyBQOqjHWnQsFm/&#10;3j2ByMWQNT4SajhjhmV3fdWaxsYjveNhVQbBJZQbo8GVMjVS5t5hMHkWJyT2PmMKpvCZBmmTOXJ5&#10;8HKuVC2DGYkXnJnwxWH/tdoHDdshXLYf1ZScDf6B3i7n9SaOWt/eVOoZRMFT+QvDDz6jQ8dMu7gn&#10;m4XXwI+UX2XvcVHfg9hxSM3rBciulf/xu29QSwMEFAAAAAgAh07iQMyWRhPxAQAAwAMAAA4AAABk&#10;cnMvZTJvRG9jLnhtbK1TzY7TMBC+I/EOlu80abdpS9V0JbYqFwRICw/gOk5jyX+M3SblAeANOHHh&#10;vs/V52DspPvHZQ/k4IzH42/m+2a8uu60IkcBXlpT0vEop0QYbitp9iX9+mX7ZkGJD8xUTFkjSnoS&#10;nl6vX79atW4pJraxqhJAEMT4ZetK2oTgllnmeSM08yPrhMHD2oJmAbewzypgLaJrlU3yfJa1FioH&#10;lgvv0bvpD+mACC8BtHUtudhYftDChB4VhGIBKflGOk/Xqdq6Fjx8qmsvAlElRaYhrZgE7V1cs/WK&#10;LffAXCP5UAJ7SQnPOGkmDSa9h9qwwMgB5D9QWnKw3tZhxK3OeiJJEWQxzp9pc9swJxIXlNq7e9H9&#10;/4PlH4+fgcgKJ2ExpsQwjS0///p5/n13/vODTKJArfNLjLt1GBm6d7bD4IvfozPy7mrQ8Y+MSDyf&#10;TWdFUVByKulsUrxdXA1Siy4QjgHz+XSeYxM4BkyKaY42ZsoegBz48F5YTaJRUsBOJoHZ8YMPfegl&#10;JOb1VslqK5VKG9jvbhSQI8Oub9M3oD8JU4a0WN5VkSdkY+P9HloZLCby7vlFK3S7bhBjZ6sTaoGP&#10;CCtrLHynpMURKqn/dmAgKGGGo7uk4WLehH7mDg7kvsFbScCUARubiA9DGCfn8T7V8fDw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IUK+NIAAAAGAQAADwAAAAAAAAABACAAAAA4AAAAZHJzL2Rv&#10;d25yZXYueG1sUEsBAhQAFAAAAAgAh07iQMyWRhPxAQAAwAMAAA4AAAAAAAAAAQAgAAAANwEAAGRy&#10;cy9lMm9Eb2MueG1sUEsFBgAAAAAGAAYAWQEAAJoFAAAAAA==&#10;">
                        <v:fill on="t" focussize="0,0"/>
                        <v:stroke on="f" weight="0.5pt"/>
                        <v:imagedata o:title=""/>
                        <o:lock v:ext="edit" aspectratio="f"/>
                        <v:textbox>
                          <w:txbxContent>
                            <w:p>
                              <w:pPr>
                                <w:jc w:val="center"/>
                                <w:rPr>
                                  <w:sz w:val="20"/>
                                  <w:szCs w:val="20"/>
                                </w:rPr>
                              </w:pPr>
                              <w:r>
                                <w:rPr>
                                  <w:rFonts w:hint="eastAsia"/>
                                  <w:sz w:val="20"/>
                                  <w:szCs w:val="20"/>
                                </w:rPr>
                                <w:t>成 品</w:t>
                              </w:r>
                            </w:p>
                          </w:txbxContent>
                        </v:textbox>
                      </v:shape>
                      <v:shape id="文本框 2" o:spid="_x0000_s1026" o:spt="202" type="#_x0000_t202" style="position:absolute;left:330200;top:2020570;height:254000;width:922020;" fillcolor="#FFFFFF" filled="t" stroked="f" coordsize="21600,21600" o:gfxdata="UEsFBgAAAAAAAAAAAAAAAAAAAAAAAFBLAwQKAAAAAACHTuJAAAAAAAAAAAAAAAAABAAAAGRycy9Q&#10;SwMEFAAAAAgAh07iQISFCvjSAAAABgEAAA8AAABkcnMvZG93bnJldi54bWxNj81OwzAQhO9IvIO1&#10;SNyonUIDCnF6QOKKRFt6duMljrDXke3+Pj0LF7iMtJrRzLft8hS8OGDKYyQN1UyBQOqjHWnQsFm/&#10;3j2ByMWQNT4SajhjhmV3fdWaxsYjveNhVQbBJZQbo8GVMjVS5t5hMHkWJyT2PmMKpvCZBmmTOXJ5&#10;8HKuVC2DGYkXnJnwxWH/tdoHDdshXLYf1ZScDf6B3i7n9SaOWt/eVOoZRMFT+QvDDz6jQ8dMu7gn&#10;m4XXwI+UX2XvcVHfg9hxSM3rBciulf/xu29QSwMEFAAAAAgAh07iQEqLPy3sAQAAvwMAAA4AAABk&#10;cnMvZTJvRG9jLnhtbK1TzY7TMBC+I/EOlu802ZQuS1V3JbYqFwRICw/gOk5iyX+M3SblAeANOHHh&#10;vs/V52DspLuwXPZADs54PP5mvm/Gq+vBaHKQEJSzjF7MSkqkFa5WtmX086ftiytKQuS25tpZyehR&#10;Bnq9fv5s1fulrFzndC2BIIgNy94z2sXol0URRCcNDzPnpcXDxoHhEbfQFjXwHtGNLqqyvCx6B7UH&#10;J2QI6N2Mh3RChKcAuqZRQm6c2Btp44gKUvOIlEKnfKDrXG3TSBE/NE2QkWhGkWnMKyZBe5fWYr3i&#10;yxa475SYSuBPKeERJ8OVxaT3UBseOdmD+gfKKAEuuCbOhDPFSCQrgiwuykfa3Hbcy8wFpQ7+XvTw&#10;/2DF+8NHIKrGSbiqKLHcYMtPP76fft6dfn0jVRKo92GJcbceI+Pwxg0YfPYHdCbeQwMm/ZERwfP5&#10;vMReU3JktEJr8WpSWg6RCDx/XSU3JSIFLF6WGIuJigccDyG+lc6QZDAK2MisLz+8C3EMPYektMFp&#10;VW+V1nkD7e5GAzlwbPo2fxP6X2Hakp7Ry/mizMjWpfsjtLZYTKI90ktWHHbDpMXO1UeUAt8QVtY5&#10;+EpJjxPEaPiy5yAp4Vagm9F4Nm/iOHJ7D6rt8FbWL2fAvmbi0wymwflzn+t4eHf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ISFCvjSAAAABgEAAA8AAAAAAAAAAQAgAAAAOAAAAGRycy9kb3ducmV2&#10;LnhtbFBLAQIUABQAAAAIAIdO4kBKiz8t7AEAAL8DAAAOAAAAAAAAAAEAIAAAADcBAABkcnMvZTJv&#10;RG9jLnhtbFBLBQYAAAAABgAGAFkBAACVBQAAAAA=&#10;">
                        <v:fill on="t" focussize="0,0"/>
                        <v:stroke on="f" weight="0.5pt"/>
                        <v:imagedata o:title=""/>
                        <o:lock v:ext="edit" aspectratio="f"/>
                        <v:textbox>
                          <w:txbxContent>
                            <w:p>
                              <w:pPr>
                                <w:jc w:val="center"/>
                                <w:rPr>
                                  <w:sz w:val="20"/>
                                  <w:szCs w:val="20"/>
                                </w:rPr>
                              </w:pPr>
                              <w:r>
                                <w:rPr>
                                  <w:rFonts w:hint="eastAsia"/>
                                  <w:sz w:val="20"/>
                                  <w:szCs w:val="20"/>
                                </w:rPr>
                                <w:t xml:space="preserve"> </w:t>
                              </w:r>
                            </w:p>
                          </w:txbxContent>
                        </v:textbox>
                      </v:shape>
                      <v:shape id="文本框 30" o:spid="_x0000_s1026" o:spt="202" type="#_x0000_t202" style="position:absolute;left:2853690;top:2120900;height:462915;width:166179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LcDPYXgAQAAmQMA&#10;AA4AAABkcnMvZTJvRG9jLnhtbK1TS27bMBDdF+gdCO5rfVyrsWA6QGqkm6ItkOQANEVZBPgrSVty&#10;D9DeoKtuuu+5fI4OKcUu0k0W2VDDmeGbeW9Gq+tBSXTgzgujCS5mOUZcM9MIvSP44f72zRVGPlDd&#10;UGk0J/jIPb5ev3616m3NS9MZ2XCHAET7urcEdyHYOss867iifmYs1xBsjVM0wNXtssbRHtCVzMo8&#10;r7LeuMY6w7j34N2MQTwhuucAmrYVjG8M2yuuw4jquKQBKPlOWI/Xqdu25Sx8blvPA5IEA9OQTigC&#10;9jae2XpF652jthNsaoE+p4UnnBQVGoqeoTY0ULR34j8oJZgz3rRhxozKRiJJEWBR5E+0ueuo5YkL&#10;SO3tWXT/crDs0+GLQ6IhuCwLjDRVMPLTzx+nX39Ov7+jeVKot76GxDsLqWG4MQPsTVQu+j04I/Gh&#10;dSp+gRKCeHm1mFdLUPkIdlHmy3zSmg8BsQhQVcW75QIjBhlvq3JZLCJkdkGyzocP3CgUDYIdzDJJ&#10;TA8ffRhTH1NiYW1uhZRpnlKjnuBqvsjTg3MEwKWGGpe+oxWG7TCR2ZrmCBzh74CCnXHfMOphNwj2&#10;X/fUcYyoZuAmODya78O4THvrxK6DV0mYVAEmlvhM2xVX4t976uPyR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58GSHYAAAABgEAAA8AAAAAAAAAAQAgAAAAOAAAAGRycy9kb3ducmV2LnhtbFBL&#10;AQIUABQAAAAIAIdO4kC3Az2F4AEAAJkDAAAOAAAAAAAAAAEAIAAAAD0BAABkcnMvZTJvRG9jLnht&#10;bFBLBQYAAAAABgAGAFkBAACPBQAAAAA=&#10;">
                        <v:fill on="f" focussize="0,0"/>
                        <v:stroke on="f" weight="0.5pt"/>
                        <v:imagedata o:title=""/>
                        <o:lock v:ext="edit" aspectratio="f"/>
                        <v:textbox>
                          <w:txbxContent>
                            <w:p>
                              <w:pPr>
                                <w:jc w:val="left"/>
                                <w:rPr>
                                  <w:rFonts w:hint="eastAsia"/>
                                  <w:sz w:val="20"/>
                                  <w:szCs w:val="20"/>
                                  <w:lang w:val="en-US" w:eastAsia="zh-CN"/>
                                </w:rPr>
                              </w:pPr>
                              <w:r>
                                <w:rPr>
                                  <w:rFonts w:hint="eastAsia"/>
                                  <w:sz w:val="20"/>
                                  <w:szCs w:val="20"/>
                                  <w:lang w:val="en-US" w:eastAsia="zh-CN"/>
                                </w:rPr>
                                <w:t>G3机加工废气、S3边角料、S4废切削液</w:t>
                              </w:r>
                            </w:p>
                            <w:p>
                              <w:pPr>
                                <w:pStyle w:val="7"/>
                                <w:rPr>
                                  <w:rFonts w:hint="default"/>
                                  <w:lang w:val="en-US" w:eastAsia="zh-CN"/>
                                </w:rPr>
                              </w:pPr>
                              <w:r>
                                <w:rPr>
                                  <w:rFonts w:hint="eastAsia"/>
                                  <w:lang w:val="en-US" w:eastAsia="zh-CN"/>
                                </w:rPr>
                                <w:t>N噪声</w:t>
                              </w:r>
                            </w:p>
                          </w:txbxContent>
                        </v:textbox>
                      </v:shape>
                      <v:line id="直线 224" o:spid="_x0000_s1026" o:spt="20" style="position:absolute;left:1998980;top:3690620;height:241300;width:0;" filled="f" stroked="t" coordsize="21600,21600" o:gfxdata="UEsFBgAAAAAAAAAAAAAAAAAAAAAAAFBLAwQKAAAAAACHTuJAAAAAAAAAAAAAAAAABAAAAGRycy9Q&#10;SwMEFAAAAAgAh07iQNYvV2HYAAAABgEAAA8AAABkcnMvZG93bnJldi54bWxNj8FOwzAQRO9I/IO1&#10;SNyonaKGKMTpAalcWkBtEYKbGy9JRLyOYqcNf8/SC1xGWs1o5m2xnFwnjjiE1pOGZKZAIFXetlRr&#10;eN2vbjIQIRqypvOEGr4xwLK8vChMbv2JtnjcxVpwCYXcaGhi7HMpQ9WgM2HmeyT2Pv3gTORzqKUd&#10;zInLXSfnSqXSmZZ4oTE9PjRYfe1Gp2G7Wa2zt/U4VcPHY/K8f9k8vYdM6+urRN2DiDjFvzD84jM6&#10;lMx08CPZIDoN/Eg8K3t3i/QWxIFDap4uQJaF/I9f/gBQSwMEFAAAAAgAh07iQHrdPnb3AQAA4gMA&#10;AA4AAABkcnMvZTJvRG9jLnhtbK1TS27bMBDdF+gdCO5ryXJixILlLOKmm6I10PYAY4qSCPAHDmPZ&#10;Z+k1uuqmx8k1OqTcuE1RIIt6IQ85j2/mPQ7Xt0ej2UEGVM42fD4rOZNWuFbZvuFfPt+/ueEMI9gW&#10;tLOy4SeJ/Hbz+tV69LWs3OB0KwMjEov16Bs+xOjrokAxSAM4c15aSnYuGIi0DH3RBhiJ3eiiKstl&#10;MbrQ+uCERKTd7ZTkZ8bwEkLXdUrIrRMPRto4sQapIZIkHJRHvsnddp0U8WPXoYxMN5yUxvylIhTv&#10;07fYrKHuA/hBiXML8JIWnmkyoCwVfaLaQgT2ENRfVEaJ4NB1cSacKSYh2RFSMS+fefNpAC+zFrIa&#10;/ZPp+P9oxYfDLjDVNrxazDmzYOjKH79+e/z+g1XVVfJn9FgT7M7uwnmFfheS2GMXTPonGexIs7Ra&#10;3axuyNlTwxfLVbmszv7KY2SCAJQSlKuu5osyp4oLhw8Y30lnWAoarpVNyqGGw3uMVJegvyBpW1s2&#10;Nnx1XV0TJ9AYdnT9FBpPUtD2+Sw6rdp7pXU6gaHf3+nADpBGIf+SOuL9A5aKbAGHCZdT05AMEtq3&#10;tmXx5MkiS2+DpxaMbDnTkp5SiogQ6ghKX5AxKLC9/geaymtLXSSTJ1tTtHftKbud9+nqc5/nMU2z&#10;9fs6n748zc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1i9XYdgAAAAGAQAADwAAAAAAAAABACAA&#10;AAA4AAAAZHJzL2Rvd25yZXYueG1sUEsBAhQAFAAAAAgAh07iQHrdPnb3AQAA4gMAAA4AAAAAAAAA&#10;AQAgAAAAPQEAAGRycy9lMm9Eb2MueG1sUEsFBgAAAAAGAAYAWQEAAKYFAAAAAA==&#10;">
                        <v:fill on="f" focussize="0,0"/>
                        <v:stroke color="#000000" joinstyle="round" endarrow="block"/>
                        <v:imagedata o:title=""/>
                        <o:lock v:ext="edit" aspectratio="f"/>
                      </v:line>
                      <v:shape id="直接箭头连接符 29" o:spid="_x0000_s1026" o:spt="32" type="#_x0000_t32" style="position:absolute;left:2393950;top:1812925;flip:y;height:0;width:2921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EB0nQkZAgAABwQAAA4AAABk&#10;cnMvZTJvRG9jLnhtbK1TzY7TMBC+I/EOlu80baqiTbTpHlqWC4JK/NyntpNY8p9sb9O+BC+AxAk4&#10;wZ72ztPA8hiMnbILi5D2QA7R2J755vs+j0/P9lqRnfBBWtPQ2WRKiTDMcmm6hr5+df7ohJIQwXBQ&#10;1oiGHkSgZ8uHD04HV4vS9lZx4QmCmFAPrqF9jK4uisB6oSFMrBMGD1vrNURc+q7gHgZE16oop9PH&#10;xWA9d94yEQLursdDekT09wG0bSuZWFt2oYWJI6oXCiJKCr10gS4z27YVLL5o2yAiUQ1FpTH/sQnG&#10;2/QvlqdQdx5cL9mRAtyHwh1NGqTBpjdQa4hALrz8C0pL5m2wbZwwq4tRSHYEVcymd7x52YMTWQta&#10;HdyN6eH/wbLnu40nkje0nM8pMaDxyq/fXX1/+/H68su3D1c/vr5P8edPpKySW4MLNRatzMYfV8Ft&#10;fJK+b70mrZLuDY5VNgPlkX1CrubVAh0/4MHJrKzKxei72EfCUkJVzqZ4zjAhX0kxoiVU50N8Kqwm&#10;KWhoiB5k18eVNQYv1/qxE+yehYh8sPBXQSpWhgwNrRbYkDDAYW1xSDDUDgUH02WWwSrJz6VSqSL4&#10;brtSnuwgDUz+ElfE/SMtNVlD6Mc8jtGoqBfAnxhO4sGhjwYfEE0MtOCUKIHvLUWIB3UEqW4zo5dg&#10;OvWPbOyuDJJI3o9up2hr+SFfQt7H+cg0j7OcBvD3da6+fb/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I2lZcDSAAAABgEAAA8AAAAAAAAAAQAgAAAAOAAAAGRycy9kb3ducmV2LnhtbFBLAQIUABQA&#10;AAAIAIdO4kBAdJ0JGQIAAAcEAAAOAAAAAAAAAAEAIAAAADcBAABkcnMvZTJvRG9jLnhtbFBLBQYA&#10;AAAABgAGAFkBAADCBQAAAAA=&#10;">
                        <v:fill on="f" focussize="0,0"/>
                        <v:stroke color="#000000" joinstyle="round" dashstyle="dash" endarrow="block"/>
                        <v:imagedata o:title=""/>
                        <o:lock v:ext="edit" aspectratio="f"/>
                      </v:shape>
                      <v:shape id="直接箭头连接符 29" o:spid="_x0000_s1026" o:spt="32" type="#_x0000_t32" style="position:absolute;left:2392680;top:2247900;flip:y;height:0;width:2921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MaunKwZAgAABwQAAA4AAABk&#10;cnMvZTJvRG9jLnhtbK1TzW4TMRC+I/EOlu9kN0tbmlU2PSSUC4JI/NwntnfXkv9ku9nkJXgBJE7A&#10;CTj1ztNAeQzG3tBCEVIP7GH12Z75Zr7P4/nZTiuyFT5Iaxo6nZSUCMMsl6Zr6KuX5w9OKQkRDAdl&#10;jWjoXgR6trh/bz64WlS2t4oLT5DEhHpwDe1jdHVRBNYLDWFinTB42FqvIeLSdwX3MCC7VkVVlifF&#10;YD133jIRAu6uxkN6YPR3IbRtK5lYWXahhYkjqxcKIkoKvXSBLnK3bStYfN62QUSiGopKY/5jEcSb&#10;9C8Wc6g7D66X7NAC3KWFW5o0SINFr6lWEIFcePkXlZbM22DbOGFWF6OQ7AiqmJa3vHnRgxNZC1od&#10;3LXp4f/RsmfbtSeSN7R6eESJAY1XfvX28vubD1dfPn97f/nj67uEP30k1Sy5NbhQY9LSrP1hFdza&#10;J+m71mvSKule41hlM1Ae2SXmWXVyio7vEVdHj2blwXexi4SlgFk1xT3CMCAfFSNbYnU+xCfCapJA&#10;Q0P0ILs+Lq0xeLnWj5Vg+zRE7AcTfyWkZGXI0NDZcXWM5IDD2uKQINQOBQfT5S6DVZKfS6VSRvDd&#10;Zqk82UIamPwl1cj7R1gqsoLQj3Ec0ThJvQD+2HAS9w59NPiAaOpAC06JEvjeEkI+qCNIdRMZvQTT&#10;qX9EY3VlsInk/eh2QhvL9/kS8j7OR27zMMtpAH9f5+yb97v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I2lZcDSAAAABgEAAA8AAAAAAAAAAQAgAAAAOAAAAGRycy9kb3ducmV2LnhtbFBLAQIUABQA&#10;AAAIAIdO4kDGrpysGQIAAAcEAAAOAAAAAAAAAAEAIAAAADcBAABkcnMvZTJvRG9jLnhtbFBLBQYA&#10;AAAABgAGAFkBAADCBQAAAAA=&#10;">
                        <v:fill on="f" focussize="0,0"/>
                        <v:stroke color="#000000" joinstyle="round" dashstyle="dash" endarrow="block"/>
                        <v:imagedata o:title=""/>
                        <o:lock v:ext="edit" aspectratio="f"/>
                      </v:shape>
                      <v:shape id="直接箭头连接符 29" o:spid="_x0000_s1026" o:spt="32" type="#_x0000_t32" style="position:absolute;left:2418080;top:583565;flip:y;height:0;width:3048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LEVdUwcAgAABgQAAA4AAABk&#10;cnMvZTJvRG9jLnhtbK1TzW4TMRC+I/EOlu9kN0lTpatsekgoFwSR+LlPbO+uJf/JdrPJS/ACSJyA&#10;E3DqnaeB8hiMvaGFIqQe2MNq7Jn5Zr5vxovzvVZkJ3yQ1tR0PCopEYZZLk1b01cvLx7NKQkRDAdl&#10;jajpQQR6vnz4YNG7SkxsZxUXniCICVXvatrF6KqiCKwTGsLIOmHQ2VivIeLRtwX30CO6VsWkLE+L&#10;3nruvGUiBLxdD056RPT3AbRNI5lYW3aphYkDqhcKIlIKnXSBLnO3TSNYfN40QUSiaopMY/5jEbS3&#10;6V8sF1C1Hlwn2bEFuE8LdzhpkAaL3kCtIQK59PIvKC2Zt8E2ccSsLgYiWRFkMS7vaPOiAycyF5Q6&#10;uBvRw/+DZc92G08kr+lkioM3oHHk12+vvr/5cP3l87f3Vz++vkv2p49kcpbU6l2oMGllNv54Cm7j&#10;E/V94zVplHSvca2yGEiP7BH5ZDwv56j4oaaz+XR2OhtkF/tIGPqn5cm8RDdDf55IMYAlUOdDfCKs&#10;JsmoaYgeZNvFlTUGZ2v9UAh2T0PEdjDxV0JKVob0NT2bTWYIDrirDe4Imtoh32Da3GSwSvILqVTK&#10;CL7drpQnO0j7kr/UK+L+EZaKrCF0QxxHa2DUCeCPDSfx4FBGg++Hpg604JQogc8tWYgHVQSpbiOj&#10;l2Ba9Y9orK4MNpGkH8RO1tbyQ55Bvsf1yG0eVznt3+/nnH37f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I2lZcDSAAAABgEAAA8AAAAAAAAAAQAgAAAAOAAAAGRycy9kb3ducmV2LnhtbFBLAQIU&#10;ABQAAAAIAIdO4kCxFXVMHAIAAAYEAAAOAAAAAAAAAAEAIAAAADcBAABkcnMvZTJvRG9jLnhtbFBL&#10;BQYAAAAABgAGAFkBAADFBQAAAAA=&#10;">
                        <v:fill on="f" focussize="0,0"/>
                        <v:stroke color="#000000" joinstyle="round" dashstyle="dash" endarrow="block"/>
                        <v:imagedata o:title=""/>
                        <o:lock v:ext="edit" aspectratio="f"/>
                      </v:shape>
                      <v:shape id="文本框 30" o:spid="_x0000_s1026" o:spt="202" type="#_x0000_t202" style="position:absolute;left:2728595;top:346710;height:451485;width:162560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EFmkM7WAQAAigMA&#10;AA4AAABkcnMvZTJvRG9jLnhtbK1TzY7TMBC+I/EOlu80adpku1HdlaBaLgiQFh7AdZzGkv9ku03K&#10;A8AbcOLCnefqc+zYybZoueyBiz32jL+Z75vx+m5QEh2588JoguezHCOumWmE3hP89cv9mxVGPlDd&#10;UGk0J/jEPb7bvH617m3NC9MZ2XCHAET7urcEdyHYOss867iifmYs1+BsjVM0wNHts8bRHtCVzIo8&#10;r7LeuMY6w7j3cLsdnXhCdC8BNG0rGN8adlBchxHVcUkDUPKdsB5vUrVty1n41LaeByQJBqYhrZAE&#10;7F1cs82a1ntHbSfYVAJ9SQnPOCkqNCS9QG1poOjgxD9QSjBnvGnDjBmVjUSSIsBinj/T5qGjlicu&#10;ILW3F9H9/4NlH4+fHRINwcXiFiNNFbT8/PPH+def8+/vaJEU6q2vIfDBQmgY3poB5iYqF+89XEbi&#10;Q+tU3IESAn9xU6zK2xKjE8GLZXUzn6TmQ0Asvq+KssqhCwwCluV8uSojYnYFss6H99woFA2CHbQy&#10;KUyPH3wYQ59CYl5t7oWUqZ1So57galHm6cHFA+BSQ45r2dEKw26YuOxMcwKK8DkgYWfcN4yoZmAQ&#10;HJ7Md2GcnoN1Yt9BXFIiYUKLEoNpnOIM/H1Oma9faPM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bnwZIdgAAAAGAQAADwAAAAAAAAABACAAAAA4AAAAZHJzL2Rvd25yZXYueG1sUEsBAhQAFAAAAAgA&#10;h07iQEFmkM7WAQAAigMAAA4AAAAAAAAAAQAgAAAAPQEAAGRycy9lMm9Eb2MueG1sUEsFBgAAAAAG&#10;AAYAWQEAAIUFAAAAAA==&#10;">
                        <v:fill on="f" focussize="0,0"/>
                        <v:stroke on="f" weight="0.5pt"/>
                        <v:imagedata o:title=""/>
                        <o:lock v:ext="edit" aspectratio="f"/>
                        <v:textbox>
                          <w:txbxContent>
                            <w:p>
                              <w:pPr>
                                <w:jc w:val="left"/>
                                <w:rPr>
                                  <w:rFonts w:hint="eastAsia"/>
                                  <w:sz w:val="20"/>
                                  <w:szCs w:val="20"/>
                                  <w:lang w:val="en-US" w:eastAsia="zh-CN"/>
                                </w:rPr>
                              </w:pPr>
                              <w:r>
                                <w:rPr>
                                  <w:rFonts w:hint="eastAsia"/>
                                  <w:sz w:val="20"/>
                                  <w:szCs w:val="20"/>
                                  <w:lang w:val="en-US" w:eastAsia="zh-CN"/>
                                </w:rPr>
                                <w:t>G1切割粉尘、S1边角料</w:t>
                              </w:r>
                            </w:p>
                            <w:p>
                              <w:pPr>
                                <w:pStyle w:val="7"/>
                                <w:rPr>
                                  <w:rFonts w:hint="default"/>
                                  <w:lang w:val="en-US" w:eastAsia="zh-CN"/>
                                </w:rPr>
                              </w:pPr>
                              <w:r>
                                <w:rPr>
                                  <w:rFonts w:hint="eastAsia"/>
                                  <w:sz w:val="20"/>
                                  <w:szCs w:val="20"/>
                                  <w:lang w:val="en-US" w:eastAsia="zh-CN"/>
                                </w:rPr>
                                <w:t>N噪声</w:t>
                              </w:r>
                            </w:p>
                          </w:txbxContent>
                        </v:textbox>
                      </v:shape>
                      <v:shape id="文本框 2" o:spid="_x0000_s1026" o:spt="202" type="#_x0000_t202" style="position:absolute;left:1581150;top:857250;height:237490;width:807085;"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AVsSK8awIAANEEAAAOAAAA&#10;ZHJzL2Uyb0RvYy54bWytVMFu2zAMvQ/YPwi6r07SpEmDOEXWIsOAYC2QDTsrshwLk0RNUmJnH7D+&#10;wU677L7vyneMkpO0a3foYT7IpEg/ko+kJ1eNVmQrnJdgcto961AiDIdCmnVOP32cvxlR4gMzBVNg&#10;RE53wtOr6etXk9qORQ8qUIVwBEGMH9c2p1UIdpxlnldCM38GVhg0luA0C6i6dVY4ViO6Vlmv07nI&#10;anCFdcCF93h70xrpAdG9BBDKUnJxA3yjhQktqhOKBSzJV9J6Ok3ZlqXg4bYsvQhE5RQrDenEICiv&#10;4plNJ2y8dsxWkh9SYC9J4UlNmkmDQU9QNywwsnHyGZSW3IGHMpxx0FlbSGIEq+h2nnCzrJgVqRak&#10;2tsT6f7/wfIP2ztHZJHT896QEsM0tnz/437/8/f+13fSiwTV1o/Rb2nRMzRvocGxOd57vIx1N6XT&#10;8Y0VkWgfjLrdAZK8y+loMOyhmJgWTSAc7aPOsDMaUMLR3jsf9i+TPXvAsc6HdwI0iUJOHTYy8cu2&#10;Cx8QCl2PLjGsByWLuVQqKW69ulaObBk2fZ6eGB0/+ctNGVLn9OIcc3sGEbFPECvF+JfnCIinTPxS&#10;pDk75BXJakmJUmhWzYHBFRQ7JNBBO4Pe8rnEKAvmwx1zOHTIFq5luMWjVICpwUGipAL37V/30R9n&#10;Aa2U1DjEOfVfN8wJStR7g1Ny2e3349QnpY99QMU9tqweW8xGXwNS1sUfgOVJjP5BHcXSgf6M2zuL&#10;UdHEDMfYOQ1H8Tq0q4Xbz8Vslpxwzi0LC7O0PEJHwgzMNgFKmRoZaWq5wRZFBSc9NeuwlXGVHuvJ&#10;6+FPN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ptSxpdMAAAAGAQAADwAAAAAAAAABACAAAAA4&#10;AAAAZHJzL2Rvd25yZXYueG1sUEsBAhQAFAAAAAgAh07iQBWxIrxrAgAA0QQAAA4AAAAAAAAAAQAg&#10;AAAAOAEAAGRycy9lMm9Eb2MueG1sUEsFBgAAAAAGAAYAWQEAABUGA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冷加工</w:t>
                              </w:r>
                            </w:p>
                          </w:txbxContent>
                        </v:textbox>
                      </v:shape>
                      <v:shape id="文本框 2" o:spid="_x0000_s1026" o:spt="202" type="#_x0000_t202" style="position:absolute;left:1581150;top:1276350;height:246380;width:807085;"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B5x0bTagIAANIEAAAOAAAA&#10;ZHJzL2Uyb0RvYy54bWytVMFu2zAMvQ/YPwi6r07cJM2COEWWIsOAYi2QDTsrshwLk0RNUmJnH7D9&#10;wU677L7v6neMkpM2a3foYT7IpEg/ko+kp5etVmQnnJdgCto/61EiDIdSmk1BP35YvhpT4gMzJVNg&#10;REH3wtPL2csX08ZORA41qFI4giDGTxpb0DoEO8kyz2uhmT8DKwwaK3CaBVTdJisdaxBdqyzv9UZZ&#10;A660DrjwHm+vOiM9ILrnAEJVSS6ugG+1MKFDdUKxgCX5WlpPZynbqhI83FSVF4GogmKlIZ0YBOV1&#10;PLPZlE02jtla8kMK7DkpPKpJM2kw6D3UFQuMbJ18AqUld+ChCmccdNYVkhjBKvq9R9ysamZFqgWp&#10;9vaedP//YPn73a0jsizoeY6NN0xjy+9+fL/7+fvu1zeSR4Ia6yfot7LoGdo30OLYHO89Xsa628rp&#10;+MaKSLQPx/3+EEneo5xfjM5RTlSLNhCODuPeRW88pISjQz4YnY+TPXsAss6HtwI0iUJBHXYyEcx2&#10;1z4gFLoeXWJcD0qWS6lUUtxmvVCO7Bh2fZmeGB0/+ctNGdIUNOX2BCJi30OsFeOfnyIgnjLxS5EG&#10;7ZBXZKtjJUqhXbcHCtdQ7pFBB90QesuXEqNcMx9umcOpQ7pwL8MNHpUCTA0OEiU1uK//uo/+OAxo&#10;paTBKS6o/7JlTlCi3hkck9f9wSCOfVIGw4scFXdqWZ9azFYvACnr4x/A8iRG/6COYuVAf8L1nceo&#10;aGKGY+yChqO4CN1u4fpzMZ8nJxx0y8K1WVkeoSNhBubbAJVMjYw0ddxgi6KCo56adVjLuEunevJ6&#10;+BX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m1LGl0wAAAAYBAAAPAAAAAAAAAAEAIAAAADgA&#10;AABkcnMvZG93bnJldi54bWxQSwECFAAUAAAACACHTuJAecdG02oCAADSBAAADgAAAAAAAAABACAA&#10;AAA4AQAAZHJzL2Uyb0RvYy54bWxQSwUGAAAAAAYABgBZAQAAFAY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装配成型</w:t>
                              </w:r>
                            </w:p>
                          </w:txbxContent>
                        </v:textbox>
                      </v:shape>
                      <v:shape id="文本框 2" o:spid="_x0000_s1026" o:spt="202" type="#_x0000_t202" style="position:absolute;left:1572895;top:1704340;height:236855;width:807085;"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B+liiVaQIAANIEAAAOAAAA&#10;ZHJzL2Uyb0RvYy54bWytVM1uEzEQviPxDpbvdDd/bRp1U4VWQUgVrRQQZ8frzVrYHmM72S0PAG/A&#10;iQt3nivPwdi76S+HHsjBmfGMvpn5/M2enbdakZ1wXoIp6OAop0QYDqU0m4J++rh8M6XEB2ZKpsCI&#10;gt4KT8/nr1+dNXYmhlCDKoUjCGL8rLEFrUOwsyzzvBaa+SOwwmCwAqdZQNdtstKxBtG1yoZ5fpw1&#10;4ErrgAvv8fayC9Ie0b0EEKpKcnEJfKuFCR2qE4oFHMnX0no6T91WleDhuqq8CEQVFCcN6cQiaK/j&#10;mc3P2GzjmK0l71tgL2nhyUyaSYNF76AuWWBk6+QzKC25Aw9VOOKgs26QxAhOMcifcLOqmRVpFqTa&#10;2zvS/f+D5R92N47IsqCj4Sklhml88v3PH/tff/a/v5NhJKixfoZ5K4uZoX0LLcrmcO/xMs7dVk7H&#10;f5yIxPjkZDg9nVByi/ZJPh6Ne6pFGwjHhGl+kk8xzjFhODqeTiYRMbsHss6HdwI0iUZBHb5kIpjt&#10;rnzoUg8psa4HJculVCo5brO+UI7sGL76Mv169EdpypCmoMejSZ6QH8Ui9h3EWjH+5TkCdqtMrCeS&#10;0Pq+IlsdK9EK7brtKVxDeYsMOuhE6C1fSqxyxXy4YQ5Vh5rEvQzXeFQKsDXoLUpqcN/+dR/zUQwY&#10;paRBFRfUf90yJyhR7w3K5HQwRuZJSM4YHwUd9zCyfhgxW30BSNkAvwCWJzPmB3UwKwf6M67vIlbF&#10;EDMcaxc0HMyL0O0Wrj8Xi0VKQqFbFq7MyvIIHQkzsNgGqGR6yEhTxw0KIDoo9SSFfi3jLj30U9b9&#10;p2j+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KbUsaXTAAAABgEAAA8AAAAAAAAAAQAgAAAAOAAA&#10;AGRycy9kb3ducmV2LnhtbFBLAQIUABQAAAAIAIdO4kB+liiVaQIAANIEAAAOAAAAAAAAAAEAIAAA&#10;ADgBAABkcnMvZTJvRG9jLnhtbFBLBQYAAAAABgAGAFkBAAATBg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焊接</w:t>
                              </w:r>
                            </w:p>
                          </w:txbxContent>
                        </v:textbox>
                      </v:shape>
                      <v:shape id="文本框 2" o:spid="_x0000_s1026" o:spt="202" type="#_x0000_t202" style="position:absolute;left:1581150;top:2124075;height:229235;width:807085;"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B06PJQbAIAANIEAAAOAAAA&#10;ZHJzL2Uyb0RvYy54bWytVM1u2zAMvg/YOwi6r/5J0qZBnSJrkWFAsRbohp0VWY6FSaImKbG7B1jf&#10;YKdddt9z9TlGyUnbtTv0MB9kUqQ/kh9Jn5z2WpGtcF6CqWhxkFMiDIdamnVFP31cvplS4gMzNVNg&#10;REVvhKen89evTjo7EyW0oGrhCIIYP+tsRdsQ7CzLPG+FZv4ArDBobMBpFlB166x2rEN0rbIyzw+z&#10;DlxtHXDhPd6eD0a6Q3QvAYSmkVycA99oYcKA6oRiAUvyrbSezlO2TSN4uGwaLwJRFcVKQzoxCMqr&#10;eGbzEzZbO2ZbyXcpsJek8KQmzaTBoPdQ5ywwsnHyGZSW3IGHJhxw0NlQSGIEqyjyJ9xct8yKVAtS&#10;7e096f7/wfIP2ytHZF3R0Qg5MUxjy+9+3N79/H336zspI0Gd9TP0u7boGfq30OPY7O89Xsa6+8bp&#10;+MaKSLRPpkUxQcCbipZFOc6PJgPVog+Eo8M0P8qnE0p4dCiPy1GyZw9A1vnwToAmUaiow04mgtn2&#10;wgdMCl33LjGuByXrpVQqKW69OlOObBl2fZmeGB0/+ctNGdJV9HCEeT6DiNj3ECvF+JfnCIinTPxS&#10;pEHb5RXZGliJUuhX/Y7CFdQ3yKCDYQi95UuJUS6YD1fM4dQhXbiX4RKPRgGmBjuJkhbct3/dR38c&#10;BrRS0uEUV9R/3TAnKFHvDY7JcTEeI2xIynhyVKLiHltWjy1mo88AKSvwD2B5EqN/UHuxcaA/4/ou&#10;YlQ0McMxdkXDXjwLw27h+nOxWCQnHHTLwoW5tjxCR8IMLDYBGpkaGWkauMEWRQVHPTVrt5Zxlx7r&#10;yevhVz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KbUsaXTAAAABgEAAA8AAAAAAAAAAQAgAAAA&#10;OAAAAGRycy9kb3ducmV2LnhtbFBLAQIUABQAAAAIAIdO4kB06PJQbAIAANIEAAAOAAAAAAAAAAEA&#10;IAAAADgBAABkcnMvZTJvRG9jLnhtbFBLBQYAAAAABgAGAFkBAAAWBg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机加工</w:t>
                              </w:r>
                            </w:p>
                          </w:txbxContent>
                        </v:textbox>
                      </v:shape>
                      <v:shape id="文本框 2" o:spid="_x0000_s1026" o:spt="202" type="#_x0000_t202" style="position:absolute;left:1564005;top:2543810;height:242570;width:85725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BPvTPwaQIAANIEAAAOAAAA&#10;ZHJzL2Uyb0RvYy54bWytVM1u2zAMvg/YOwi6r85/s6BOkbXIMKBYC3TDzoosx8IkUZOU2NkDbG+w&#10;0y6777nyHKNkp82aHXqYDzIp0h/Jj6QvLhutyFY4L8HktH/Wo0QYDoU065x+/LB8NaXEB2YKpsCI&#10;nO6Ep5fzly8uajsTA6hAFcIRBDF+VtucViHYWZZ5XgnN/BlYYdBYgtMsoOrWWeFYjehaZYNeb5LV&#10;4ArrgAvv8fa6NdIO0T0HEMpScnENfKOFCS2qE4oFLMlX0no6T9mWpeDhtiy9CETlFCsN6cQgKK/i&#10;mc0v2GztmK0k71Jgz0nhSU2aSYNBH6CuWWBk4+QJlJbcgYcynHHQWVtIYgSr6PeecHNfMStSLUi1&#10;tw+k+/8Hy99v7xyRRU6Hwz4lhmls+f7H9/3P3/tf38ggElRbP0O/e4ueoXkDDY7N4d7jZay7KZ2O&#10;b6yIRPt4Mur1xpTscjoYj4bTfke1aALh6DAdnw/G2AQeHUaD8XmyZ49A1vnwVoAmUcipw04mgtn2&#10;xgdMCl0PLjGuByWLpVQqKW69ulKObBl2fZmemC9+8pebMqTO6WSIeZxAROwHiJVi/PMpAuIpE78U&#10;adC6vCJbLStRCs2q6ShcQbFDBh20Q+gtX0qMcsN8uGMOpw7pwL0Mt3iUCjA16CRKKnBf/3Uf/XEY&#10;0EpJjVOcU/9lw5ygRL0zOCav+6NRHPukjJBzVNyxZXVsMRt9BUgZDgJml8ToH9RBLB3oT7i+ixgV&#10;TcxwjJ3TcBCvQrtbuP5cLBbJCQfdsnBj7i2P0JEwA4tNgFKmRkaaWm6wRVHBUU/N6tYy7tKxnrwe&#10;f0X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KbUsaXTAAAABgEAAA8AAAAAAAAAAQAgAAAAOAAA&#10;AGRycy9kb3ducmV2LnhtbFBLAQIUABQAAAAIAIdO4kBPvTPwaQIAANIEAAAOAAAAAAAAAAEAIAAA&#10;ADgBAABkcnMvZTJvRG9jLnhtbFBLBQYAAAAABgAGAFkBAAATBg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淬火（外协）</w:t>
                              </w:r>
                            </w:p>
                          </w:txbxContent>
                        </v:textbox>
                      </v:shape>
                      <v:shape id="文本框 2" o:spid="_x0000_s1026" o:spt="202" type="#_x0000_t202" style="position:absolute;left:1617980;top:3441065;height:241935;width:74041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DwRZ5LbQIAANIEAAAOAAAA&#10;ZHJzL2Uyb0RvYy54bWytVMFu2zAMvQ/YPwi6r7YTN22DOkXWIsOAYi3QDTsrshwLk0RNUmJ3H7D9&#10;wU677L7v6neMkpM2bXfoYT7IpEg/ko+kT896rchGOC/BVLQ4yCkRhkMtzaqinz4u3hxT4gMzNVNg&#10;REVvhadns9evTjs7FSNoQdXCEQQxftrZirYh2GmWed4KzfwBWGHQ2IDTLKDqVlntWIfoWmWjPJ9k&#10;HbjaOuDCe7y9GIx0i+heAghNI7m4AL7WwoQB1QnFApbkW2k9naVsm0bwcNU0XgSiKoqVhnRiEJSX&#10;8cxmp2y6csy2km9TYC9J4UlNmkmDQe+hLlhgZO3kMygtuQMPTTjgoLOhkMQIVlHkT7i5aZkVqRak&#10;2tt70v3/g+UfNteOyLqi4/GIEsM0tvzu54+7X3/ufn8no0hQZ/0U/W4seob+LfQ4Nrt7j5ex7r5x&#10;Or6xIhLtk+Lo5BhJvkXgsizyyeFAtegD4ehwVOZ4SwlHh1FZnIyTPXsAss6HdwI0iUJFHXYyEcw2&#10;lz5gUui6c4lxPShZL6RSSXGr5blyZMOw64v0xOj4ySM3ZUhX0cn4ME/Ij2wR+x5iqRj/8hwB8ZSJ&#10;8UQatG1eka2BlSiFftlvKVxCfYsMOhiG0Fu+kBjlkvlwzRxOHdKBexmu8GgUYGqwlShpwX371330&#10;x2FAKyUdTnFF/dc1c4IS9d7gmJwUZYmwISnl4dEIFbdvWe5bzFqfA1JW4B/A8iRG/6B2YuNAf8b1&#10;nceoaGKGY+yKhp14HobdwvXnYj5PTjjoloVLc2N5hI6EGZivAzQyNTLSNHCDLYoKjnpq1nYt4y7t&#10;68nr4Vc0+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Cm1LGl0wAAAAYBAAAPAAAAAAAAAAEAIAAA&#10;ADgAAABkcnMvZG93bnJldi54bWxQSwECFAAUAAAACACHTuJA8EWeS20CAADSBAAADgAAAAAAAAAB&#10;ACAAAAA4AQAAZHJzL2Uyb0RvYy54bWxQSwUGAAAAAAYABgBZAQAAFwY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一道漆</w:t>
                              </w:r>
                            </w:p>
                          </w:txbxContent>
                        </v:textbox>
                      </v:shape>
                      <v:shape id="文本框 30" o:spid="_x0000_s1026" o:spt="202" type="#_x0000_t202" style="position:absolute;left:2699385;top:1595755;height:452755;width:159004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HJD613gAQAAmQMA&#10;AA4AAABkcnMvZTJvRG9jLnhtbK1TTY7TMBTeI3EHy3uaTDPpTKO6I0E1bBAgDRzAdezGkv+w3Sbl&#10;AHADVmzYc66eg2cn06JhMws2if1+vve+7z2v7gat0IH7IK0h+GpWYsQNs600O4I/f7p/dYtRiNS0&#10;VFnDCT7ygO/WL1+setfwue2sarlHAGJC0zuCuxhdUxSBdVzTMLOOG3AK6zWNcPW7ovW0B3StinlZ&#10;Lore+tZ5y3gIYN2MTjwh+ucAWiEk4xvL9pqbOKJ6rmgESqGTLuB17lYIzuIHIQKPSBEMTGP+QhE4&#10;b9O3WK9os/PUdZJNLdDntPCEk6bSQNEz1IZGivZe/gOlJfM2WBFnzOpiJJIVARZX5RNtHjrqeOYC&#10;Ugd3Fj38P1j2/vDRI9kSXFU3GBmqYeSnH99PP3+ffn1DVVaod6GBwAcHoXF4bQfYm6RcsgcwJuKD&#10;8Dr9gRIC/3yxXFa3NUZHiK2X9U1dj1rzISKWAOplWV7DGBhEXNfzKaC4IDkf4ltuNUoHgj3MMktM&#10;D+9ChOoQ+hiSCht7L5XK81QG9QQvqrrMCWcPZCgDiZe+0ykO22Eis7XtETjC64CCnfVfMephNwgO&#10;X/bUc4yoYWAmOD4e38RxmfbOy10HWVmYXAEmlpuctiutxN/33MflRa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58GSHYAAAABgEAAA8AAAAAAAAAAQAgAAAAOAAAAGRycy9kb3ducmV2LnhtbFBL&#10;AQIUABQAAAAIAIdO4kByQ+td4AEAAJkDAAAOAAAAAAAAAAEAIAAAAD0BAABkcnMvZTJvRG9jLnht&#10;bFBLBQYAAAAABgAGAFkBAACPBQAAAAA=&#10;">
                        <v:fill on="f" focussize="0,0"/>
                        <v:stroke on="f" weight="0.5pt"/>
                        <v:imagedata o:title=""/>
                        <o:lock v:ext="edit" aspectratio="f"/>
                        <v:textbox>
                          <w:txbxContent>
                            <w:p>
                              <w:pPr>
                                <w:jc w:val="left"/>
                                <w:rPr>
                                  <w:rFonts w:hint="eastAsia"/>
                                  <w:sz w:val="20"/>
                                  <w:szCs w:val="20"/>
                                  <w:lang w:val="en-US" w:eastAsia="zh-CN"/>
                                </w:rPr>
                              </w:pPr>
                              <w:r>
                                <w:rPr>
                                  <w:rFonts w:hint="eastAsia"/>
                                  <w:sz w:val="20"/>
                                  <w:szCs w:val="20"/>
                                  <w:lang w:val="en-US" w:eastAsia="zh-CN"/>
                                </w:rPr>
                                <w:t>G2焊接烟尘、S2焊渣</w:t>
                              </w:r>
                            </w:p>
                            <w:p>
                              <w:pPr>
                                <w:pStyle w:val="7"/>
                                <w:rPr>
                                  <w:rFonts w:hint="default"/>
                                  <w:lang w:val="en-US" w:eastAsia="zh-CN"/>
                                </w:rPr>
                              </w:pPr>
                              <w:r>
                                <w:rPr>
                                  <w:rFonts w:hint="eastAsia"/>
                                  <w:lang w:val="en-US" w:eastAsia="zh-CN"/>
                                </w:rPr>
                                <w:t>N噪声</w:t>
                              </w:r>
                            </w:p>
                          </w:txbxContent>
                        </v:textbox>
                      </v:shape>
                      <v:shape id="文本框 2" o:spid="_x0000_s1026" o:spt="202" type="#_x0000_t202" style="position:absolute;left:1622425;top:5379720;height:241935;width:74041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C2tb4xaQIAANEEAAAOAAAA&#10;ZHJzL2Uyb0RvYy54bWytVM1u2zAMvg/YOwi6r05cp12DOEXWIsOAYi3QDTsrshwLk0RNUmJ3D7C+&#10;wU677L7n6nOMkp30b4celoNCicRH8uNHz047rchWOC/BlHR8MKJEGA6VNOuSfv60fPOWEh+YqZgC&#10;I0p6Izw9nb9+NWvtVOTQgKqEIwhi/LS1JW1CsNMs87wRmvkDsMKgswanWcCrW2eVYy2ia5Xlo9FR&#10;1oKrrAMuvMfX895JB0T3EkCoa8nFOfCNFib0qE4oFrAl30jr6TxVW9eCh8u69iIQVVLsNKQTk6C9&#10;imc2n7Hp2jHbSD6UwF5SwpOeNJMGk+6hzllgZOPkMygtuQMPdTjgoLO+kcQIdjEePeHmumFWpF6Q&#10;am/3pPv/B8s/bq8ckVVJjyaUGKZx4nc/b+9+/bn7/YPkkZ/W+imGXVsMDN076FA1u3ePj7HtrnY6&#10;/mNDJPqP8rzIEfCmpJPD45PjfGBadIFwDDguRsUYZ8AxIC/GJ4eTiJjdA1nnw3sBmkSjpA4Hmfhl&#10;2wsf+tBdSMzrQclqKZVKF7denSlHtgyHvky/Af1RmDKkxbYPJ6OE/MgXsfcQK8X41+cIWK0yMZ9I&#10;Ohvqimz1rEQrdKtuoHAF1Q0y6KDXoLd8KTHLBfPhijkUHdKBaxku8agVYGkwWJQ04L7/6z3GoxbQ&#10;S0mLIi6p/7ZhTlCiPhhUycm4KKLq06WYxDEQ99CzeugxG30GSNkYPwCWJzPGB7Uzawf6C27vImZF&#10;FzMcc5c07Myz0K8Wbj8Xi0UKQp1bFi7MteUROhJmYLEJUMs0yEhTzw0KIF5Q6UkKw1bGVXp4T1H3&#10;X6L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KbUsaXTAAAABgEAAA8AAAAAAAAAAQAgAAAAOAAA&#10;AGRycy9kb3ducmV2LnhtbFBLAQIUABQAAAAIAIdO4kC2tb4xaQIAANEEAAAOAAAAAAAAAAEAIAAA&#10;ADgBAABkcnMvZTJvRG9jLnhtbFBLBQYAAAAABgAGAFkBAAATBg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机电装配</w:t>
                              </w:r>
                            </w:p>
                          </w:txbxContent>
                        </v:textbox>
                      </v:shape>
                      <v:shape id="文本框 2" o:spid="_x0000_s1026" o:spt="202" type="#_x0000_t202" style="position:absolute;left:234315;top:1720850;height:254000;width:104457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HxnNnTTAQAAiAMA&#10;AA4AAABkcnMvZTJvRG9jLnhtbK1TQW7bMBC8F8gfCN5rybIdB4LlAKmRXIq2QNoH0BRlESC5BElb&#10;ch/Q/qCnXnrvu/yOLik5aZJLDrlIS+5wdmeWXF33WpGDcF6Cqeh0klMiDIdaml1Fv329fX9FiQ/M&#10;1EyBERU9Ck+v1xfvVp0tRQEtqFo4giTGl52taBuCLbPM81Zo5idghcFkA06zgEu3y2rHOmTXKivy&#10;/DLrwNXWARfe4+5mSNKR0b2GEJpGcrEBvtfChIHVCcUCSvKttJ6uU7dNI3j43DReBKIqikpD+mIR&#10;jLfxm61XrNw5ZlvJxxbYa1p4pkkzabDoA9WGBUb2Tr6g0pI78NCECQedDUKSI6himj/z5r5lViQt&#10;aLW3D6b7t6Plnw5fHJF1RS+XlBimceKnXz9Pv/+e/vwgRfSns75E2L1FYOhvoMdbc973uBll943T&#10;8Y+CCOaL2Xw2XVByROiyyK8Wo9GiD4TH8/l8vlgigCOiWMzzPAGyRyLrfLgToEkMKupwkMlfdvjo&#10;AzaF0DMk1jVwK5VKw1SGdKhmhjWfZPCEMngwyhnajlHot/2ocQv1ESXi08CCLbjvlDDDMahoOIcf&#10;wnB39tbJXYu45ETixAGltsbLFG/A/+tU+fEBr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bnwZ&#10;IdgAAAAGAQAADwAAAAAAAAABACAAAAA4AAAAZHJzL2Rvd25yZXYueG1sUEsBAhQAFAAAAAgAh07i&#10;QHxnNnTTAQAAiAMAAA4AAAAAAAAAAQAgAAAAPQEAAGRycy9lMm9Eb2MueG1sUEsFBgAAAAAGAAYA&#10;WQEAAIIFAAAAAA==&#10;">
                        <v:fill on="f"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焊丝、氧气</w:t>
                              </w:r>
                            </w:p>
                          </w:txbxContent>
                        </v:textbox>
                      </v:shape>
                      <v:shape id="直接箭头连接符 29" o:spid="_x0000_s1026" o:spt="32" type="#_x0000_t32" style="position:absolute;left:2384425;top:3566160;flip:y;height:0;width:2794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Fz1SHMaAgAABgQAAA4AAABk&#10;cnMvZTJvRG9jLnhtbK1TzW4TMRC+I/EOlu9kkzQJzSqbHhLKBUEkfu4T27tryX+y3WzyErwAEifg&#10;VDj1ztNAeQzG3tBCEVIP+GCN7Zlv5vtmvDjba0V2wgdpTUVHgyElwjDLpWkq+vrV+aNTSkIEw0FZ&#10;Iyp6EIGeLR8+WHSuFGPbWsWFJwhiQtm5irYxurIoAmuFhjCwThh8rK3XEPHom4J76BBdq2I8HM6K&#10;znruvGUiBLxd94/0iOjvA2jrWjKxtuxCCxN7VC8URKQUWukCXeZq61qw+KKug4hEVRSZxrxjErS3&#10;aS+WCygbD66V7FgC3KeEO5w0SINJb6DWEIFcePkXlJbM22DrOGBWFz2RrAiyGA3vaPOyBScyF5Q6&#10;uBvRw/+DZc93G08kx0nAvhvQ2PHrd1ff3368/vL524erH1/fJ/vyExnPk1idCyXGrMzGH0/BbXxi&#10;vq+9JrWS7g1iZS2QHdlXdHxyOpmMp5QcKnoync1Gs6PsYh8JSw6P55MhNoShQ34qerSE6nyIT4XV&#10;JBkVDdGDbNq4ssZgb63vM8HuWYhYDwb+CkjBypCuovNpSs4AZ7XGGUFTO+QbTJOrDFZJfi6VShHB&#10;N9uV8mQHaV7ySqwR9w+3lGQNoe39OFr9ILUC+BPDSTw41NHg/6GpAi04JUrgd0sW4kEZQapbz+gl&#10;mEb9wxuzK4NFJO17tZO1tfyQm5DvcTxymcdRTvP3+zlH337f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NpWXA0gAAAAYBAAAPAAAAAAAAAAEAIAAAADgAAABkcnMvZG93bnJldi54bWxQSwECFAAU&#10;AAAACACHTuJAXPVIcxoCAAAGBAAADgAAAAAAAAABACAAAAA3AQAAZHJzL2Uyb0RvYy54bWxQSwUG&#10;AAAAAAYABgBZAQAAwwUAAAAA&#10;">
                        <v:fill on="f" focussize="0,0"/>
                        <v:stroke color="#000000" joinstyle="round" dashstyle="dash" endarrow="block"/>
                        <v:imagedata o:title=""/>
                        <o:lock v:ext="edit" aspectratio="f"/>
                      </v:shape>
                      <v:shape id="_x0000_s1026" o:spid="_x0000_s1026" o:spt="202" type="#_x0000_t202" style="position:absolute;left:2640330;top:3421380;height:264160;width:167386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OMLiIrbAQAAmAMA&#10;AA4AAABkcnMvZTJvRG9jLnhtbK1TzY7TMBC+I/EOlu80abOEqqq7ElTLBQHSwgO4jtNY8h8et0l5&#10;AHgDTly481x9DsZO2kXLZQ9cnPHM+Jv5vpmsbwejyVEGUM4yOp+VlEgrXKPsntHPn+5eLCmByG3D&#10;tbOS0ZMEert5/mzd+5VcuM7pRgaCIBZWvWe0i9GvigJEJw2HmfPSYrB1wfCI17AvmsB7RDe6WJRl&#10;XfQuND44IQHQux2DdEIMTwF0bauE3DpxMNLGETVIzSNSgk55oJvcbdtKET+0LchINKPINOYTi6C9&#10;S2exWfPVPnDfKTG1wJ/SwiNOhiuLRa9QWx45OQT1D5RRIjhwbZwJZ4qRSFYEWczLR9rcd9zLzAWl&#10;Bn8VHf4frHh//BiIahitUBLLDU78/OP7+efv869vBH0oUO9hhXn3HjPj8NoNuDYXP6Az8R7aYNIX&#10;GRGML+qbskqIJwS+Wcyr5SS1HCIRCaB+VS1rTBCYgdlztLFU8YDkA8S30hmSDEYDjjIrzI/vII6p&#10;l5RU2Lo7pXUep7akZ7SuXpb5wTWC4NpijcRn7DtZcdgNE8mda07IEX8OLNi58JWSHleDUfhy4EFS&#10;wq1AN6PxYr6J4y4dfFD7Dl9lYXIFHFjmMy1X2oi/77mPhx9q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ufBkh2AAAAAYBAAAPAAAAAAAAAAEAIAAAADgAAABkcnMvZG93bnJldi54bWxQSwECFAAU&#10;AAAACACHTuJA4wuIitsBAACYAwAADgAAAAAAAAABACAAAAA9AQAAZHJzL2Uyb0RvYy54bWxQSwUG&#10;AAAAAAYABgBZAQAAigUAAAAA&#10;">
                        <v:fill on="f" focussize="0,0"/>
                        <v:stroke on="f" weight="0.5pt"/>
                        <v:imagedata o:title=""/>
                        <o:lock v:ext="edit" aspectratio="f"/>
                        <v:textbox>
                          <w:txbxContent>
                            <w:p>
                              <w:pPr>
                                <w:jc w:val="left"/>
                                <w:rPr>
                                  <w:rFonts w:hint="eastAsia"/>
                                  <w:sz w:val="21"/>
                                  <w:szCs w:val="21"/>
                                  <w:lang w:val="en-US" w:eastAsia="zh-CN"/>
                                </w:rPr>
                              </w:pPr>
                              <w:r>
                                <w:rPr>
                                  <w:rFonts w:hint="eastAsia"/>
                                  <w:sz w:val="21"/>
                                  <w:szCs w:val="21"/>
                                  <w:lang w:val="en-US" w:eastAsia="zh-CN"/>
                                </w:rPr>
                                <w:t>G5喷漆废气、S5漆渣</w:t>
                              </w:r>
                            </w:p>
                            <w:p>
                              <w:pPr>
                                <w:jc w:val="left"/>
                                <w:rPr>
                                  <w:rFonts w:hint="default" w:eastAsia="宋体"/>
                                  <w:sz w:val="21"/>
                                  <w:szCs w:val="21"/>
                                  <w:lang w:val="en-US" w:eastAsia="zh-CN"/>
                                </w:rPr>
                              </w:pPr>
                            </w:p>
                          </w:txbxContent>
                        </v:textbox>
                      </v:shape>
                      <v:shape id="文本框 2" o:spid="_x0000_s1026" o:spt="202" type="#_x0000_t202" style="position:absolute;left:1631315;top:5860415;height:241935;width:74041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CyfL89bAIAANEEAAAOAAAA&#10;ZHJzL2Uyb0RvYy54bWytVM1u2zAMvg/YOwi6r44TJ22DOEXWIsOAYi3QDTsrshwLk0RNUmJ3D7C9&#10;wU677L7n6nOMkpP0b4celoNDip8/ih9Jz846rchWOC/BlDQ/GlAiDIdKmnVJP31cvjmhxAdmKqbA&#10;iJLeCk/P5q9fzVo7FUNoQFXCESQxftrakjYh2GmWed4IzfwRWGEwWIPTLKDr1lnlWIvsWmXDwWCS&#10;teAq64AL7/H0og/SHaN7CSHUteTiAvhGCxN6VicUC1iSb6T1dJ5uW9eCh6u69iIQVVKsNKQnJkF7&#10;FZ/ZfMama8dsI/nuCuwlV3hSk2bSYNID1QULjGycfEalJXfgoQ5HHHTWF5IUwSrywRNtbhpmRaoF&#10;pfb2ILr/f7T8w/baEVmVtCgoMUxjx+9+/rj79efu93cyjPq01k8RdmMRGLq30OHU7M89Hsayu9rp&#10;+I8FkRifjPJRPqbktqTjk8mgQDspLbpAOAKOCzzDHnAEDIv8dJTi2T2RdT68E6BJNErqsJFJX7a9&#10;9AGpELqHxLwelKyWUqnkuPXqXDmyZdj0ZfrF7PjKI5gypC3pZDQeJOZHsch9oFgpxr88Z0A+ZWI+&#10;keZsd6+oVq9KtEK36nYSrqC6RQUd9DPoLV9KzHLJfLhmDocO5cC1DFf4qBXg1WBnUdKA+/av84jH&#10;WcAoJS0OcUn91w1zghL13uCUnOZFEac+OcX4eIiOexhZPYyYjT4HlCzHD4DlyYz4oPZm7UB/xu1d&#10;xKwYYoZj7pKGvXke+tXC7edisUggnHPLwqW5sTxSR8EMLDYBapkaGWXqtcEWRQcnPTVrt5VxlR76&#10;CXX/JZ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KbUsaXTAAAABgEAAA8AAAAAAAAAAQAgAAAA&#10;OAAAAGRycy9kb3ducmV2LnhtbFBLAQIUABQAAAAIAIdO4kCyfL89bAIAANEEAAAOAAAAAAAAAAEA&#10;IAAAADgBAABkcnMvZTJvRG9jLnhtbFBLBQYAAAAABgAGAFkBAAAWBg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机电调试</w:t>
                              </w:r>
                            </w:p>
                          </w:txbxContent>
                        </v:textbox>
                      </v:shape>
                      <v:shape id="文本框 2" o:spid="_x0000_s1026" o:spt="202" type="#_x0000_t202" style="position:absolute;left:1642745;top:3936365;height:241935;width:74041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D61YOqbgIAANEEAAAOAAAA&#10;ZHJzL2Uyb0RvYy54bWytVM1u2zAMvg/YOwi6r86Pky5BnSJrkWFAsBbohp0VWY6FSaImKbGzB1jf&#10;YKdddt9z9TlGyUmbtjv0MB9kUqQ/kh9Jn523WpGtcF6CKWj/pEeJMBxKadYF/fxp8eYtJT4wUzIF&#10;RhR0Jzw9n71+ddbYqRhADaoUjiCI8dPGFrQOwU6zzPNaaOZPwAqDxgqcZgFVt85KxxpE1yob9Hrj&#10;rAFXWgdceI+3l52R7hHdSwChqiQXl8A3WpjQoTqhWMCSfC2tp7OUbVUJHq6qyotAVEGx0pBODILy&#10;Kp7Z7IxN147ZWvJ9CuwlKTypSTNpMOg91CULjGycfAalJXfgoQonHHTWFZIYwSr6vSfc3NTMilQL&#10;Uu3tPen+/8Hyj9trR2RZ0NGQEsM0dvzu5+3drz93v3+QQeSnsX6KbjcWHUP7DlqcmsO9x8tYdls5&#10;Hd9YEIn2cT44zUeU7Ao6nAzHw/GoY1q0gXB0OM17eR97wNFhkPcnw2TPHoCs8+G9AE2iUFCHjUz8&#10;su3SB0wKXQ8uMa4HJcuFVCopbr26UI5sGTZ9kZ4YHT955KYMaQo6Ho56CfmRLWLfQ6wU41+fIyCe&#10;MjGeSHO2zyuy1bESpdCu2j2FKyh3yKCDbga95QuJUZbMh2vmcOiQDlzLcIVHpQBTg71ESQ3u+7/u&#10;oz/OAlopaXCIC+q/bZgTlKgPBqdk0s/zOPVJyUenA1TcsWV1bDEbfQFIWR9/AJYnMfoHdRArB/oL&#10;bu88RkUTMxxjFzQcxIvQrRZuPxfzeXLCObcsLM2N5RE6EmZgvglQydTISFPHDbYoKjjpqVn7rYyr&#10;dKwnr4c/0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ptSxpdMAAAAGAQAADwAAAAAAAAABACAA&#10;AAA4AAAAZHJzL2Rvd25yZXYueG1sUEsBAhQAFAAAAAgAh07iQPrVg6puAgAA0QQAAA4AAAAAAAAA&#10;AQAgAAAAOAEAAGRycy9lMm9Eb2MueG1sUEsFBgAAAAAGAAYAWQEAABgGA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晾干</w:t>
                              </w:r>
                            </w:p>
                          </w:txbxContent>
                        </v:textbox>
                      </v:shape>
                      <v:line id="直线 224" o:spid="_x0000_s1026" o:spt="20" style="position:absolute;left:2000885;top:4180205;height:241300;width:0;" filled="f" stroked="t" coordsize="21600,21600" o:gfxdata="UEsFBgAAAAAAAAAAAAAAAAAAAAAAAFBLAwQKAAAAAACHTuJAAAAAAAAAAAAAAAAABAAAAGRycy9Q&#10;SwMEFAAAAAgAh07iQNYvV2HYAAAABgEAAA8AAABkcnMvZG93bnJldi54bWxNj8FOwzAQRO9I/IO1&#10;SNyonaKGKMTpAalcWkBtEYKbGy9JRLyOYqcNf8/SC1xGWs1o5m2xnFwnjjiE1pOGZKZAIFXetlRr&#10;eN2vbjIQIRqypvOEGr4xwLK8vChMbv2JtnjcxVpwCYXcaGhi7HMpQ9WgM2HmeyT2Pv3gTORzqKUd&#10;zInLXSfnSqXSmZZ4oTE9PjRYfe1Gp2G7Wa2zt/U4VcPHY/K8f9k8vYdM6+urRN2DiDjFvzD84jM6&#10;lMx08CPZIDoN/Eg8K3t3i/QWxIFDap4uQJaF/I9f/gBQSwMEFAAAAAgAh07iQMEdkp73AQAA4QMA&#10;AA4AAABkcnMvZTJvRG9jLnhtbK1TzY7TMBC+I/EOlu80aWihGzXdw5blgqAS8ABTx0ks+U8eb9M+&#10;C6/BiQuPs6/B2CnbZRHSHsjBGXvG38z3zXh9fTSaHWRA5WzD57OSM2mFa5XtG/71y+2rFWcYwbag&#10;nZUNP0nk15uXL9ajr2XlBqdbGRiBWKxH3/AhRl8XBYpBGsCZ89KSs3PBQKRt6Is2wEjoRhdVWb4p&#10;RhdaH5yQiHS6nZz8jBieA+i6Tgm5deLOSBsn1CA1RKKEg/LIN7narpMifuo6lJHphhPTmFdKQvY+&#10;rcVmDXUfwA9KnEuA55TwhJMBZSnpA9QWIrC7oP6CMkoEh66LM+FMMRHJihCLeflEm88DeJm5kNTo&#10;H0TH/wcrPh52gam24W+p7xYMdfz+2/f7Hz9ZVS2SPKPHmqJu7C6cd+h3IXE9dsGkP7Fgx4ZTc8vV&#10;asnZqeGL+aqsyuUkrzxGJiiANBfkqxbz12VWvrhg+IDxvXSGJaPhWtlEHGo4fMBIeSn0d0g61paN&#10;Db9aVpROAE1hR90n03higrbPd9Fp1d4qrdMNDP3+Rgd2gDQJ+UvVEe4fYSnJFnCY4rJrIjFIaN/Z&#10;lsWTJ4ksPQ2eSjCy5UxLeknJIkCoIyh9iYxBge31P6IpvbZURRJ5kjVZe9eestr5nDqf6zxPaRqt&#10;x/t8+/IyN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1i9XYdgAAAAGAQAADwAAAAAAAAABACAA&#10;AAA4AAAAZHJzL2Rvd25yZXYueG1sUEsBAhQAFAAAAAgAh07iQMEdkp73AQAA4QMAAA4AAAAAAAAA&#10;AQAgAAAAPQEAAGRycy9lMm9Eb2MueG1sUEsFBgAAAAAGAAYAWQEAAKYFAAAAAA==&#10;">
                        <v:fill on="f" focussize="0,0"/>
                        <v:stroke color="#000000" joinstyle="round" endarrow="block"/>
                        <v:imagedata o:title=""/>
                        <o:lock v:ext="edit" aspectratio="f"/>
                      </v:line>
                      <v:shape id="文本框 2" o:spid="_x0000_s1026" o:spt="202" type="#_x0000_t202" style="position:absolute;left:1635125;top:4919345;height:241935;width:74041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AXo0JJawIAANEEAAAOAAAA&#10;ZHJzL2Uyb0RvYy54bWytVM1u2zAMvg/YOwi6r45Tp12COEWWIsOAYi3QDTsrshwLk0RNUmJ3D7C+&#10;wU677L7nynOMkpP+7tDDcnAo8fNH8iPp6VmnFdkK5yWYkuZHA0qE4VBJsy7p50/LN28p8YGZiikw&#10;oqQ3wtOz2etX09ZOxBAaUJVwBEmMn7S2pE0IdpJlnjdCM38EVhh01uA0C3h066xyrEV2rbLhYHCS&#10;teAq64AL7/H2vHfSPaN7CSHUteTiHPhGCxN6VicUC1iSb6T1dJayrWvBw2VdexGIKilWGtITg6C9&#10;is9sNmWTtWO2kXyfAntJCk9q0kwaDHpHdc4CIxsnn1FpyR14qMMRB531hSRFsIp88ESb64ZZkWpB&#10;qb29E93/P1r+cXvliKxKejqmxDCNHd/9vN39+rP7/YMMoz6t9ROEXVsEhu4ddDg1h3uPl7HsrnY6&#10;/mNBJPpPjkf5cETJTUmLcT4+Lka90qILhCPgtBgUOfaAI2BYICD5s3si63x4L0CTaJTUYSOTvmx7&#10;4QMmhdADJMb1oGS1lEqlg1uvFsqRLcOmL9MvRsdXHsGUIW1JMdNBYn7ki9x3FCvF+NfnDMinTIwn&#10;0pzt84pq9apEK3Srbi/hCqobVNBBP4Pe8qXEKBfMhyvmcOhQDlzLcImPWgGmBnuLkgbc93/dRzzO&#10;AnopaXGIS+q/bZgTlKgPBqdknBdFnPp0KEanQzy4h57VQ4/Z6AWgZDl+ACxPZsQHdTBrB/oLbu88&#10;RkUXMxxjlzQczEXoVwu3n4v5PIFwzi0LF+ba8kgdBTMw3wSoZWpklKnXBlsUDzjpqVn7rYyr9PCc&#10;UPdfot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ptSxpdMAAAAGAQAADwAAAAAAAAABACAAAAA4&#10;AAAAZHJzL2Rvd25yZXYueG1sUEsBAhQAFAAAAAgAh07iQBejQklrAgAA0QQAAA4AAAAAAAAAAQAg&#10;AAAAOAEAAGRycy9lMm9Eb2MueG1sUEsFBgAAAAAGAAYAWQEAABUGA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晾干</w:t>
                              </w:r>
                            </w:p>
                          </w:txbxContent>
                        </v:textbox>
                      </v:shape>
                      <v:shape id="文本框 2" o:spid="_x0000_s1026" o:spt="202" type="#_x0000_t202" style="position:absolute;left:1642745;top:4431665;height:241935;width:740410;"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DabU+KbAIAANEEAAAOAAAA&#10;ZHJzL2Uyb0RvYy54bWytVM1u2zAMvg/YOwi6r45TJ22DOEXWIsOAYi2QDTsrshwLk0RNUmJ3D7C9&#10;wU677L7nynOMkpP+7tDDfJBJkf5IfiQ9Pe+0IlvhvART0vxoQIkwHCpp1iX99HHx5pQSH5ipmAIj&#10;SnorPD2fvX41be1EDKEBVQlHEMT4SWtL2oRgJ1nmeSM080dghUFjDU6zgKpbZ5VjLaJrlQ0Hg3HW&#10;gqusAy68x9vL3kj3iO4lgFDXkotL4BstTOhRnVAsYEm+kdbTWcq2rgUP13XtRSCqpFhpSCcGQXkV&#10;z2w2ZZO1Y7aRfJ8Ce0kKT2rSTBoMegd1yQIjGyefQWnJHXiowxEHnfWFJEawinzwhJtlw6xItSDV&#10;3t6R7v8fLP+wvXFEViU9RUoM09jx3c8fu19/dr+/k2Hkp7V+gm5Li46hewsdTs3h3uNlLLurnY5v&#10;LIhE+7gYnhQjSm5LWhTH+Xg86pkWXSAcHU6KQZFjQI4OwyI/O0727B7IOh/eCdAkCiV12MjEL9te&#10;+YBJoevBJcb1oGS1kEolxa1XF8qRLcOmL9ITo+Mnj9yUIW1Jx8ejQUJ+ZIvYdxArxfiX5wiIp0yM&#10;J9Kc7fOKbPWsRCl0q25P4QqqW2TQQT+D3vKFxChXzIcb5nDokA5cy3CNR60AU4O9REkD7tu/7qM/&#10;zgJaKWlxiEvqv26YE5So9wan5CwvCoQNSSlGJ0NU3EPL6qHFbPQFIGU5/gAsT2L0D+og1g70Z9ze&#10;eYyKJmY4xi5pOIgXoV8t3H4u5vPkhHNuWbgyS8sjdCTMwHwToJapkZGmnhtsUVRw0lOz9lsZV+mh&#10;nrzu/0S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KbUsaXTAAAABgEAAA8AAAAAAAAAAQAgAAAA&#10;OAAAAGRycy9kb3ducmV2LnhtbFBLAQIUABQAAAAIAIdO4kDabU+KbAIAANEEAAAOAAAAAAAAAAEA&#10;IAAAADgBAABkcnMvZTJvRG9jLnhtbFBLBQYAAAAABgAGAFkBAAAWBg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二道漆</w:t>
                              </w:r>
                            </w:p>
                          </w:txbxContent>
                        </v:textbox>
                      </v:shape>
                      <v:line id="直线 224" o:spid="_x0000_s1026" o:spt="20" style="position:absolute;left:1993265;top:4683125;height:241300;width:0;" filled="f" stroked="t" coordsize="21600,21600" o:gfxdata="UEsFBgAAAAAAAAAAAAAAAAAAAAAAAFBLAwQKAAAAAACHTuJAAAAAAAAAAAAAAAAABAAAAGRycy9Q&#10;SwMEFAAAAAgAh07iQNYvV2HYAAAABgEAAA8AAABkcnMvZG93bnJldi54bWxNj8FOwzAQRO9I/IO1&#10;SNyonaKGKMTpAalcWkBtEYKbGy9JRLyOYqcNf8/SC1xGWs1o5m2xnFwnjjiE1pOGZKZAIFXetlRr&#10;eN2vbjIQIRqypvOEGr4xwLK8vChMbv2JtnjcxVpwCYXcaGhi7HMpQ9WgM2HmeyT2Pv3gTORzqKUd&#10;zInLXSfnSqXSmZZ4oTE9PjRYfe1Gp2G7Wa2zt/U4VcPHY/K8f9k8vYdM6+urRN2DiDjFvzD84jM6&#10;lMx08CPZIDoN/Eg8K3t3i/QWxIFDap4uQJaF/I9f/gBQSwMEFAAAAAgAh07iQNBiLNL4AQAA4gMA&#10;AA4AAABkcnMvZTJvRG9jLnhtbK1TS44TMRDdI3EHy3vSSeejSSudWUwYNggiAQeouN3dlvyTy5NO&#10;zsI1WLHhOHMNyu4wgUFIs6AX7rL9/Krec3lzezKaHWVA5WzNZ5MpZ9IK1yjb1fzL5/s3N5xhBNuA&#10;dlbW/CyR325fv9oMvpKl651uZGBEYrEafM37GH1VFCh6aQAnzktLm60LBiJNQ1c0AQZiN7oop9NV&#10;MbjQ+OCERKTV3bjJL4zhJYSubZWQOycejLRxZA1SQyRJ2CuPfJurbVsp4se2RRmZrjkpjXmkJBQf&#10;0lhsN1B1AXyvxKUEeEkJzzQZUJaSPlHtIAJ7COovKqNEcOjaOBHOFKOQ7AipmE2fefOpBy+zFrIa&#10;/ZPp+P9oxYfjPjDVUCcsF5xZMHTlj1+/PX7/wcpykfwZPFYEu7P7cJmh34ck9tQGk/4kg52IYb2e&#10;l6slZ+eaL1Y381m5HP2Vp8gEAch0QXvlYjafZuuLK4cPGN9JZ1gKaq6VTcqhguN7jJSXoL8gaVlb&#10;NtR8vaQUTAC1YUvXT6HxJAVtl8+i06q5V1qnExi6w50O7AipFfKXqiPeP2ApyQ6wH3F5axTRS2je&#10;2obFsyeLLL0NnkowsuFMS3pKKSJCqCIofUXGoMB2+h9oSq8tVZFMHm1N0cE15+x2Xqerz3Ve2jT1&#10;1u/zfPr6N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NYvV2HYAAAABgEAAA8AAAAAAAAAAQAg&#10;AAAAOAAAAGRycy9kb3ducmV2LnhtbFBLAQIUABQAAAAIAIdO4kDQYizS+AEAAOIDAAAOAAAAAAAA&#10;AAEAIAAAAD0BAABkcnMvZTJvRG9jLnhtbFBLBQYAAAAABgAGAFkBAACnBQAAAAA=&#10;">
                        <v:fill on="f" focussize="0,0"/>
                        <v:stroke color="#000000" joinstyle="round" endarrow="block"/>
                        <v:imagedata o:title=""/>
                        <o:lock v:ext="edit" aspectratio="f"/>
                      </v:line>
                      <v:line id="直线 224" o:spid="_x0000_s1026" o:spt="20" style="position:absolute;left:1997710;top:5641340;flip:x;height:205105;width:3810;"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GZi88f8BAADvAwAA&#10;DgAAAGRycy9lMm9Eb2MueG1srVNLbtswEN0X6B0I7mt9YjmxYDmLuGkXRWsg7QHGFCUR4A8kY9ln&#10;6TW66qbHyTU6pNSkTVEgi2pBzHAeH+c9DTfXJyXJkTsvjG5oscgp4ZqZVui+oV8+3765osQH0C1I&#10;o3lDz9zT6+3rV5vR1rw0g5EtdwRJtK9H29AhBFtnmWcDV+AXxnKNxc44BQFT12etgxHZlczKPF9l&#10;o3GtdYZx73F3NxXpzOheQmi6TjC+M+xecR0mVsclBJTkB2E93aZuu46z8KnrPA9ENhSVhrTiJRgf&#10;4pptN1D3Duwg2NwCvKSFZ5oUCI2XPlLtIAC5d+IvKiWYM950YcGMyiYhyRFUUeTPvLkbwPKkBa32&#10;9tF0//9o2cfj3hHR4iRUK0o0KPzlD1+/PXz/QcpyGf0Zra8RdqP3bs683bso9tQ5RTop7Hs8nuSj&#10;IHLCZL2+vCzQ43NDq9WyuFjOTvNTIAwBF1exyrBc5lWRV/GebCKMxNb58I4bRWLQUCl0tAFqOH7w&#10;YYL+gsRtqcnY0HVVVsgJOJMdzgKGyqIur/t01hsp2lshZTzhXX+4kY4cIc5F+uYW/oDFS3bghwmX&#10;ShEG9cChfatbEs4W/dL4UGhsQfGWEsnxXcUoIQMI+YQMToDu5T/Q6IDUaER0fPI4RgfTnpP1aR/n&#10;IFk1z2wctN/zdPrpnW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Dzwu/TXAAAABgEAAA8AAAAA&#10;AAAAAQAgAAAAOAAAAGRycy9kb3ducmV2LnhtbFBLAQIUABQAAAAIAIdO4kAZmLzx/wEAAO8DAAAO&#10;AAAAAAAAAAEAIAAAADwBAABkcnMvZTJvRG9jLnhtbFBLBQYAAAAABgAGAFkBAACtBQAAAAA=&#10;">
                        <v:fill on="f" focussize="0,0"/>
                        <v:stroke color="#000000" joinstyle="round" endarrow="block"/>
                        <v:imagedata o:title=""/>
                        <o:lock v:ext="edit" aspectratio="f"/>
                      </v:line>
                      <v:line id="直线 224" o:spid="_x0000_s1026" o:spt="20" style="position:absolute;left:2016760;top:6127115;flip:x;height:205105;width:3810;"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79zsJAACAADvAwAA&#10;DgAAAGRycy9lMm9Eb2MueG1srVNLjhMxEN0jcQfLe9IfSGZopTOLCQMLBJGAA1T86bbkn2xPOjkL&#10;12DFhuPMNSi7wwwMQpoFvbDKrudX9V6X11dHo8lBhKic7WmzqCkRljmu7NDTL59vXlxSEhNYDtpZ&#10;0dOTiPRq8/zZevKdaN3oNBeBIImN3eR7Oqbku6qKbBQG4sJ5YTEpXTCQcBuGigeYkN3oqq3rVTW5&#10;wH1wTMSIp9s5Sc+M4SmETkrFxNaxWyNsmlmD0JBQUhyVj3RTupVSsPRRyigS0T1FpamsWATjfV6r&#10;zRq6IYAfFTu3AE9p4ZEmA8pi0XuqLSQgt0H9RWUUCy46mRbMmWoWUhxBFU39yJtPI3hRtKDV0d+b&#10;Hv8fLftw2AWiOE7C8oISCwZ/+d3Xb3fff5C2fZX9mXzsEHZtd+G8i34XstijDIZIrfw7vF7koyBy&#10;7ClqWV2s0ONTT1dNe9E0y9lpcUyEIeDlZYNZhum2XjZ1yVYzYSb2Iaa3whmSg55qZbMN0MHhfUzY&#10;BEJ/QfKxtmTq6etlu0ROwJmUOAsYGo+6oh3K3ei04jdK63wjhmF/rQM5QJ6L8uUGkfcPWC6yhTjO&#10;uJKadYwC+BvLSTp59MviQ6G5BSM4JVrgu8oREkKXQOkHZAoK7KD/gcby2mIX2fHZ4xztHT8V68s5&#10;zkHp8zyzedB+35fbD+90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88Lv01wAAAAYBAAAPAAAA&#10;AAAAAAEAIAAAADgAAABkcnMvZG93bnJldi54bWxQSwECFAAUAAAACACHTuJA79zsJAACAADvAwAA&#10;DgAAAAAAAAABACAAAAA8AQAAZHJzL2Uyb0RvYy54bWxQSwUGAAAAAAYABgBZAQAArgUAAAAA&#10;">
                        <v:fill on="f" focussize="0,0"/>
                        <v:stroke color="#000000" joinstyle="round" endarrow="block"/>
                        <v:imagedata o:title=""/>
                        <o:lock v:ext="edit" aspectratio="f"/>
                      </v:line>
                      <v:line id="直线 224" o:spid="_x0000_s1026" o:spt="20" style="position:absolute;left:1996440;top:5173345;flip:x;height:205105;width:3810;"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ubaoMgICAADvAwAA&#10;DgAAAGRycy9lMm9Eb2MueG1srVNLbtswEN0X6B0I7mvJspXGguUs4qZdFK2BtgcYU6REgD+QjGWf&#10;pdfoqpseJ9fokHKTJkGBLKoFMcOZeTPvabi+OmpFDtwHaU1L57OSEm6Y7aTpW/rt682bS0pCBNOB&#10;soa39MQDvdq8frUeXcMrO1jVcU8QxIRmdC0dYnRNUQQ2cA1hZh03GBTWa4jo+r7oPIyIrlVRleVF&#10;MVrfOW8ZDwFvt1OQnhH9SwCtEJLxrWW3mps4oXquICKlMEgX6CZPKwRn8bMQgUeiWopMYz6xCdr7&#10;dBabNTS9BzdIdh4BXjLCE04apMGm91BbiEBuvXwGpSXzNlgRZ8zqYiKSFUEW8/KJNl8GcDxzQamD&#10;uxc9/D9Y9umw80R2uAk1/ngDGn/53fcfdz9/kapaJn1GFxpMuzY7f/aC2/lE9ii8JkJJ9wHLM30k&#10;RI7orFYXyyVqfGppPX+7WCzrSWl+jIRhwuJyjlGG4aqs52WOFhNgAnY+xPfcapKMlippkgzQwOFj&#10;iDgEpv5JSdfKkLGlq7qqERNwJwXuApraIa9g+lwbrJLdjVQqVQTf76+VJwdIe5G/NCDiPkpLTbYQ&#10;hikvhyYeA4funelIPDnUy+BDoWkEzTtKFMd3lSwEhCaCVA+Z0UswvfpHNrZXBqdIik8aJ2tvu1OW&#10;Pt/jHuQ5zzubFu1vP1c/vNP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Dzwu/TXAAAABgEAAA8A&#10;AAAAAAAAAQAgAAAAOAAAAGRycy9kb3ducmV2LnhtbFBLAQIUABQAAAAIAIdO4kC5tqgyAgIAAO8D&#10;AAAOAAAAAAAAAAEAIAAAADwBAABkcnMvZTJvRG9jLnhtbFBLBQYAAAAABgAGAFkBAACwBQAAAAA=&#10;">
                        <v:fill on="f" focussize="0,0"/>
                        <v:stroke color="#000000" joinstyle="round" endarrow="block"/>
                        <v:imagedata o:title=""/>
                        <o:lock v:ext="edit" aspectratio="f"/>
                      </v:line>
                      <v:shape id="直接箭头连接符 29" o:spid="_x0000_s1026" o:spt="32" type="#_x0000_t32" style="position:absolute;left:2398395;top:4049395;flip:y;height:0;width:2794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Kf4fJkZAgAABgQAAA4AAABk&#10;cnMvZTJvRG9jLnhtbK1TzY7TMBC+I/EOlu802W4XNlHTPbQsFwSV+Lm7tpNY8p883qZ9CV4AiRNw&#10;Ak5752lgeQzGTtmFRUh7IIdonMx8833fjOdnO6PJVgZQzjb0aFJSIi13Qtmuoa9enj84pQQis4Jp&#10;Z2VD9xLo2eL+vfngazl1vdNCBoIgFurBN7SP0ddFAbyXhsHEeWnxZ+uCYRGPoStEYAOiG11My/Jh&#10;MbggfHBcAuDX1fiTHhDDXQBd2youV45fGGnjiBqkZhElQa880EVm27aSx+dtCzIS3VBUGvMbm2C8&#10;Se9iMWd1F5jvFT9QYHehcEuTYcpi02uoFYuMXAT1F5RRPDhwbZxwZ4pRSHYEVRyVt7x50TMvsxa0&#10;Gvy16fD/YPmz7ToQJXATZpRYZnDiV28vv7/5cPXl87f3lz++vkvxp49kWiWzBg811iztOhxO4Nch&#10;Kd+1wZBWK/8asbIXqI7sGjo9rk6PqxNK9g2dlbMqxdl2uYuEp4RH1azEgXBMyBMpRrSE6gPEJ9IZ&#10;koKGQgxMdX1cOmtxti6Mndj2KUTExMJfBalYWzI0tDqZYnPOcFdb3BEMjUe9YLvMEpxW4lxpnSog&#10;dJulDmTL0r7kJ3FF3D/SUpMVg37MExiNinrJxGMrSNx79NHi/aGJgZGCEi3xuqUoa49M6ZvMGBSz&#10;nf5HNnbXFkkk70e3U7RxYp+HkL/jemSah1VO+/f7OVffXN/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I2lZcDSAAAABgEAAA8AAAAAAAAAAQAgAAAAOAAAAGRycy9kb3ducmV2LnhtbFBLAQIUABQA&#10;AAAIAIdO4kCn+HyZGQIAAAYEAAAOAAAAAAAAAAEAIAAAADcBAABkcnMvZTJvRG9jLnhtbFBLBQYA&#10;AAAABgAGAFkBAADCBQAAAAA=&#10;">
                        <v:fill on="f" focussize="0,0"/>
                        <v:stroke color="#000000" joinstyle="round" dashstyle="dash" endarrow="block"/>
                        <v:imagedata o:title=""/>
                        <o:lock v:ext="edit" aspectratio="f"/>
                      </v:shape>
                      <v:shape id="直接箭头连接符 29" o:spid="_x0000_s1026" o:spt="32" type="#_x0000_t32" style="position:absolute;left:2395220;top:4557395;flip:y;height:0;width:2794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OZ1omAZAgAABgQAAA4AAABk&#10;cnMvZTJvRG9jLnhtbK1TzW4TMRC+I/EOlu9kt0tDySqbHhLKBUEkfu4T27tryX+y3WzyErwAEifg&#10;VDj1ztNAeQzG3tBCEVIP7GE1tme++b7P4/npTiuyFT5Iaxp6NCkpEYZZLk3X0Nevzh48piREMByU&#10;NaKhexHo6eL+vfngalHZ3iouPEEQE+rBNbSP0dVFEVgvNISJdcLgYWu9hohL3xXcw4DoWhVVWT4q&#10;Buu585aJEHB3NR7SA6K/C6BtW8nEyrJzLUwcUb1QEFFS6KULdJHZtq1g8UXbBhGJaigqjfmPTTDe&#10;pH+xmEPdeXC9ZAcKcBcKtzRpkAabXkOtIAI59/IvKC2Zt8G2ccKsLkYh2RFUcVTe8uZlD05kLWh1&#10;cNemh/8Hy55v155I3tCqosSAxhu/enf5/e3Hqy+fv324/PH1fYovPpFqlswaXKixZmnW/rAKbu2T&#10;8l3rNWmVdG9wqrIXqI7sEPjhbFpVaPi+ocfT6QkuR9vFLhKWEk5mxyWeM0zIN1KMaAnV+RCfCqtJ&#10;ChoaogfZ9XFpjcG7tX7sBNtnISIfLPxVkIqVIUNDsfsUwQFntcUZwVA71BtMl1kGqyQ/k0qliuC7&#10;zVJ5soU0L/lLXBH3j7TUZAWhH/M4RqOiXgB/YjiJe4c+Gnw/NDHQglOiBD63FCEe1BGkusmMXoLp&#10;1D+ysbsySCJ5P7qdoo3l+3wJeR/HI9M8jHKav9/Xufrm+S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I2lZcDSAAAABgEAAA8AAAAAAAAAAQAgAAAAOAAAAGRycy9kb3ducmV2LnhtbFBLAQIUABQA&#10;AAAIAIdO4kDmdaJgGQIAAAYEAAAOAAAAAAAAAAEAIAAAADcBAABkcnMvZTJvRG9jLnhtbFBLBQYA&#10;AAAABgAGAFkBAADCBQAAAAA=&#10;">
                        <v:fill on="f" focussize="0,0"/>
                        <v:stroke color="#000000" joinstyle="round" dashstyle="dash" endarrow="block"/>
                        <v:imagedata o:title=""/>
                        <o:lock v:ext="edit" aspectratio="f"/>
                      </v:shape>
                      <v:shape id="直接箭头连接符 29" o:spid="_x0000_s1026" o:spt="32" type="#_x0000_t32" style="position:absolute;left:2389505;top:5042535;flip:y;height:0;width:2794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A8FkDQcAgAABgQAAA4AAABk&#10;cnMvZTJvRG9jLnhtbK1TzW7UMBC+I/EOlu9s0mwD3WizPexSLggq8XOftZ3Ekv9ku/vzErwAEifg&#10;BJx652mgPAZjZ2mhCKkHcojGycw33/fNeH6604pshA/SmpYeTUpKhGGWS9O39NXLswcnlIQIhoOy&#10;RrR0LwI9Xdy/N9+6RlR2sIoLTxDEhGbrWjrE6JqiCGwQGsLEOmHwZ2e9hohH3xfcwxbRtSqqsnxY&#10;bK3nzlsmQsCvq/EnPSD6uwDarpNMrCy70MLEEdULBRElhUG6QBeZbdcJFp93XRCRqJai0pjf2ATj&#10;dXoXizk0vQc3SHagAHehcEuTBmmw6TXUCiKQCy//gtKSeRtsFyfM6mIUkh1BFUflLW9eDOBE1oJW&#10;B3dtevh/sOzZ5twTyVs6rSgxoHHiV28vv7/5cPXl87f3lz++vkvxp4+kmiWzti40WLM05/5wCu7c&#10;J+W7zmvSKele41ZlL1Ad2bW0mp7M6rKmZN/Sujyu6mk92i52kbCU8Gh2XOJAGCbkiRQjWkJ1PsQn&#10;wmqSgpaG6EH2Q1xaY3C21o+dYPM0ROSDhb8KUrEyZNvSWV1hcwa4qx3uCIbaod5g+swyWCX5mVQq&#10;VQTfr5fKkw2kfclP4oq4f6SlJisIw5jHMRoVDQL4Y8NJ3Dv00eD9oYmBFpwSJfC6pQjxoIkg1U1m&#10;9BJMr/6Rjd2VQRLJ+9HtFK0t3+ch5O+4HpnmYZXT/v1+ztU313f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I2lZcDSAAAABgEAAA8AAAAAAAAAAQAgAAAAOAAAAGRycy9kb3ducmV2LnhtbFBLAQIU&#10;ABQAAAAIAIdO4kAPBZA0HAIAAAYEAAAOAAAAAAAAAAEAIAAAADcBAABkcnMvZTJvRG9jLnhtbFBL&#10;BQYAAAAABgAGAFkBAADFBQAAAAA=&#10;">
                        <v:fill on="f" focussize="0,0"/>
                        <v:stroke color="#000000" joinstyle="round" dashstyle="dash" endarrow="block"/>
                        <v:imagedata o:title=""/>
                        <o:lock v:ext="edit" aspectratio="f"/>
                      </v:shape>
                      <v:line id="直线 224" o:spid="_x0000_s1026" o:spt="20" style="position:absolute;left:1323975;top:1818640;height:3175;width:236855;" filled="f" stroked="t" coordsize="21600,21600" o:gfxdata="UEsFBgAAAAAAAAAAAAAAAAAAAAAAAFBLAwQKAAAAAACHTuJAAAAAAAAAAAAAAAAABAAAAGRycy9Q&#10;SwMEFAAAAAgAh07iQNYvV2HYAAAABgEAAA8AAABkcnMvZG93bnJldi54bWxNj8FOwzAQRO9I/IO1&#10;SNyonaKGKMTpAalcWkBtEYKbGy9JRLyOYqcNf8/SC1xGWs1o5m2xnFwnjjiE1pOGZKZAIFXetlRr&#10;eN2vbjIQIRqypvOEGr4xwLK8vChMbv2JtnjcxVpwCYXcaGhi7HMpQ9WgM2HmeyT2Pv3gTORzqKUd&#10;zInLXSfnSqXSmZZ4oTE9PjRYfe1Gp2G7Wa2zt/U4VcPHY/K8f9k8vYdM6+urRN2DiDjFvzD84jM6&#10;lMx08CPZIDoN/Eg8K3t3i/QWxIFDap4uQJaF/I9f/gBQSwMEFAAAAAgAh07iQJ7wSDr1AQAA5AMA&#10;AA4AAABkcnMvZTJvRG9jLnhtbK1TS27bMBDdF+gdCO5r2XLsOoLlLOKmm6I1kPYAY4qSCPAHDmPZ&#10;Z+k1uuqmx8k1OqTVuE1RIItqQQ05j4/zHofrm6PR7CADKmdrPptMOZNWuEbZruZfPt+9WXGGEWwD&#10;2llZ85NEfrN5/Wo9+EqWrne6kYERicVq8DXvY/RVUaDopQGcOC8tJVsXDESahq5oAgzEbnRRTqfL&#10;YnCh8cEJiUir23OSj4zhJYSubZWQWycejLTxzBqkhkiSsFce+SZX27ZSxE9tizIyXXNSGvNIh1C8&#10;T2OxWUPVBfC9EmMJ8JISnmkyoCwd+kS1hQjsIai/qIwSwaFr40Q4U5yFZEdIxWz6zJv7HrzMWshq&#10;9E+m4/+jFR8Pu8BUU/NFyZkFQzf++PXb4/cfrCyvkj2Dx4pQt3YXxhn6XUhaj20w6U8q2JFaaV7O&#10;r98uODtRvJqtllejvfIYmSBAOV+uFpQXBJjPCEl8xYXGB4zvpTMsBTXXyibtUMHhA8Yz9BckLWvL&#10;hppfL8rECNSILTUAhcaTGLRd3otOq+ZOaZ12YOj2tzqwA6RmyN9Ywh+wdMgWsD/jcirBoOolNO9s&#10;w+LJk0uWXgdPJRjZcKYlPaYUZWQEpS/IGBTYTv8DTQ5oS0Ykn8/OpmjvmlM2PK/T5WerxkZN3fX7&#10;PO++PM7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YvV2HYAAAABgEAAA8AAAAAAAAAAQAgAAAA&#10;OAAAAGRycy9kb3ducmV2LnhtbFBLAQIUABQAAAAIAIdO4kCe8Eg69QEAAOQDAAAOAAAAAAAAAAEA&#10;IAAAAD0BAABkcnMvZTJvRG9jLnhtbFBLBQYAAAAABgAGAFkBAACkBQAAAAA=&#10;">
                        <v:fill on="f" focussize="0,0"/>
                        <v:stroke color="#000000" joinstyle="round" endarrow="block"/>
                        <v:imagedata o:title=""/>
                        <o:lock v:ext="edit" aspectratio="f"/>
                      </v:line>
                      <v:shape id="_x0000_s1026" o:spid="_x0000_s1026" o:spt="202" type="#_x0000_t202" style="position:absolute;left:2694305;top:3927475;height:259715;width:141351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JEzQ5jhAQAAmAMA&#10;AA4AAABkcnMvZTJvRG9jLnhtbK1TS44TMRDdI3EHy3vSn6QT0oozEkTDBgHSwAEctzttyT9sJ93h&#10;AHADVmzYz7lyDsruJDOa2cyCTbddn1f1XpVXN4OS6MCdF0YTXExyjLhmphF6R/C3r7dv3mLkA9UN&#10;lUZzgo/c45v161er3ta8NJ2RDXcIQLSve0twF4Kts8yzjivqJ8ZyDc7WOEUDXN0uaxztAV3JrMzz&#10;edYb11hnGPcerJvRic+I7iWApm0F4xvD9orrMKI6LmkASr4T1uN16rZtOQuf29bzgCTBwDSkLxSB&#10;8zZ+s/WK1jtHbSfYuQX6khaecFJUaCh6hdrQQNHeiWdQSjBnvGnDhBmVjUSSIsCiyJ9oc9dRyxMX&#10;kNrbq+j+/8GyT4cvDomG4PkcI00VTPz0+9fpz/3p708ENhCot76GuDsLkWF4ZwZYm4vdgzHyHlqn&#10;4h8YIfCX8+VsmlcYHQmeLsvFbFGNUvMhIBYBZsW0KmAKDCLKarkoUkD2gGSdDx+4USgeCHYwyqQw&#10;PXz0AbqC0EtILKzNrZAyjVNq1AOfaZWnhKsHMqSGxMhn7DuewrAdziS3pjkCR3gcULAz7gdGPawG&#10;wf77njqOEdUMzASHy/F9GHdpb53YdZCVhEkVYGCpyfNyxY14fE99PDyo9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ufBkh2AAAAAYBAAAPAAAAAAAAAAEAIAAAADgAAABkcnMvZG93bnJldi54bWxQ&#10;SwECFAAUAAAACACHTuJAkTNDmOEBAACYAwAADgAAAAAAAAABACAAAAA9AQAAZHJzL2Uyb0RvYy54&#10;bWxQSwUGAAAAAAYABgBZAQAAkAUAAAAA&#10;">
                        <v:fill on="f" focussize="0,0"/>
                        <v:stroke on="f" weight="0.5pt"/>
                        <v:imagedata o:title=""/>
                        <o:lock v:ext="edit" aspectratio="f"/>
                        <v:textbox>
                          <w:txbxContent>
                            <w:p>
                              <w:pPr>
                                <w:jc w:val="left"/>
                                <w:rPr>
                                  <w:rFonts w:hint="default" w:eastAsia="宋体"/>
                                  <w:sz w:val="20"/>
                                  <w:szCs w:val="20"/>
                                  <w:lang w:val="en-US" w:eastAsia="zh-CN"/>
                                </w:rPr>
                              </w:pPr>
                              <w:r>
                                <w:rPr>
                                  <w:rFonts w:hint="eastAsia"/>
                                  <w:sz w:val="20"/>
                                  <w:szCs w:val="20"/>
                                  <w:lang w:val="en-US" w:eastAsia="zh-CN"/>
                                </w:rPr>
                                <w:t>G6晾干废气</w:t>
                              </w:r>
                            </w:p>
                          </w:txbxContent>
                        </v:textbox>
                      </v:shape>
                      <v:shape id="_x0000_s1026" o:spid="_x0000_s1026" o:spt="202" type="#_x0000_t202" style="position:absolute;left:2673350;top:4925060;height:259715;width:141351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Dq4NR7eAQAAmAMA&#10;AA4AAABkcnMvZTJvRG9jLnhtbK1TS27bMBDdF8gdCO5jfRw5iWA6QGukm6ItkPQANEVZBPgrSVty&#10;D9DeoKtuus+5fI4MKTlp000W3VDDmdGbeW+Gy5tBSbTnzgujCS5mOUZcM9MIvSX4y/3t+RVGPlDd&#10;UGk0J/jAPb5Znb1Z9rbmpemMbLhDAKJ93VuCuxBsnWWedVxRPzOWawi2xika4Oq2WeNoD+hKZmWe&#10;L7LeuMY6w7j34F2PQTwhutcAmrYVjK8N2ymuw4jquKQBKPlOWI9Xqdu25Sx8alvPA5IEA9OQTigC&#10;9iae2WpJ662jthNsaoG+poUXnBQVGoo+Qa1poGjnxD9QSjBnvGnDjBmVjUSSIsCiyF9oc9dRyxMX&#10;kNrbJ9H9/4NlH/efHRINwVclRpoqmPjx54/jr4fj7+8IfCBQb30NeXcWMsPw1gywNie/B2fkPbRO&#10;xS8wQhAvF5fzeQUiHwi+uC6rfDFJzYeAWAS4KOZVAQkMMsrq+rKoImT2jGSdD++5USgaBDsYZVKY&#10;7j/4MKaeUmJhbW6FlGmcUqOe4EWs/1cEwKWGGpHP2He0wrAZJpIb0xyAIzwOKNgZ9w2jHlaDYP91&#10;Rx3HiGoGboLDyXwXxl3aWSe2HfyVhEkVYGCJz7RccSP+vKc+nh/U6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ufBkh2AAAAAYBAAAPAAAAAAAAAAEAIAAAADgAAABkcnMvZG93bnJldi54bWxQSwEC&#10;FAAUAAAACACHTuJAOrg1Ht4BAACYAwAADgAAAAAAAAABACAAAAA9AQAAZHJzL2Uyb0RvYy54bWxQ&#10;SwUGAAAAAAYABgBZAQAAjQUAAAAA&#10;">
                        <v:fill on="f" focussize="0,0"/>
                        <v:stroke on="f" weight="0.5pt"/>
                        <v:imagedata o:title=""/>
                        <o:lock v:ext="edit" aspectratio="f"/>
                        <v:textbox>
                          <w:txbxContent>
                            <w:p>
                              <w:pPr>
                                <w:jc w:val="left"/>
                                <w:rPr>
                                  <w:rFonts w:hint="default" w:eastAsia="宋体"/>
                                  <w:sz w:val="20"/>
                                  <w:szCs w:val="20"/>
                                  <w:lang w:val="en-US" w:eastAsia="zh-CN"/>
                                </w:rPr>
                              </w:pPr>
                              <w:r>
                                <w:rPr>
                                  <w:rFonts w:hint="eastAsia"/>
                                  <w:sz w:val="20"/>
                                  <w:szCs w:val="20"/>
                                  <w:lang w:val="en-US" w:eastAsia="zh-CN"/>
                                </w:rPr>
                                <w:t>G8晾干废气</w:t>
                              </w:r>
                            </w:p>
                          </w:txbxContent>
                        </v:textbox>
                      </v:shape>
                      <v:rect id="_x0000_s1026" o:spid="_x0000_s1026" o:spt="1" style="position:absolute;left:1022350;top:3337560;height:1891030;width:3166110;v-text-anchor:middle;" filled="f" stroked="t" coordsize="21600,21600" o:gfxdata="UEsFBgAAAAAAAAAAAAAAAAAAAAAAAFBLAwQKAAAAAACHTuJAAAAAAAAAAAAAAAAABAAAAGRycy9Q&#10;SwMEFAAAAAgAh07iQCDaz63UAAAABgEAAA8AAABkcnMvZG93bnJldi54bWxNjzFPwzAQhXck/oN1&#10;SGzUTlFTFOJ0QHRiANpKrG58JFHjs2U7bfj3HCywnHR67959r97MbhRnjGnwpKFYKBBIrbcDdRoO&#10;++3dA4iUDVkzekINX5hg01xf1aay/kLveN7lTnAIpcpo6HMOlZSp7dGZtPABibVPH53JvMZO2mgu&#10;HO5GuVSqlM4MxB96E/Cpx/a0mxxjhPEt2On1dPgo5m18ti/JdGutb28K9Qgi45z/zPCDzzfQMNPR&#10;T2STGDVwkfw7WVuvynsQRzapZbkC2dTyP37zDVBLAwQUAAAACACHTuJA+Dqws3gCAADaBAAADgAA&#10;AGRycy9lMm9Eb2MueG1srVTLbhMxFN0j8Q+W93RmkjRto06qqFEQUkUrFcTa8XgylvzCdh7lZ5DY&#10;8RF8DuI3OPZMHxQWXZCFcz33+Fzf42OfXxy0Ijvhg7SmptVRSYkw3DbSbGr68cPqzSklITLTMGWN&#10;qOmdCPRi/vrV+d7NxMh2VjXCE5CYMNu7mnYxullRBN4JzcKRdcIg2VqvWcTUb4rGsz3YtSpGZTkt&#10;9tY3zlsuQsDXZZ+kA6N/CaFtW8nF0vKtFib2rF4oFtFS6KQLdJ5327aCx+u2DSISVVN0GvOIIojX&#10;aSzm52y28cx1kg9bYC/ZwrOeNJMGRR+oliwysvXyLyotubfBtvGIW130jWRF0EVVPtPmtmNO5F4g&#10;dXAPoof/R8vf7248kU1NTyeUGKZx4r++fv/54xvBB6izd2EG0K278cMsIEytHlqv0z+aIAc4qRyN&#10;xsfQ9a6m4/H45Hg6qCsOkXAAxtV0WlUAcCCq07OqHGdE8UjlfIhvhdUkBTX1OL6sKttdhYjygN5D&#10;UmVjV1KpfITKkD1YRydlKsDgyxZ+QKgdegtmQwlTGxieR58pg1WyScsTUfCb9aXyZMdgk9WqxC/1&#10;jnJ/wFLtJQtdj8up3kBaRtwJJTVkTIvvVysDkqRgr1mK1ra5g+Le9lYMjq8kaK9YiDfMw3vYP25n&#10;vMbQKoum7BBR0ln/5V/fEx6WQJaSPbyMhj9vmReUqHcGZjmrJhPQxjyZHJ+MMPFPM+unGbPVlxY6&#10;VHgHHM9hwkd1H7be6k+4xItUFSlmOGr30g6Ty9jfMTwDXCwWGQbDOxavzK3jibw/wMU22lbms31U&#10;ZxANls9nMFzPdKeezjPq8Um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g2s+t1AAAAAYBAAAP&#10;AAAAAAAAAAEAIAAAADgAAABkcnMvZG93bnJldi54bWxQSwECFAAUAAAACACHTuJA+Dqws3gCAADa&#10;BAAADgAAAAAAAAABACAAAAA5AQAAZHJzL2Uyb0RvYy54bWxQSwUGAAAAAAYABgBZAQAAIwYAAAAA&#10;">
                        <v:fill on="f" focussize="0,0"/>
                        <v:stroke weight="1pt" color="#FF0000 [3204]" miterlimit="8" joinstyle="miter"/>
                        <v:imagedata o:title=""/>
                        <o:lock v:ext="edit" aspectratio="f"/>
                      </v:rect>
                      <v:line id="_x0000_s1026" o:spid="_x0000_s1026" o:spt="20" style="position:absolute;left:256540;top:4320540;flip:y;height:6985;width:755015;" filled="f" stroked="t" coordsize="21600,21600" o:gfxdata="UEsFBgAAAAAAAAAAAAAAAAAAAAAAAFBLAwQKAAAAAACHTuJAAAAAAAAAAAAAAAAABAAAAGRycy9Q&#10;SwMEFAAAAAgAh07iQAkTQybWAAAABgEAAA8AAABkcnMvZG93bnJldi54bWxNj81OwzAQhO9IvIO1&#10;SNyonZaGKsSpEFIv/BxIy92NlyRKvA6x24S3Z+ECl5FWM5r5Nt/OrhdnHEPrSUOyUCCQKm9bqjUc&#10;9rubDYgQDVnTe0INXxhgW1xe5CazfqI3PJexFlxCITMamhiHTMpQNehMWPgBib0PPzoT+RxraUcz&#10;cbnr5VKpVDrTEi80ZsDHBquuPDkN+9XDazm+PCdTt/Hz7dOuSz7fD1pfXyXqHkTEOf6F4Qef0aFg&#10;pqM/kQ2i18CPxF9l726drkAcOaSW6Rpkkcv/+MU3UEsDBBQAAAAIAIdO4kDH1y6C/AEAAMsDAAAO&#10;AAAAZHJzL2Uyb0RvYy54bWytU81uEzEQviPxDpbvZDehm4ZVNj00ChcEkYDeHa+9a8l/8rjZ5CV4&#10;ASRucOLIvW9DeYyOvWmBcukBH6yxZ+ab+T6PlxcHo8leBFDONnQ6KSkRlrtW2a6hHz9sXiwogchs&#10;y7SzoqFHAfRi9fzZcvC1mLne6VYEgiAW6sE3tI/R10UBvBeGwcR5YdEpXTAs4jF0RRvYgOhGF7Oy&#10;nBeDC60PjgsAvF2PTnpCDE8BdFIqLtaOXxth44gahGYRKUGvPNBV7lZKweM7KUFEohuKTGPesQja&#10;u7QXqyWru8B8r/ipBfaUFh5xMkxZLPoAtWaRkeug/oEyigcHTsYJd6YYiWRFkMW0fKTN+555kbmg&#10;1OAfRIf/B8vf7reBqLahizkllhl88dvPP35++vrr5gvut9+/EfSgTIOHGqMv7TacTuC3IXE+yGCI&#10;1Mpf4TxlFZAXOTR0Vs2rM1T62NCzl7My2VlvcYiEo/+8qsppRQnHgPmrRZW8xYiXcH2A+Fo4Q5LR&#10;UK1sEoPVbP8G4hh6H5KurdsorXMBbcmAvczOS6zOGU6pxOlA03hkCrajhOkOx5/HkCHBadWm9AQE&#10;odtd6kD2DIdmsylxnTr7KyzVXjPox7jsGukZFfGHaGVQ1JR8n60t0ksyjsIla+faY9Yz3+MbZwFO&#10;85iG6M9zzv79B1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CRNDJtYAAAAGAQAADwAAAAAAAAAB&#10;ACAAAAA4AAAAZHJzL2Rvd25yZXYueG1sUEsBAhQAFAAAAAgAh07iQMfXLoL8AQAAywMAAA4AAAAA&#10;AAAAAQAgAAAAOwEAAGRycy9lMm9Eb2MueG1sUEsFBgAAAAAGAAYAWQEAAKkFAAAAAA==&#10;">
                        <v:fill on="f" focussize="0,0"/>
                        <v:stroke weight="1pt" color="#FF0000 [3204]" miterlimit="8" joinstyle="miter"/>
                        <v:imagedata o:title=""/>
                        <o:lock v:ext="edit" aspectratio="f"/>
                      </v:line>
                      <v:shape id="_x0000_s1026" o:spid="_x0000_s1026" o:spt="202" type="#_x0000_t202" style="position:absolute;left:117475;top:4001770;height:276860;width:101155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HRmbGxHAgAAcwQA&#10;AA4AAABkcnMvZTJvRG9jLnhtbK1UwW4TMRC9I/EPlu90d0OSLVE3VWhVhFTRSgVxdrx2diXbY2yn&#10;u+ED4A84ceHOd+U7GHs3bVQ49MBlM/Y8z/i9ec7Zea8VuRfOt2AqWpzklAjDoW7NpqKfPl69OqXE&#10;B2ZqpsCIiu6Ep+fLly/OOrsQE2hA1cIRLGL8orMVbUKwiyzzvBGa+ROwwmBSgtMs4NJtstqxDqtr&#10;lU3yfJ514GrrgAvvcfdySNKxontOQZCy5eIS+FYLE4aqTigWkJJvWuvpMt1WSsHDjZReBKIqikxD&#10;+mITjNfxmy3P2GLjmG1aPl6BPecKTzhp1hps+lDqkgVGtq79q5RuuQMPMpxw0NlAJCmCLIr8iTZ3&#10;DbMicUGpvX0Q3f+/svzD/a0jbV3R05ISwzROfP/j+/7n7/2vbwT3UKDO+gXi7iwiQ/8WerTNYd/j&#10;ZuTdS6fjLzIiMV+U03JGya6i0zwvynJUWvSB8JjPi2I2QwBHxKScn84TIHssZJ0P7wRoEoOKOpxk&#10;EpjdX/uAl0LoARL7GrhqlUrTVIZ0FZ2/nuXpwEMGTyiDByOd4doxCv26Hzmuod4hRQeDS7zlVy02&#10;v2Y+3DKHtkDT4MMJN/iRCrAJjBElDbiv/9qPeJwWZinp0GYV9V+2zAlK1HuDc3xTTKfRl2kxnZUT&#10;XLjjzPo4Y7b6AtDJBT5Ry1MY8UEdQulAf8b3tYpdMcUMx94VDYfwIgzmx/fJxWqVQOhEy8K1ubM8&#10;lh7kXG0DyDYpHWUatBnVQy+mAYzvJpr9eJ1Qj/8V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u&#10;fBkh2AAAAAYBAAAPAAAAAAAAAAEAIAAAADgAAABkcnMvZG93bnJldi54bWxQSwECFAAUAAAACACH&#10;TuJAdGZsbEcCAABzBAAADgAAAAAAAAABACAAAAA9AQAAZHJzL2Uyb0RvYy54bWxQSwUGAAAAAAYA&#10;BgBZAQAA9gUAAAAA&#10;">
                        <v:fill on="f" focussize="0,0"/>
                        <v:stroke on="f" weight="0.5pt"/>
                        <v:imagedata o:title=""/>
                        <o:lock v:ext="edit" aspectratio="f"/>
                        <v:textbox>
                          <w:txbxContent>
                            <w:p>
                              <w:pPr>
                                <w:rPr>
                                  <w:rFonts w:hint="default" w:eastAsia="宋体"/>
                                  <w:lang w:val="en-US" w:eastAsia="zh-CN"/>
                                </w:rPr>
                              </w:pPr>
                              <w:r>
                                <w:rPr>
                                  <w:rFonts w:hint="eastAsia"/>
                                  <w:lang w:val="en-US" w:eastAsia="zh-CN"/>
                                </w:rPr>
                                <w:t>本次技改工艺</w:t>
                              </w:r>
                            </w:p>
                          </w:txbxContent>
                        </v:textbox>
                      </v:shape>
                      <v:shape id="文本框 2" o:spid="_x0000_s1026" o:spt="202" type="#_x0000_t202" style="position:absolute;left:793750;top:2111375;height:254000;width:68262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OHh9uPSAQAAhwMA&#10;AA4AAABkcnMvZTJvRG9jLnhtbK1TzW4TMRC+I/EOlu9kf0rSdhWnEkTlggCp8ACO15u1ZHss28lu&#10;eAB4A05cuPNceY6OvUkL5dIDF3vsGX8z3zfj5c1oNNlLHxRYRqtZSYm0Alplt4x++Xz76oqSELlt&#10;uQYrGT3IQG9WL18sB9fIGnrQrfQEQWxoBsdoH6NriiKIXhoeZuCkRWcH3vCIR78tWs8HRDe6qMty&#10;UQzgW+dByBDwdj056QnRPwcQuk4JuQaxM9LGCdVLzSNSCr1yga5ytV0nRfzYdUFGohlFpjGvmATt&#10;TVqL1ZI3W89dr8SpBP6cEp5wMlxZTPoAteaRk51X/0AZJTwE6OJMgCkmIlkRZFGVT7S567mTmQtK&#10;HdyD6OH/wYoP+0+eqJbRa5TEcoMdP/74fvz5+/jrG6mTPoMLDYbdOQyM4xsYcWrO9wEvE+2x8ybt&#10;SIig//L64nKOeAdG66qq8DAJLcdIBPoXV/WinlMiUsD8dVnmRhSPOM6H+E6CIclg1GMfs7x8/z5E&#10;rAlDzyEprYVbpXXupbZkwAQXmP4vD77QFh8mNlPVyYrjZjxR3EB7QIb4MzBhD/4rJdwKNBiNZ/Nt&#10;nEZn57za9hiXhciY2J9c1mmW0gD8ec6ZH//P6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ufBkh&#10;2AAAAAYBAAAPAAAAAAAAAAEAIAAAADgAAABkcnMvZG93bnJldi54bWxQSwECFAAUAAAACACHTuJA&#10;4eH249IBAACHAwAADgAAAAAAAAABACAAAAA9AQAAZHJzL2Uyb0RvYy54bWxQSwUGAAAAAAYABgBZ&#10;AQAAgQUAAAAA&#10;">
                        <v:fill on="f"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切削液</w:t>
                              </w:r>
                            </w:p>
                          </w:txbxContent>
                        </v:textbox>
                      </v:shape>
                      <v:line id="直线 224" o:spid="_x0000_s1026" o:spt="20" style="position:absolute;left:1330325;top:3562985;flip:y;height:6350;width:27495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xaxGOAECAADuAwAA&#10;DgAAAGRycy9lMm9Eb2MueG1srVNLbtswEN0X6B0I7mvZcuTGguUs4qabog3Qz37Mj0SAP5CMZZ+l&#10;1+iqmx4n1+iQcpM2RYEsqgUx5AzfvPc03FwdjSYHEaJytqOL2ZwSYZnjyvYd/fzp5tUlJTGB5aCd&#10;FR09iUivti9fbEbfitoNTnMRCILY2I6+o0NKvq2qyAZhIM6cFxaT0gUDCbehr3iAEdGNrur5fFWN&#10;LnAfHBMx4uluStIzYngOoJNSMbFz7M4ImybUIDQklBQH5SPdFrZSCpY+SBlFIrqjqDSVFZtgvM9r&#10;td1A2wfwg2JnCvAcCk80GVAWmz5A7SABuQvqLyijWHDRyTRjzlSTkOIIqljMn3jzcQAviha0OvoH&#10;0+P/g2XvD7eBKN7R9YISCwb/+P3Xb/fff5C6vsj2jD62WHVtb8N5F/1tyFqPMhgitfJfcI6KetRD&#10;jrhZLufLuqHk1NFls6rXl81ktDgmwrCgfn2xbjDPsGC1bMpvqCbADOxDTG+FMyQHHdXKZheghcO7&#10;mJAElv4qycfakhH5N7kjAxxJiaOAofEoK9q+3I1OK36jtM43Yuj31zqQA+SxKF8miLh/lOUmO4jD&#10;VFdSk45BAH9jOUknj35ZfCc0UzCCU6IFPqscISC0CZR+rExBge31P6qxvbbIIjs+eZyjveOnYn05&#10;xzEoPM8jm+fs9325/fhMt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PPC79NcAAAAGAQAADwAA&#10;AAAAAAABACAAAAA4AAAAZHJzL2Rvd25yZXYueG1sUEsBAhQAFAAAAAgAh07iQMWsRjgBAgAA7gMA&#10;AA4AAAAAAAAAAQAgAAAAPAEAAGRycy9lMm9Eb2MueG1sUEsFBgAAAAAGAAYAWQEAAK8FAAAAAA==&#10;">
                        <v:fill on="f" focussize="0,0"/>
                        <v:stroke color="#000000" joinstyle="round" endarrow="block"/>
                        <v:imagedata o:title=""/>
                        <o:lock v:ext="edit" aspectratio="f"/>
                      </v:line>
                      <v:line id="直线 224" o:spid="_x0000_s1026" o:spt="20" style="position:absolute;left:1353185;top:4553585;flip:y;height:6350;width:27495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pu+LKv4BAADuAwAA&#10;DgAAAGRycy9lMm9Eb2MueG1srVNLbtswEN0X6B0I7mvZspUmguUs4qabojXQz37Mj0SAP5CMZZ+l&#10;1+iqmx4n1+iQcpM2RYEsqgUx5Dy+mfc0XF8fjSYHEaJytqOL2ZwSYZnjyvYd/fzp9tUlJTGB5aCd&#10;FR09iUivNy9frEffitoNTnMRCJLY2I6+o0NKvq2qyAZhIM6cFxaT0gUDCbehr3iAEdmNrur5/KIa&#10;XeA+OCZixNPtlKRnxvAcQielYmLr2J0RNk2sQWhIKCkOyke6Kd1KKVj6IGUUieiOotJUViyC8T6v&#10;1WYNbR/AD4qdW4DntPBEkwFlsegD1RYSkLug/qIyigUXnUwz5kw1CSmOoIrF/Ik3HwfwomhBq6N/&#10;MD3+P1r2/rALRPGOXtWUWDD4x++/frv//oPU9SrbM/rYIurG7sJ5F/0uZK1HGQyRWvkvOEdFPeoh&#10;R9wsm+XisqHk1NFV0ywbjIvR4pgIQ0D9enXVYJ4h4GLZlN9QTYSZ2IeY3gpnSA46qpXNLkALh3cx&#10;IRFCf0HysbZkxP6bOjMCjqTEUcDQeJQVbV/uRqcVv1Va5xsx9PsbHcgB8liULzeIvH/AcpEtxGHC&#10;ldSkYxDA31hO0smjXxbfCc0tGMEp0QKfVY6K4gRKPyJTUGB7/Q80ltcWu8iOTx7naO/4qVhfznEM&#10;Sp/nkc1z9vu+3H58p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PC79NcAAAAGAQAADwAAAAAA&#10;AAABACAAAAA4AAAAZHJzL2Rvd25yZXYueG1sUEsBAhQAFAAAAAgAh07iQKbviyr+AQAA7gMAAA4A&#10;AAAAAAAAAQAgAAAAPAEAAGRycy9lMm9Eb2MueG1sUEsFBgAAAAAGAAYAWQEAAKwFAAAAAA==&#10;">
                        <v:fill on="f" focussize="0,0"/>
                        <v:stroke color="#000000" joinstyle="round" endarrow="block"/>
                        <v:imagedata o:title=""/>
                        <o:lock v:ext="edit" aspectratio="f"/>
                      </v:line>
                      <v:shape id="文本框 2" o:spid="_x0000_s1026" o:spt="202" type="#_x0000_t202" style="position:absolute;left:141605;top:3456305;height:254000;width:118935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D8svF/UAQAAiAMA&#10;AA4AAABkcnMvZTJvRG9jLnhtbK1TwY7bIBC9V+o/IO6NnTiJdq2Qldpoe6naStt+AME4RgIGAYmd&#10;fkD7Bz310nu/K9+xA06y1fayh15gYIY3894Mq7vBaHKQPiiwjE4nJSXSCmiU3TH69cv9mxtKQuS2&#10;4RqsZPQoA71bv3616l0tZ9CBbqQnCGJD3TtGuxhdXRRBdNLwMAEnLTpb8IZHPPpd0XjeI7rRxaws&#10;l0UPvnEehAwBbzejk54R/UsAoW2VkBsQeyNtHFG91DwipdApF+g6V9u2UsRPbRtkJJpRZBrziknQ&#10;3qa1WK94vfPcdUqcS+AvKeEZJ8OVxaRXqA2PnOy9+gfKKOEhQBsnAkwxEsmKIItp+Uybh447mbmg&#10;1MFdRQ//D1Z8PHz2RDWM3laUWG6w46efP06//px+fyezpE/vQo1hDw4D4/AWBpyay33Ay0R7aL1J&#10;OxIiyT+fLssFJUdGq/liWaGdhZZDJCL5pze31QIDBEbMFvOyzJ0onoCcD/G9BEOSwajHRmZ9+eFD&#10;iIiFoZeQlNfCvdI659CW9Iwuq0WZH1w9+EJbfJjojGUnKw7b4cxxC80RKeLXwIQd+G+UcCvQYDRe&#10;zHdxnJ2982rXYVxWImNig3JZ52FKE/D3OWd++kDr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G58&#10;GSHYAAAABgEAAA8AAAAAAAAAAQAgAAAAOAAAAGRycy9kb3ducmV2LnhtbFBLAQIUABQAAAAIAIdO&#10;4kA/LLxf1AEAAIgDAAAOAAAAAAAAAAEAIAAAAD0BAABkcnMvZTJvRG9jLnhtbFBLBQYAAAAABgAG&#10;AFkBAACDBQAAAAA=&#10;">
                        <v:fill on="f"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高固份漆、稀释剂</w:t>
                              </w:r>
                            </w:p>
                          </w:txbxContent>
                        </v:textbox>
                      </v:shape>
                      <v:shape id="文本框 2" o:spid="_x0000_s1026" o:spt="202" type="#_x0000_t202" style="position:absolute;left:151765;top:4439285;height:254000;width:118999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Njyy9XXAQAAiAMA&#10;AA4AAABkcnMvZTJvRG9jLnhtbK1TS27bMBDdF+gdCO5jyYrlWoLpAKmRboq2QJoD0BRlEeAPJG3J&#10;PUB7g6666b7n8jk6pGwnSDZZZEMOOcM3894MlzeDkmjPnRdGEzyd5BhxzUwj9Jbgh+93VwuMfKC6&#10;odJoTvCBe3yzev9u2duaF6YzsuEOAYj2dW8J7kKwdZZ51nFF/cRYrsHZGqdogKPbZo2jPaArmRV5&#10;Ps964xrrDOPew+16dOITonsNoGlbwfjasJ3iOoyojksagJLvhPV4laptW87C17b1PCBJMDANaYUk&#10;YG/imq2WtN46ajvBTiXQ15TwjJOiQkPSC9SaBop2TryAUoI5400bJsyobCSSFAEW0/yZNvcdtTxx&#10;Aam9vYju3w6Wfdl/c0g0BFczjDRV0PHj71/HP/+Of3+iIurTW19D2L2FwDDcmgGm5nzv4TLSHlqn&#10;4g6EUPSX0w/zEqMDwbPZdVUsylFoPgTEon+6qKoKesAgoihneZ46kT0CWefDJ24UigbBDhqZ9KX7&#10;zz5AURB6Dol5tbkTUqZmSo16gufXZZ4eXDzwQmp4GOmMZUcrDJvhxHFjmgNQhK8BCTvjfmBENQOD&#10;4HA2P4ZxdnbWiW0HcUmJhAkNSmWdhilOwNNzyvz4gV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G58GSHYAAAABgEAAA8AAAAAAAAAAQAgAAAAOAAAAGRycy9kb3ducmV2LnhtbFBLAQIUABQAAAAI&#10;AIdO4kDY8svV1wEAAIgDAAAOAAAAAAAAAAEAIAAAAD0BAABkcnMvZTJvRG9jLnhtbFBLBQYAAAAA&#10;BgAGAFkBAACGBQAAAAA=&#10;">
                        <v:fill on="f"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高固份漆、稀释剂</w:t>
                              </w:r>
                            </w:p>
                          </w:txbxContent>
                        </v:textbox>
                      </v:shape>
                      <v:shape id="_x0000_s1026" o:spid="_x0000_s1026" o:spt="202" type="#_x0000_t202" style="position:absolute;left:2690495;top:4415790;height:327660;width:1673860;"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OFkA/HfAQAAmAMA&#10;AA4AAABkcnMvZTJvRG9jLnhtbK1TS27bMBDdF+gdCO5ryT85FkwHaIx0U7QFkhyApiiLAH8haUvu&#10;AdobdNVN9z2Xz9EhJTtBssmiG2o4M3wz781odd0piQ7ceWE0weNRjhHXzFRC7wh+uL/9cIWRD1RX&#10;VBrNCT5yj6/X79+tWlvyiWmMrLhDAKJ92VqCmxBsmWWeNVxRPzKWawjWxika4Op2WeVoC+hKZpM8&#10;L7LWuMo6w7j34N30QTwgurcAmroWjG8M2yuuQ4/quKQBKPlGWI/Xqdu65ix8rWvPA5IEA9OQTigC&#10;9jae2XpFy52jthFsaIG+pYUXnBQVGopeoDY0ULR34hWUEswZb+owYkZlPZGkCLAY5y+0uWuo5YkL&#10;SO3tRXT//2DZl8M3h0RFcDHFSFMFEz/9+nn6/ff05wcCHwjUWl9C3p2FzNB9NB2szdnvwRl5d7VT&#10;8QuMEMQnxTKfLecYHQmezcbzxXKQmncBsQhQLKZXBUyBQcZ0sijAhlLZE5J1PnziRqFoEOxglElh&#10;evjsQ596TomFtbkVUqZxSo3ayGeepweXCIBLDTUin77vaIVu2w0kt6Y6Akf4OaBgY9x3jFpYDYL9&#10;4546jhHVDNwEh7N5E/pd2lsndg28SsKkCjCwxGdYrrgRz++pj6cfav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bnwZIdgAAAAGAQAADwAAAAAAAAABACAAAAA4AAAAZHJzL2Rvd25yZXYueG1sUEsB&#10;AhQAFAAAAAgAh07iQOFkA/HfAQAAmAMAAA4AAAAAAAAAAQAgAAAAPQEAAGRycy9lMm9Eb2MueG1s&#10;UEsFBgAAAAAGAAYAWQEAAI4FAAAAAA==&#10;">
                        <v:fill on="f" focussize="0,0"/>
                        <v:stroke on="f" weight="0.5pt"/>
                        <v:imagedata o:title=""/>
                        <o:lock v:ext="edit" aspectratio="f"/>
                        <v:textbox>
                          <w:txbxContent>
                            <w:p>
                              <w:pPr>
                                <w:jc w:val="left"/>
                                <w:rPr>
                                  <w:rFonts w:hint="default" w:eastAsia="宋体"/>
                                  <w:sz w:val="21"/>
                                  <w:szCs w:val="21"/>
                                  <w:lang w:val="en-US" w:eastAsia="zh-CN"/>
                                </w:rPr>
                              </w:pPr>
                              <w:r>
                                <w:rPr>
                                  <w:rFonts w:hint="eastAsia"/>
                                  <w:sz w:val="21"/>
                                  <w:szCs w:val="21"/>
                                  <w:lang w:val="en-US" w:eastAsia="zh-CN"/>
                                </w:rPr>
                                <w:t>G7喷漆废气、S5漆渣</w:t>
                              </w:r>
                            </w:p>
                          </w:txbxContent>
                        </v:textbox>
                      </v:shape>
                      <v:rect id="_x0000_s1026" o:spid="_x0000_s1026" o:spt="1" style="position:absolute;left:902970;top:2032000;height:459740;width:3535680;v-text-anchor:middle;" filled="f" stroked="t" coordsize="21600,21600" o:gfxdata="UEsFBgAAAAAAAAAAAAAAAAAAAAAAAFBLAwQKAAAAAACHTuJAAAAAAAAAAAAAAAAABAAAAGRycy9Q&#10;SwMEFAAAAAgAh07iQCDaz63UAAAABgEAAA8AAABkcnMvZG93bnJldi54bWxNjzFPwzAQhXck/oN1&#10;SGzUTlFTFOJ0QHRiANpKrG58JFHjs2U7bfj3HCywnHR67959r97MbhRnjGnwpKFYKBBIrbcDdRoO&#10;++3dA4iUDVkzekINX5hg01xf1aay/kLveN7lTnAIpcpo6HMOlZSp7dGZtPABibVPH53JvMZO2mgu&#10;HO5GuVSqlM4MxB96E/Cpx/a0mxxjhPEt2On1dPgo5m18ti/JdGutb28K9Qgi45z/zPCDzzfQMNPR&#10;T2STGDVwkfw7WVuvynsQRzapZbkC2dTyP37zDVBLAwQUAAAACACHTuJA9rS79nQCAADYBAAADgAA&#10;AGRycy9lMm9Eb2MueG1srVTNbhMxEL4j8Q6W73STNGmaqJsqahSEVNFKBXF2vN6sJf9hO9mUl0Hi&#10;xkPwOIjX4LN305bCoQcu3rFn/M3MN5/34vKgFdkLH6Q1JR2eDCgRhttKmm1JP35YvzmnJERmKqas&#10;ESW9F4FeLl6/umjdXIxsY1UlPAGICfPWlbSJ0c2LIvBGaBZOrBMGztp6zSK2fltUnrVA16oYDQZn&#10;RWt95bzlIgScrjon7RH9SwBtXUsuVpbvtDCxQ/VCsYiWQiNdoItcbV0LHm/qOohIVEnRacwrksDe&#10;pLVYXLD51jPXSN6XwF5SwrOeNJMGSR+gViwysvPyLygtubfB1vGEW110jWRG0MVw8Iybu4Y5kXsB&#10;1cE9kB7+Hyx/v7/1RFYlHQ0pMUxj4r++fv/54xvBAdhpXZgj6M7d+n4XYKZWD7XX6YsmyKGks8Fo&#10;NgWt94AanGLSPbniEAmH/3RyOjk7RwBHxHgym45zQPEI5HyIb4XVJBkl9Rhe5pTtr0NEcoQeQ1Je&#10;Y9dSqTxAZUgLLY+mSEo4gyprqAGmdugsmC0lTG0hdx59hgxWySpdT0DBbzdXypM9g0jWa1R+rOyP&#10;sJR7xULTxWVXJx8tI16Ekrqk5+ny8bYyqDnx1zGWrI2t7sG3t50Qg+NrCdhrFuIt81Ae6sfbjDdY&#10;amXRlO0tShrrv/zrPMVDEPBS0kLJaPjzjnlBiXpnIJXZcAyqScyb8WQ6wsY/9WyeesxOX1nwADWg&#10;umym+KiOZu2t/oQnvExZ4WKGI3dHbb+5it0Lw0+Ai+Uyh0HujsVrc+d4Au8GuNxFW8s820d2etIg&#10;+Dzy/nGmF/V0n6Mef0i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CDaz63UAAAABgEAAA8AAAAA&#10;AAAAAQAgAAAAOAAAAGRycy9kb3ducmV2LnhtbFBLAQIUABQAAAAIAIdO4kD2tLv2dAIAANgEAAAO&#10;AAAAAAAAAAEAIAAAADkBAABkcnMvZTJvRG9jLnhtbFBLBQYAAAAABgAGAFkBAAAfBgAAAAA=&#10;">
                        <v:fill on="f" focussize="0,0"/>
                        <v:stroke weight="1pt" color="#FF0000 [3204]" miterlimit="8" joinstyle="miter"/>
                        <v:imagedata o:title=""/>
                        <o:lock v:ext="edit" aspectratio="f"/>
                      </v:rect>
                      <v:shape id="_x0000_s1026" o:spid="_x0000_s1026" o:spt="202" type="#_x0000_t202" style="position:absolute;left:0;top:2196465;height:276860;width:101155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EVMLxZFAgAAbgQA&#10;AA4AAABkcnMvZTJvRG9jLnhtbK1UwW7bMAy9D9g/CLovjrPYbYM4RdYgw4BiLZANOyuyHBuQRE1S&#10;YncfsP1BT7vsvu/Kd4ySkzToduhhF5kiKZLvkfT0ulOS7IR1DeiCpoMhJUJzKBu9KejnT8s3l5Q4&#10;z3TJJGhR0Afh6PXs9atpayZiBDXIUliCQbSbtKagtfdmkiSO10IxNwAjNBorsIp5vNpNUlrWYnQl&#10;k9FwmCct2NJY4MI51C56Iz1EtC8JCFXVcLEAvlVC+z6qFZJ5hOTqxjg6i9VWleD+rqqc8EQWFJH6&#10;eGISlNfhTGZTNtlYZuqGH0pgLynhGSbFGo1JT6EWzDOytc1foVTDLTio/ICDSnogkRFEkQ6fcbOq&#10;mRERC1LtzIl09//C8o+7e0uasqBZTolmCju+f/yx//l7/+s7QR0S1Bo3Qb+VQU/fvYMOx+aod6gM&#10;uLvKqvBFRATtSO9DQUfpVT7Os55k0XnCw9NhmmZZRgkPHhf5ZR67kDzFMNb59wIUCUJBLTYxcst2&#10;t85jPeh6dAkpNSwbKWMjpSZtQfO32TA+OFnwhdT4MCDpKw6S79bdAd4aygdEZ6EfEGf4ssHkt8z5&#10;e2ZxIhAQ7oy/w6OSgEngIFFSg/32L33wx0ahlZIWJ6yg7uuWWUGJ/KCxhVfpeBxGMl7G2cUIL/bc&#10;sj636K26ARziFLfT8CgGfy+PYmVBfcHVmoesaGKaY+6C+qN44/u5x9XkYj6PTjiEhvlbvTI8hO7p&#10;nG89VE1kOtDUc3NgD8cwNuCwMmHOz+/R6+k3Mf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bnwZ&#10;IdgAAAAGAQAADwAAAAAAAAABACAAAAA4AAAAZHJzL2Rvd25yZXYueG1sUEsBAhQAFAAAAAgAh07i&#10;QEVMLxZFAgAAbgQAAA4AAAAAAAAAAQAgAAAAPQEAAGRycy9lMm9Eb2MueG1sUEsFBgAAAAAGAAYA&#10;WQEAAPQFAAAAAA==&#10;">
                        <v:fill on="f" focussize="0,0"/>
                        <v:stroke on="f" weight="0.5pt"/>
                        <v:imagedata o:title=""/>
                        <o:lock v:ext="edit" aspectratio="f"/>
                        <v:textbox>
                          <w:txbxContent>
                            <w:p>
                              <w:pPr>
                                <w:rPr>
                                  <w:rFonts w:hint="default" w:eastAsia="宋体"/>
                                  <w:lang w:val="en-US" w:eastAsia="zh-CN"/>
                                </w:rPr>
                              </w:pPr>
                              <w:r>
                                <w:rPr>
                                  <w:rFonts w:hint="eastAsia"/>
                                  <w:lang w:val="en-US" w:eastAsia="zh-CN"/>
                                </w:rPr>
                                <w:t>本次技改工艺</w:t>
                              </w:r>
                            </w:p>
                          </w:txbxContent>
                        </v:textbox>
                      </v:shape>
                      <v:line id="_x0000_s1026" o:spid="_x0000_s1026" o:spt="20" style="position:absolute;left:84455;top:2437130;flip:y;height:11430;width:807085;" filled="f" stroked="t" coordsize="21600,21600" o:gfxdata="UEsFBgAAAAAAAAAAAAAAAAAAAAAAAFBLAwQKAAAAAACHTuJAAAAAAAAAAAAAAAAABAAAAGRycy9Q&#10;SwMEFAAAAAgAh07iQAkTQybWAAAABgEAAA8AAABkcnMvZG93bnJldi54bWxNj81OwzAQhO9IvIO1&#10;SNyonZaGKsSpEFIv/BxIy92NlyRKvA6x24S3Z+ECl5FWM5r5Nt/OrhdnHEPrSUOyUCCQKm9bqjUc&#10;9rubDYgQDVnTe0INXxhgW1xe5CazfqI3PJexFlxCITMamhiHTMpQNehMWPgBib0PPzoT+RxraUcz&#10;cbnr5VKpVDrTEi80ZsDHBquuPDkN+9XDazm+PCdTt/Hz7dOuSz7fD1pfXyXqHkTEOf6F4Qef0aFg&#10;pqM/kQ2i18CPxF9l726drkAcOaSW6Rpkkcv/+MU3UEsDBBQAAAAIAIdO4kCRpmiL+wEAAMsDAAAO&#10;AAAAZHJzL2Uyb0RvYy54bWytUzuO2zAQ7QPkDgT7WLLXjg3B8hZrOE2QGMinpylSIsAfOFzLvkQu&#10;ECBdUqVMn9tkc4wMKWV/abaICoLkDN/Me/O0vjwZTY4igHK2ptNJSYmw3DXKtjX98H73YkUJRGYb&#10;pp0VNT0LoJeb58/Wva/EzHVONyIQBLFQ9b6mXYy+KgrgnTAMJs4Li0HpgmERj6EtmsB6RDe6mJXl&#10;y6J3ofHBcQGAt9shSEfE8BRAJ6XiYuv4tRE2DqhBaBaREnTKA93kbqUUPL6VEkQkuqbINOYVi+D+&#10;kNZis2ZVG5jvFB9bYE9p4REnw5TFordQWxYZuQ7qHyijeHDgZJxwZ4qBSFYEWUzLR9q865gXmQtK&#10;Df5WdPh/sPzNcR+Iamq6WFJimcGJ33z+8evT198/v+B68/0bwQjK1HuoMPvK7sN4Ar8PifNJBkOk&#10;Vv4j+imrgLzIqaar+XyxoORc09n8Yjm9GOUWp0h4CpfLcoVxjgnT6XwIFwNewvUB4ivhDEmbmmpl&#10;kxisYsfXELEHTP2bkq6t2ymt80C1JT1izpYlzpkzdKlEd+DWeGQKtqWE6Rbtz2PIkOC0atLzBASh&#10;PVzpQI4MTbPblfglAbDcg7RUe8ugG/JyaLCTURH/EK1MonjvtbYIkmQchEu7g2vOWc98jzPOZUY/&#10;JhPdP+fXd//g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JE0Mm1gAAAAYBAAAPAAAAAAAAAAEA&#10;IAAAADgAAABkcnMvZG93bnJldi54bWxQSwECFAAUAAAACACHTuJAkaZoi/sBAADLAwAADgAAAAAA&#10;AAABACAAAAA7AQAAZHJzL2Uyb0RvYy54bWxQSwUGAAAAAAYABgBZAQAAqAUAAAAA&#10;">
                        <v:fill on="f" focussize="0,0"/>
                        <v:stroke weight="1pt" color="#FF0000 [3204]" miterlimit="8" joinstyle="miter"/>
                        <v:imagedata o:title=""/>
                        <o:lock v:ext="edit" aspectratio="f"/>
                      </v:line>
                      <v:line id="直线 224" o:spid="_x0000_s1026" o:spt="20" style="position:absolute;left:1978660;top:674370;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U85y8gACAADtAwAA&#10;DgAAAGRycy9lMm9Eb2MueG1srVPNbhMxEL4j8Q6W72STTZukq2x6aCgcEEQqPMDEP7uW/CfbzSbP&#10;wmtw4sLj9DUYe0MLRUg9sAdrxjPzzXzfjtfXR6PJQYSonG3pbDKlRFjmuLJdS798vn2zoiQmsBy0&#10;s6KlJxHp9eb1q/XgG1G73mkuAkEQG5vBt7RPyTdVFVkvDMSJ88JiULpgIKEbuooHGBDd6KqeThfV&#10;4AL3wTERI95uxyA9I4aXADopFRNbx+6NsGlEDUJDQkqxVz7STZlWSsHSJymjSES3FJmmcmITtPf5&#10;rDZraLoAvlfsPAK8ZIRnnAwoi00fobaQgNwH9ReUUSy46GSaMGeqkUhRBFnMps+0uevBi8IFpY7+&#10;UfT4/2DZx8MuEMVxE5ZzSiwY/OUPX789fP9B6voi6zP42GDajd2Fsxf9LmSyRxkMkVr591he6CMh&#10;ckTnarlaLFDjU0sXy4v58iy0OCbCML6YX1LCMDhb1atVCVYjXIb1IaZ3whmSjZZqZbMI0MDhQ0w4&#10;Aqb+SsnX2pKhpVeXdcYE3EiJm4Cm8cgq2q7URqcVv1Va54oYuv2NDuQAeSvKl4ki7h9puckWYj/m&#10;ldC4L70A/tZykk4e1bL4TGgewQhOiRb4qrKFgNAkUPopMwUFttP/yMb22uIUWe9R4WztHT8V4cs9&#10;bkGZ87yxec1+90v10yv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88Lv01wAAAAYBAAAPAAAA&#10;AAAAAAEAIAAAADgAAABkcnMvZG93bnJldi54bWxQSwECFAAUAAAACACHTuJAU85y8gACAADtAwAA&#10;DgAAAAAAAAABACAAAAA8AQAAZHJzL2Uyb0RvYy54bWxQSwUGAAAAAAYABgBZAQAArgUAAAAA&#10;">
                        <v:fill on="f" focussize="0,0"/>
                        <v:stroke color="#000000" joinstyle="round" endarrow="block"/>
                        <v:imagedata o:title=""/>
                        <o:lock v:ext="edit" aspectratio="f"/>
                      </v:line>
                      <v:line id="直线 224" o:spid="_x0000_s1026" o:spt="20" style="position:absolute;left:1983740;top:1097280;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ebqmfP4BAADuAwAA&#10;DgAAAGRycy9lMm9Eb2MueG1srVNLbtswEN0X6B0I7ms5ihPbguUs4qZdFK2BNAcY8yMR4A8kY9ln&#10;6TW66qbHyTU6pNykSVEgi2pBzHBm3sx7Gq6uDkaTvQhROdvSs8mUEmGZ48p2Lb37evNuQUlMYDlo&#10;Z0VLjyLSq/XbN6vBN6J2vdNcBIIgNjaDb2mfkm+qKrJeGIgT54XFoHTBQEI3dBUPMCC60VU9nV5W&#10;gwvcB8dEjHi7GYP0hBheA+ikVExsHLs3wqYRNQgNCSnFXvlI12VaKQVLX6SMIhHdUmSayolN0N7l&#10;s1qvoOkC+F6x0wjwmhFecDKgLDZ9hNpAAnIf1F9QRrHgopNpwpypRiJFEWRxNn2hzW0PXhQuKHX0&#10;j6LH/wfLPu+3gSiOmzCfUWLB4C9/+Pb94cdPUtezrM/gY4Np13YbTl7025DJHmQwRGrlP2J5oY+E&#10;yAGd5eJ8PkONj2hPl/N6cVJaHBJhmHB5fkEJy9FFvRiD1YiXcX2I6YNwhmSjpVrZrAI0sP8UE86A&#10;qb9T8rW2ZGjp8qLOmIArKXEV0DQeaUXbldrotOI3SutcEUO3u9aB7CGvRfkyU8R9lpabbCD2Y14J&#10;jQvTC+DvLSfp6FEui++E5hGM4JRogc8qWwgITQKlnzJTUGA7/Y9sbK8tTpEFHyXO1s7xY1G+3OMa&#10;lDlPK5v37E+/VD890/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PC79NcAAAAGAQAADwAAAAAA&#10;AAABACAAAAA4AAAAZHJzL2Rvd25yZXYueG1sUEsBAhQAFAAAAAgAh07iQHm6pnz+AQAA7gMAAA4A&#10;AAAAAAAAAQAgAAAAPAEAAGRycy9lMm9Eb2MueG1sUEsFBgAAAAAGAAYAWQEAAKwFAAAAAA==&#10;">
                        <v:fill on="f" focussize="0,0"/>
                        <v:stroke color="#000000" joinstyle="round" endarrow="block"/>
                        <v:imagedata o:title=""/>
                        <o:lock v:ext="edit" aspectratio="f"/>
                      </v:line>
                      <v:line id="直线 224" o:spid="_x0000_s1026" o:spt="20" style="position:absolute;left:1972945;top:1526540;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Ca9a0v4BAADuAwAA&#10;DgAAAGRycy9lMm9Eb2MueG1srVPNbhMxEL4j8Q6W72TTJUmTVTY9NBQOCCIBDzDxz64l/8l2s8mz&#10;8BqcuPA4fQ3G3tDSVkg9sAdrxjPzzXzfjtdXR6PJQYSonG3pxWRKibDMcWW7ln77evNmSUlMYDlo&#10;Z0VLTyLSq83rV+vBN6J2vdNcBIIgNjaDb2mfkm+qKrJeGIgT54XFoHTBQEI3dBUPMCC60VU9nS6q&#10;wQXug2MiRrzdjkF6RgwvAXRSKia2jt0aYdOIGoSGhJRir3ykmzKtlIKlz1JGkYhuKTJN5cQmaO/z&#10;WW3W0HQBfK/YeQR4yQhPOBlQFpveQ20hAbkN6hmUUSy46GSaMGeqkUhRBFlcTJ9o86UHLwoXlDr6&#10;e9Hj/4Nlnw67QBTHTbhcUGLB4C+/+/7j7ucvUtezrM/gY4Np13YXzl70u5DJHmUwRGrlP2B5oY+E&#10;yBGd1WW9ms0pOaE9rxfz2VlpcUyEYcLiLQZZji7r5bIEqxEv4/oQ03vhDMlGS7WyWQVo4PAxJpwB&#10;U/+k5GttydDS1bzOmIArKXEV0DQeaUXbldrotOI3SutcEUO3v9aBHCCvRfkyU8R9lJabbCH2Y14J&#10;jQvTC+DvLCfp5FEui++E5hGM4JRogc8qWwgITQKlHzJTUGA7/Y9sbK8tTpEFHyXO1t7xU1G+3OMa&#10;lDnPK5v37G+/VD8808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PC79NcAAAAGAQAADwAAAAAA&#10;AAABACAAAAA4AAAAZHJzL2Rvd25yZXYueG1sUEsBAhQAFAAAAAgAh07iQAmvWtL+AQAA7gMAAA4A&#10;AAAAAAAAAQAgAAAAPAEAAGRycy9lMm9Eb2MueG1sUEsFBgAAAAAGAAYAWQEAAKwFAAAAAA==&#10;">
                        <v:fill on="f" focussize="0,0"/>
                        <v:stroke color="#000000" joinstyle="round" endarrow="block"/>
                        <v:imagedata o:title=""/>
                        <o:lock v:ext="edit" aspectratio="f"/>
                      </v:line>
                      <v:line id="直线 224" o:spid="_x0000_s1026" o:spt="20" style="position:absolute;left:1973580;top:1941195;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S6Eqbv0BAADuAwAA&#10;DgAAAGRycy9lMm9Eb2MueG1srVNLbtswEN0X6B0I7mvZShzbguUs4qZdFK2BtAcY8yMR4A8kY9ln&#10;6TW66qbHyTU6pNykTVEgi2pBzHAeH+c9DdfXR6PJQYSonG3pbDKlRFjmuLJdS798vn2zpCQmsBy0&#10;s6KlJxHp9eb1q/XgG1G73mkuAkESG5vBt7RPyTdVFVkvDMSJ88JiUbpgIGEauooHGJDd6KqeTq+q&#10;wQXug2MiRtzdjkV6ZgwvIXRSKia2jt0bYdPIGoSGhJJir3ykm9KtlIKlT1JGkYhuKSpNZcVLMN7n&#10;tdqsoekC+F6xcwvwkhaeaTKgLF76SLWFBOQ+qL+ojGLBRSfThDlTjUKKI6hiNn3mzV0PXhQtaHX0&#10;j6bH/0fLPh52gSiOk7BYUGLB4C9/+Prt4fsPUteX2Z/BxwZhN3YXzln0u5DFHmUwRGrl3+PxIh8F&#10;kSMmq8XFfIken3J8OZut5qPT4pgIQ8DVxZwSlqvLeolAJK5GvszrQ0zvhDMkBy3VymYXoIHDh5hG&#10;6C9I3taWDC1dzevMCTiSEkcBQ+NRVrRdORudVvxWaZ1PxNDtb3QgB8hjUb5zC3/A8iVbiP2IK6VR&#10;Ri+Av7WcpJNHuyy+E5pbMIJTogU+qxxho9AkUPoJmYIC2+l/oNEBbdGIbPhocY72jp+K82Ufx6BY&#10;dR7ZPGe/5+X00zP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88Lv01wAAAAYBAAAPAAAAAAAA&#10;AAEAIAAAADgAAABkcnMvZG93bnJldi54bWxQSwECFAAUAAAACACHTuJAS6Eqbv0BAADuAwAADgAA&#10;AAAAAAABACAAAAA8AQAAZHJzL2Uyb0RvYy54bWxQSwUGAAAAAAYABgBZAQAAqwUAAAAA&#10;">
                        <v:fill on="f" focussize="0,0"/>
                        <v:stroke color="#000000" joinstyle="round" endarrow="block"/>
                        <v:imagedata o:title=""/>
                        <o:lock v:ext="edit" aspectratio="f"/>
                      </v:line>
                      <v:line id="直线 224" o:spid="_x0000_s1026" o:spt="20" style="position:absolute;left:1338580;top:2228215;height:3175;width:236855;" filled="f" stroked="t" coordsize="21600,21600" o:gfxdata="UEsFBgAAAAAAAAAAAAAAAAAAAAAAAFBLAwQKAAAAAACHTuJAAAAAAAAAAAAAAAAABAAAAGRycy9Q&#10;SwMEFAAAAAgAh07iQNYvV2HYAAAABgEAAA8AAABkcnMvZG93bnJldi54bWxNj8FOwzAQRO9I/IO1&#10;SNyonaKGKMTpAalcWkBtEYKbGy9JRLyOYqcNf8/SC1xGWs1o5m2xnFwnjjiE1pOGZKZAIFXetlRr&#10;eN2vbjIQIRqypvOEGr4xwLK8vChMbv2JtnjcxVpwCYXcaGhi7HMpQ9WgM2HmeyT2Pv3gTORzqKUd&#10;zInLXSfnSqXSmZZ4oTE9PjRYfe1Gp2G7Wa2zt/U4VcPHY/K8f9k8vYdM6+urRN2DiDjFvzD84jM6&#10;lMx08CPZIDoN/Eg8K3t3i/QWxIFDap4uQJaF/I9f/gBQSwMEFAAAAAgAh07iQMvHURr5AQAA5QMA&#10;AA4AAABkcnMvZTJvRG9jLnhtbK1TzY7TMBC+I/EOlu80bUp2S9R0D1uWC4JKwANMHSex5D95vE37&#10;LLwGJy48zr4GY6dsYRHSHsjBGdufv5nv83h9czSaHWRA5WzDF7M5Z9IK1yrbN/zL57tXK84wgm1B&#10;OysbfpLIbzYvX6xHX8vSDU63MjAisViPvuFDjL4uChSDNIAz56Wlzc4FA5GmoS/aACOxG12U8/lV&#10;MbrQ+uCERKTV7bTJz4zhOYSu65SQWyfujbRxYg1SQyRJOCiPfJOr7Top4seuQxmZbjgpjXmkJBTv&#10;01hs1lD3AfygxLkEeE4JTzQZUJaSPlJtIQK7D+ovKqNEcOi6OBPOFJOQ7AipWMyfePNpAC+zFrIa&#10;/aPp+P9oxYfDLjDVUidc08VbMHTlD1+/PXz/wcrydfJn9FgT7NbuwnmGfheS2GMXTPqTDHYkhuVy&#10;Va3I2VPDy7JclYtq8lceIxMEKJdXq6riTBBgubjOu8WFxgeM76QzLAUN18om8VDD4T1GSk3QX5C0&#10;rC0bG/6mKhMjUCd21AEUGk9q0Pb5LDqt2juldTqBod/f6sAOkLohf6lA4v0DlpJsAYcJl7cmHYOE&#10;9q1tWTx5csnS8+CpBCNbzrSk15QiIoQ6gtIXZAwKbK//gab02lIVyefJ2RTtXXvKhud1uv1c57lT&#10;U3v9Ps+nL69z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WL1dh2AAAAAYBAAAPAAAAAAAAAAEA&#10;IAAAADgAAABkcnMvZG93bnJldi54bWxQSwECFAAUAAAACACHTuJAy8dRGvkBAADlAwAADgAAAAAA&#10;AAABACAAAAA9AQAAZHJzL2Uyb0RvYy54bWxQSwUGAAAAAAYABgBZAQAAqAUAAAAA&#10;">
                        <v:fill on="f" focussize="0,0"/>
                        <v:stroke color="#000000" joinstyle="round" endarrow="block"/>
                        <v:imagedata o:title=""/>
                        <o:lock v:ext="edit" aspectratio="f"/>
                      </v:line>
                      <v:line id="直线 224" o:spid="_x0000_s1026" o:spt="20" style="position:absolute;left:1980565;top:2362835;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Pv/TjAACAADuAwAA&#10;DgAAAGRycy9lMm9Eb2MueG1srVNLjhMxEN0jcQfLe9JJDwmdVjqzmDCwQBBp4AA1/nRb8k+2J52c&#10;hWuwYsNx5hqU3WEGBiHNgl5Y9fOreq/Lm8uj0eQgQlTOdnQxm1MiLHNc2b6jXz5fv2ooiQksB+2s&#10;6OhJRHq5ffliM/pW1G5wmotAEMTGdvQdHVLybVVFNggDcea8sJiULhhI6Ia+4gFGRDe6qufzVTW6&#10;wH1wTMSI0d2UpGfE8BxAJ6ViYufYnRE2TahBaEhIKQ7KR7ot00opWPokZRSJ6I4i01RObIL2bT6r&#10;7QbaPoAfFDuPAM8Z4QknA8pi0weoHSQgd0H9BWUUCy46mWbMmWoiUhRBFov5E21uBvCicEGpo38Q&#10;Pf4/WPbxsA9EcdyEN2tKLBj85fdfv91//0Hq+nXWZ/SxxbIruw9nL/p9yGSPMhgitfLv8Xqhj4TI&#10;EZ11M1+ulpScOlpfrOrmYjkpLY6JMCxYYYAwzC6aumnKb6gmvIzrQ0zvhDMkGx3VymYVoIXDh5hw&#10;Biz9VZLD2pKxo+tlnTEBV1LiKqBpPNKKti93o9OKXyut840Y+tsrHcgB8lqUL8+HuH+U5SY7iMNU&#10;V1ITjUEAf2s5SSePcll8JzSPYASnRAt8VtlCQGgTKP1YmYIC2+t/VGN7bXGKLPgkcbZuHT8V5Usc&#10;16DMeV7ZvGe/++X24zP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88Lv01wAAAAYBAAAPAAAA&#10;AAAAAAEAIAAAADgAAABkcnMvZG93bnJldi54bWxQSwECFAAUAAAACACHTuJAPv/TjAACAADuAwAA&#10;DgAAAAAAAAABACAAAAA8AQAAZHJzL2Uyb0RvYy54bWxQSwUGAAAAAAYABgBZAQAArgUAAAAA&#10;">
                        <v:fill on="f" focussize="0,0"/>
                        <v:stroke color="#000000" joinstyle="round" endarrow="block"/>
                        <v:imagedata o:title=""/>
                        <o:lock v:ext="edit" aspectratio="f"/>
                      </v:line>
                      <v:line id="直线 224" o:spid="_x0000_s1026" o:spt="20" style="position:absolute;left:1972945;top:2788285;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tfBy0P0BAADuAwAA&#10;DgAAAGRycy9lMm9Eb2MueG1srVPNbhMxEL4j8Q6W72STpWk3q2x6aCgcEEQCHmDin11L/pPtZpNn&#10;4TU4ceFx+hqMvaGFIqQe2IM145n5Zr5vx+vro9HkIEJUznZ0MZtTIixzXNm+o18+375qKIkJLAft&#10;rOjoSUR6vXn5Yj36VtRucJqLQBDExnb0HR1S8m1VRTYIA3HmvLAYlC4YSOiGvuIBRkQ3uqrn88tq&#10;dIH74JiIEW+3U5CeEcNzAJ2UiomtY3dG2DShBqEhIaU4KB/ppkwrpWDpo5RRJKI7ikxTObEJ2vt8&#10;Vps1tH0APyh2HgGeM8ITTgaUxaYPUFtIQO6C+gvKKBZcdDLNmDPVRKQogiwW8yfafBrAi8IFpY7+&#10;QfT4/2DZh8MuEMVxExrUxILBX37/9dv99x+kri+yPqOPLabd2F04e9HvQiZ7lMEQqZV/h+WFPhIi&#10;R3RWV/XqYknJqaP1VdPUzXJSWhwTYZhw+RqDDKMLjGFjBK4mvIzrQ0xvhTMkGx3VymYVoIXD+5im&#10;1F8p+VpbMnZ0tawzJuBKSlwFNI1HWtH2pTY6rfit0jpXxNDvb3QgB8hrUb7zCH+k5SZbiMOUV0IT&#10;jUEAf2M5SSePcll8JzSPYASnRAt8VtnCQaFNoPRjZgoKbK//kY0KaItCZMEnibO1d/xUlC/3uAZF&#10;qvPK5j373S/Vj890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88Lv01wAAAAYBAAAPAAAAAAAA&#10;AAEAIAAAADgAAABkcnMvZG93bnJldi54bWxQSwECFAAUAAAACACHTuJAtfBy0P0BAADuAwAADgAA&#10;AAAAAAABACAAAAA8AQAAZHJzL2Uyb0RvYy54bWxQSwUGAAAAAAYABgBZAQAAqwUAAAAA&#10;">
                        <v:fill on="f" focussize="0,0"/>
                        <v:stroke color="#000000" joinstyle="round" endarrow="block"/>
                        <v:imagedata o:title=""/>
                        <o:lock v:ext="edit" aspectratio="f"/>
                      </v:line>
                      <v:shape id="文本框 2" o:spid="_x0000_s1026" o:spt="202" type="#_x0000_t202" style="position:absolute;left:1586865;top:2971800;height:236855;width:807085;" fillcolor="#FFFFFF" filled="t" stroked="t" coordsize="21600,21600" o:gfxdata="UEsFBgAAAAAAAAAAAAAAAAAAAAAAAFBLAwQKAAAAAACHTuJAAAAAAAAAAAAAAAAABAAAAGRycy9Q&#10;SwMEFAAAAAgAh07iQKbUsaXTAAAABgEAAA8AAABkcnMvZG93bnJldi54bWxNj0FLxDAQhe+C/yGM&#10;4M1NtmWr1KYLCoJ4c+1lb9lmti0mk5Jkt+u/d/SilwfDe7z3TbO9eCfOGNMUSMN6pUAg9cFONGjo&#10;Pl7uHkCkbMgaFwg1fGGCbXt91ZjahoXe8bzLg+ASSrXRMOY811KmfkRv0irMSOwdQ/Qm8xkHaaNZ&#10;uNw7WShVSW8m4oXRzPg8Yv+5O3kNr9VT3mNn32xZlGHpZB+PLml9e7NWjyAyXvJfGH7wGR1aZjqE&#10;E9kknAZ+JP8qe/ebqgRx4JAqqg3ItpH/8dtvUEsDBBQAAAAIAIdO4kBV38f6aQIAANIEAAAOAAAA&#10;ZHJzL2Uyb0RvYy54bWytVM1u2zAMvg/YOwi6r3bSJnWDOkXWIsOAYi3QDTsrshwLk0RNUmJ3D7C9&#10;wU677L7nynOMkp3+7tDDclBIkfhIfvro07NOK7IVzkswJR0d5JQIw6GSZl3STx+XbwpKfGCmYgqM&#10;KOmt8PRs/vrVaWtnYgwNqEo4giDGz1pb0iYEO8syzxuhmT8AKwwGa3CaBXTdOqscaxFdq2yc59Os&#10;BVdZB1x4j7cXfZAOiO4lgFDXkosL4BstTOhRnVAs4Ei+kdbTeeq2rgUPV3XtRSCqpDhpSCcWQXsV&#10;z2x+ymZrx2wj+dACe0kLT2bSTBosegd1wQIjGyefQWnJHXiowwEHnfWDJEZwilH+hJubhlmRZkGq&#10;vb0j3f8/WP5he+2IrFAJxSElhml88t3PH7tff3a/v5NxJKi1foZ5NxYzQ/cWOkze33u8jHN3tdPx&#10;HyciMT4ppsV0QsltSccnx6MiH6gWXSAcE4r8OC8wzmPC4bSYTCJidg9knQ/vBGgSjZI6fMlEMNte&#10;+tCn7lNiXQ9KVkupVHLcenWuHNkyfPVl+g3oj9KUIW1Jp4eTPCE/ikXsO4iVYvzLcwTsVplYTySh&#10;DX1FtnpWohW6VTdQuILqFhl00IvQW76UWOWS+XDNHKoONYl7Ga7wqBVgazBYlDTgvv3rPuajGDBK&#10;SYsqLqn/umFOUKLeG5TJyejoKMo+OUeT4zE67mFk9TBiNvockLIRfgEsT2bMD2pv1g70Z1zfRayK&#10;IWY41i5p2Jvnod8tXH8uFouUhEK3LFyaG8sjdCTMwGIToJbpISNNPTcogOig1JMUhrWMu/TQT1n3&#10;n6L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KbUsaXTAAAABgEAAA8AAAAAAAAAAQAgAAAAOAAA&#10;AGRycy9kb3ducmV2LnhtbFBLAQIUABQAAAAIAIdO4kBV38f6aQIAANIEAAAOAAAAAAAAAAEAIAAA&#10;ADgBAABkcnMvZTJvRG9jLnhtbFBLBQYAAAAABgAGAFkBAAATBg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打磨</w:t>
                              </w:r>
                            </w:p>
                          </w:txbxContent>
                        </v:textbox>
                      </v:shape>
                      <v:line id="直线 224" o:spid="_x0000_s1026" o:spt="20" style="position:absolute;left:2001520;top:3238500;flip:x;height:182880;width:635;" filled="f" stroked="t" coordsize="21600,21600" o:gfxdata="UEsFBgAAAAAAAAAAAAAAAAAAAAAAAFBLAwQKAAAAAACHTuJAAAAAAAAAAAAAAAAABAAAAGRycy9Q&#10;SwMEFAAAAAgAh07iQDzwu/TXAAAABgEAAA8AAABkcnMvZG93bnJldi54bWxNj8FOwzAQRO9I/IO1&#10;SNyonUIChDg9IJA4IdoiJG5ubJLQeB3sbVP4ehYucBlpNaOZt9Xi4AexdzH1ATVkMwXCYRNsj62G&#10;5/X92RWIRAatGQI6DZ8uwaI+PqpMacOES7dfUSu4BFNpNHREYyllajrnTZqF0SF7byF6Q3zGVtpo&#10;Ji73g5wrVUhveuSFzozutnPNdrXzGq7XUx6e4vblIus/Xr/u3ml8eCStT08ydQOC3IH+wvCDz+hQ&#10;M9Mm7NAmMWjgR+hX2bvMi3MQGw6peZGDrCv5H7/+BlBLAwQUAAAACACHTuJAiZjWbgACAADuAwAA&#10;DgAAAGRycy9lMm9Eb2MueG1srVNLbtswEN0X6B0I7mvZchyoguUs4qZdFK2BtgcY8yMR4A8kY9ln&#10;6TW66qbHyTU6pNykSVAgi2pBDDnDN/OeHtdXR6PJQYSonO3oYjanRFjmuLJ9R799vXnTUBITWA7a&#10;WdHRk4j0avP61Xr0rajd4DQXgSCIje3oOzqk5NuqimwQBuLMeWExKV0wkHAb+ooHGBHd6Kqezy+r&#10;0QXug2MiRjzdTkl6RgwvAXRSKia2jt0aYdOEGoSGhJTioHykmzKtlIKlz1JGkYjuKDJNZcUmGO/z&#10;Wm3W0PYB/KDYeQR4yQhPOBlQFpveQ20hAbkN6hmUUSy46GSaMWeqiUhRBFks5k+0+TKAF4ULSh39&#10;vejx/8GyT4ddIIqjE5oLSiwY/OV333/c/fxF6voi6zP62GLZtd2F8y76XchkjzIYIrXyH/B6oY+E&#10;yLGj+J8Xqxo1PnV0WS+b1fystDgmwrDgcrmihGF20dRNU5LVhJdxfYjpvXCG5KCjWtmsArRw+BgT&#10;zoClf0rysbZk7OjbVZ0xAS0p0QoYGo+0ou3L3ei04jdK63wjhn5/rQM5QLZF+TJTxH1UlptsIQ5T&#10;XUlNhhkE8HeWk3TyKJfFd0LzCEZwSrTAZ5UjBIQ2gdIPlSkosL3+RzW21xanyIJPEudo7/ipKF/O&#10;0QZlzrNls8/+3pfbD890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88Lv01wAAAAYBAAAPAAAA&#10;AAAAAAEAIAAAADgAAABkcnMvZG93bnJldi54bWxQSwECFAAUAAAACACHTuJAiZjWbgACAADuAwAA&#10;DgAAAAAAAAABACAAAAA8AQAAZHJzL2Uyb0RvYy54bWxQSwUGAAAAAAYABgBZAQAArgUAAAAA&#10;">
                        <v:fill on="f" focussize="0,0"/>
                        <v:stroke color="#000000" joinstyle="round" endarrow="block"/>
                        <v:imagedata o:title=""/>
                        <o:lock v:ext="edit" aspectratio="f"/>
                      </v:line>
                      <v:shape id="直接箭头连接符 29" o:spid="_x0000_s1026" o:spt="32" type="#_x0000_t32" style="position:absolute;left:2401570;top:3086100;flip:y;height:0;width:292100;" filled="f" stroked="t" coordsize="21600,21600" o:gfxdata="UEsFBgAAAAAAAAAAAAAAAAAAAAAAAFBLAwQKAAAAAACHTuJAAAAAAAAAAAAAAAAABAAAAGRycy9Q&#10;SwMEFAAAAAgAh07iQI2lZcDSAAAABgEAAA8AAABkcnMvZG93bnJldi54bWxNj8FOwzAQRO9I/IO1&#10;SNyo3aKmKMTpAYkDR5J8gBNv44h4HdluU/h6Fi5wGWk1o5m31fHqZ3HBmKZAGrYbBQJpCHaiUUPX&#10;vj48gUjZkDVzINTwiQmO9e1NZUobVnrHS5NHwSWUSqPB5byUUqbBoTdpExYk9k4hepP5jKO00axc&#10;7me5U6qQ3kzEC84s+OJw+GjOXoPsHcWvU9sVq3pburWxh9Zbre/vtuoZRMZr/gvDDz6jQ81MfTiT&#10;TWLWwI/kX2XvsC8eQfQcUrtiD7Ku5H/8+htQSwMEFAAAAAgAh07iQFdq0+caAgAABwQAAA4AAABk&#10;cnMvZTJvRG9jLnhtbK1TS44TMRDdI3EHy3vSnYaEJEpnFgnDBsFIfPaO7e625J9cnnRyCS6AxApY&#10;Daxmz2lgOAZld5iBQUizoBetsl316r3n8vJkbzTZyQDK2ZqORyUl0nInlG1r+vrV6YMZJRCZFUw7&#10;K2t6kEBPVvfvLXu/kJXrnBYyEASxsOh9TbsY/aIogHfSMBg5Ly0eNi4YFnEZ2kIE1iO60UVVltOi&#10;d0H44LgEwN3NcEiPiOEugK5pFJcbx8+NtHFADVKziJKgUx7oKrNtGsnji6YBGYmuKSqN+Y9NMN6m&#10;f7FaskUbmO8UP1Jgd6FwS5NhymLTa6gNi4ycB/UXlFE8OHBNHHFnikFIdgRVjMtb3rzsmJdZC1oN&#10;/tp0+H+w/PnuLBAlcBJmU0osM3jlV+8uv7/9ePXl87cPlz++vk/xxSdSzZNbvYcFFq3tWTiuwJ+F&#10;JH3fBEMarfwbBMtmoDyyr2n1qBxPHqPjh5o+LGfTcXn0Xe4j4SlhXqU9wjEhHxUDWkL1AeJT6QxJ&#10;QU0hBqbaLq6dtXi5Lgyd2O4ZROSDhb8KUrG2pK/pfFJNEJzhsDY4JBgaj4LBtpklOK3EqdI6VUBo&#10;t2sdyI6lgclfUo24f6SlJhsG3ZAnMBomqZNMPLGCxINHHy0+IJoYGCko0RLfW4oQjy0iU/omMwbF&#10;bKv/kY3dtUUSyfvB7RRtnTjkS8j7OB+Z5nGW0wD+vs7VN+93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NpWXA0gAAAAYBAAAPAAAAAAAAAAEAIAAAADgAAABkcnMvZG93bnJldi54bWxQSwECFAAU&#10;AAAACACHTuJAV2rT5xoCAAAHBAAADgAAAAAAAAABACAAAAA3AQAAZHJzL2Uyb0RvYy54bWxQSwUG&#10;AAAAAAYABgBZAQAAwwUAAAAA&#10;">
                        <v:fill on="f" focussize="0,0"/>
                        <v:stroke color="#000000" joinstyle="round" dashstyle="dash" endarrow="block"/>
                        <v:imagedata o:title=""/>
                        <o:lock v:ext="edit" aspectratio="f"/>
                      </v:shape>
                      <v:shape id="文本框 30" o:spid="_x0000_s1026" o:spt="202" type="#_x0000_t202" style="position:absolute;left:2703195;top:2963545;height:282575;width:1661795;" filled="f" stroked="f" coordsize="21600,21600" o:gfxdata="UEsFBgAAAAAAAAAAAAAAAAAAAAAAAFBLAwQKAAAAAACHTuJAAAAAAAAAAAAAAAAABAAAAGRycy9Q&#10;SwMEFAAAAAgAh07iQG58GSHYAAAABgEAAA8AAABkcnMvZG93bnJldi54bWxNj09Lw0AQxe9Cv8My&#10;BW92t5HEErMpEiiC6KG1F2+T7DQJZmdjdvtHP72rF708GN7jvd8U64sdxIkm3zvWsFwoEMSNMz23&#10;Gvavm5sVCB+QDQ6OScMneViXs6sCc+POvKXTLrQilrDPUUMXwphL6ZuOLPqFG4mjd3CTxRDPqZVm&#10;wnMst4NMlMqkxZ7jQocjVR0177uj1fBUbV5wWyd29TVUj8+Hh/Fj/5ZqfT1fqnsQgS7hLww/+BEd&#10;yshUuyMbLwYN8ZHwq9G7S7NbEHUMqSRLQZaF/I9ffgNQSwMEFAAAAAgAh07iQDN1xSXeAQAAmQMA&#10;AA4AAABkcnMvZTJvRG9jLnhtbK1TS44TMRDdI3EHy3vSnYR8ppXOSBANGwRIAwdw3Hbakn+4nHSH&#10;A8ANWLFhP+fKOSi7MwkaNrNg012uz6t6z+XVbW80OYgAytmajkclJcJy1yi7q+mXz3evlpRAZLZh&#10;2llR06MAert++WLV+UpMXOt0IwJBEAtV52vaxuirogDeCsNg5LywGJQuGBbxGHZFE1iH6EYXk7Kc&#10;F50LjQ+OCwD0boYgPSOG5wA6KRUXG8f3Rtg4oAahWURK0CoPdJ2nlVLw+FFKEJHomiLTmL/YBO1t&#10;+hbrFat2gflW8fMI7DkjPOFkmLLY9AK1YZGRfVD/QBnFgwMn44g7UwxEsiLIYlw+0ea+ZV5kLig1&#10;+Ivo8P9g+YfDp0BUg5uwXFBimcErP/38cfr1cPr9nUyzQp2HChPvPabG/o3rMTspl/yAzkS8l8Gk&#10;P1IiGJ8syun4ZkbJEe2b+XT2ejZoLfpIeAKYz8eLlMBTxnIyW+SE4orkA8R3whmSjJoGvMssMTu8&#10;h4jdMfUxJTW27k5pne9TW9LVFJuWueASwQptsfA6d7Jiv+3PZLauOSJHfB3YsHXhGyUd7kZN4eue&#10;BUEJsxzdNY2P5ts4LNPeB7VrsSoLkzvgjeUhz9uVVuLvc57j+qL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ufBkh2AAAAAYBAAAPAAAAAAAAAAEAIAAAADgAAABkcnMvZG93bnJldi54bWxQSwEC&#10;FAAUAAAACACHTuJAM3XFJd4BAACZAwAADgAAAAAAAAABACAAAAA9AQAAZHJzL2Uyb0RvYy54bWxQ&#10;SwUGAAAAAAYABgBZAQAAjQUAAAAA&#10;">
                        <v:fill on="f" focussize="0,0"/>
                        <v:stroke on="f" weight="0.5pt"/>
                        <v:imagedata o:title=""/>
                        <o:lock v:ext="edit" aspectratio="f"/>
                        <v:textbox>
                          <w:txbxContent>
                            <w:p>
                              <w:pPr>
                                <w:jc w:val="left"/>
                                <w:rPr>
                                  <w:rFonts w:hint="default"/>
                                  <w:lang w:val="en-US" w:eastAsia="zh-CN"/>
                                </w:rPr>
                              </w:pPr>
                              <w:r>
                                <w:rPr>
                                  <w:rFonts w:hint="eastAsia"/>
                                  <w:sz w:val="20"/>
                                  <w:szCs w:val="20"/>
                                  <w:lang w:val="en-US" w:eastAsia="zh-CN"/>
                                </w:rPr>
                                <w:t>G4打磨粉尘、</w:t>
                              </w:r>
                              <w:r>
                                <w:rPr>
                                  <w:rFonts w:hint="eastAsia"/>
                                  <w:lang w:val="en-US" w:eastAsia="zh-CN"/>
                                </w:rPr>
                                <w:t>N噪声</w:t>
                              </w:r>
                            </w:p>
                          </w:txbxContent>
                        </v:textbox>
                      </v:shape>
                      <w10:wrap type="none"/>
                      <w10:anchorlock/>
                    </v:group>
                  </w:pict>
                </mc:Fallback>
              </mc:AlternateContent>
            </w:r>
          </w:p>
          <w:p>
            <w:pPr>
              <w:adjustRightInd w:val="0"/>
              <w:snapToGrid w:val="0"/>
              <w:spacing w:line="360" w:lineRule="auto"/>
              <w:jc w:val="center"/>
              <w:rPr>
                <w:rFonts w:ascii="Times New Roman" w:hAnsi="Times New Roman" w:eastAsia="宋体"/>
                <w:b/>
                <w:bCs/>
                <w:color w:val="auto"/>
                <w:sz w:val="24"/>
              </w:rPr>
            </w:pPr>
            <w:r>
              <w:rPr>
                <w:rFonts w:ascii="Times New Roman" w:hAnsi="Times New Roman" w:eastAsia="宋体"/>
                <w:b/>
                <w:color w:val="auto"/>
                <w:sz w:val="24"/>
              </w:rPr>
              <w:t>图</w:t>
            </w:r>
            <w:r>
              <w:rPr>
                <w:rFonts w:hint="eastAsia" w:ascii="Times New Roman" w:hAnsi="Times New Roman" w:eastAsia="宋体"/>
                <w:b/>
                <w:color w:val="auto"/>
                <w:sz w:val="24"/>
              </w:rPr>
              <w:t>2</w:t>
            </w:r>
            <w:r>
              <w:rPr>
                <w:rFonts w:ascii="Times New Roman" w:hAnsi="Times New Roman" w:eastAsia="宋体"/>
                <w:b/>
                <w:color w:val="auto"/>
                <w:sz w:val="24"/>
              </w:rPr>
              <w:t>-</w:t>
            </w:r>
            <w:r>
              <w:rPr>
                <w:rFonts w:hint="eastAsia"/>
                <w:b/>
                <w:color w:val="auto"/>
                <w:sz w:val="24"/>
                <w:lang w:val="en-US" w:eastAsia="zh-CN"/>
              </w:rPr>
              <w:t>5</w:t>
            </w:r>
            <w:r>
              <w:rPr>
                <w:rFonts w:ascii="Times New Roman" w:hAnsi="Times New Roman" w:eastAsia="宋体"/>
                <w:b/>
                <w:color w:val="auto"/>
                <w:sz w:val="24"/>
              </w:rPr>
              <w:t xml:space="preserve"> </w:t>
            </w:r>
            <w:r>
              <w:rPr>
                <w:rFonts w:hint="eastAsia" w:ascii="Times New Roman" w:hAnsi="Times New Roman" w:eastAsia="宋体"/>
                <w:b/>
                <w:color w:val="auto"/>
                <w:sz w:val="24"/>
              </w:rPr>
              <w:t>本项目生产</w:t>
            </w:r>
            <w:r>
              <w:rPr>
                <w:rFonts w:ascii="Times New Roman" w:hAnsi="Times New Roman" w:eastAsia="宋体"/>
                <w:b/>
                <w:color w:val="auto"/>
                <w:sz w:val="24"/>
              </w:rPr>
              <w:t>工艺流程</w:t>
            </w:r>
          </w:p>
          <w:p>
            <w:pPr>
              <w:spacing w:line="360" w:lineRule="auto"/>
              <w:rPr>
                <w:rFonts w:ascii="Times New Roman" w:hAnsi="Times New Roman" w:eastAsia="宋体"/>
                <w:b/>
                <w:bCs/>
                <w:color w:val="auto"/>
                <w:sz w:val="24"/>
              </w:rPr>
            </w:pPr>
            <w:r>
              <w:rPr>
                <w:rFonts w:hint="eastAsia" w:ascii="Times New Roman" w:hAnsi="Times New Roman" w:eastAsia="宋体"/>
                <w:b/>
                <w:bCs/>
                <w:color w:val="auto"/>
                <w:sz w:val="24"/>
              </w:rPr>
              <w:t>生产</w:t>
            </w:r>
            <w:r>
              <w:rPr>
                <w:rFonts w:ascii="Times New Roman" w:hAnsi="Times New Roman" w:eastAsia="宋体"/>
                <w:b/>
                <w:bCs/>
                <w:color w:val="auto"/>
                <w:sz w:val="24"/>
              </w:rPr>
              <w:t>工艺说明：</w:t>
            </w:r>
          </w:p>
          <w:p>
            <w:pPr>
              <w:adjustRightInd w:val="0"/>
              <w:snapToGrid w:val="0"/>
              <w:spacing w:line="360" w:lineRule="auto"/>
              <w:ind w:firstLine="480" w:firstLineChars="200"/>
              <w:rPr>
                <w:rFonts w:hint="default" w:ascii="Times New Roman" w:hAnsi="Times New Roman" w:eastAsia="宋体"/>
                <w:b w:val="0"/>
                <w:bCs w:val="0"/>
                <w:color w:val="0000FF"/>
                <w:sz w:val="24"/>
                <w:szCs w:val="24"/>
                <w:lang w:val="en-US"/>
              </w:rPr>
            </w:pPr>
            <w:r>
              <w:rPr>
                <w:rFonts w:hint="eastAsia" w:ascii="Times New Roman" w:hAnsi="Times New Roman" w:eastAsia="宋体"/>
                <w:color w:val="auto"/>
                <w:sz w:val="24"/>
                <w:lang w:val="en-US" w:eastAsia="zh-CN"/>
              </w:rPr>
              <w:t>①机加工</w:t>
            </w:r>
            <w:r>
              <w:rPr>
                <w:rFonts w:hint="eastAsia" w:ascii="Times New Roman" w:hAnsi="Times New Roman" w:eastAsia="宋体"/>
                <w:color w:val="auto"/>
                <w:sz w:val="24"/>
              </w:rPr>
              <w:t>：将切割后的原料，根据来料尺寸大小、需加工的形状、加工部位的大小，进行折弯成型。</w:t>
            </w:r>
            <w:r>
              <w:rPr>
                <w:rFonts w:hint="eastAsia" w:ascii="Times New Roman" w:hAnsi="Times New Roman" w:eastAsia="宋体"/>
                <w:color w:val="auto"/>
                <w:sz w:val="24"/>
                <w:lang w:val="en-US" w:eastAsia="zh-CN"/>
              </w:rPr>
              <w:t>现有</w:t>
            </w:r>
            <w:r>
              <w:rPr>
                <w:rFonts w:hint="eastAsia" w:ascii="Times New Roman" w:hAnsi="Times New Roman" w:eastAsia="宋体"/>
                <w:color w:val="auto"/>
                <w:sz w:val="24"/>
              </w:rPr>
              <w:t>项目机加工工序只进行折弯工序</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本次技改机加工工序涉及铣床、碳刨、加工中心，</w:t>
            </w:r>
            <w:r>
              <w:rPr>
                <w:rFonts w:hint="eastAsia" w:ascii="Times New Roman" w:hAnsi="Times New Roman" w:eastAsia="宋体"/>
                <w:b w:val="0"/>
                <w:bCs w:val="0"/>
                <w:color w:val="0000FF"/>
                <w:sz w:val="24"/>
                <w:szCs w:val="24"/>
                <w:lang w:val="en-US" w:eastAsia="zh-CN"/>
              </w:rPr>
              <w:t>本项目机加工过程中，工件加工处会产生高温，导</w:t>
            </w:r>
            <w:r>
              <w:rPr>
                <w:rFonts w:hint="eastAsia" w:ascii="Times New Roman" w:hAnsi="Times New Roman" w:eastAsia="宋体" w:cs="Times New Roman"/>
                <w:b w:val="0"/>
                <w:bCs w:val="0"/>
                <w:color w:val="0000FF"/>
                <w:sz w:val="24"/>
                <w:szCs w:val="24"/>
                <w:lang w:val="en-US" w:eastAsia="zh-CN"/>
              </w:rPr>
              <w:t>致该区域切削液受热挥发，产生机加工废气</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年机加工时间为2400h/a</w:t>
            </w:r>
            <w:r>
              <w:rPr>
                <w:rFonts w:hint="eastAsia" w:ascii="Times New Roman" w:hAnsi="Times New Roman" w:eastAsia="宋体" w:cs="Times New Roman"/>
                <w:b w:val="0"/>
                <w:bCs w:val="0"/>
                <w:color w:val="0000FF"/>
                <w:sz w:val="24"/>
                <w:szCs w:val="24"/>
                <w:lang w:val="en-US" w:eastAsia="zh-CN"/>
              </w:rPr>
              <w:t>。</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w:t>
            </w:r>
            <w:r>
              <w:rPr>
                <w:rFonts w:hint="eastAsia" w:ascii="Times New Roman" w:hAnsi="Times New Roman" w:eastAsia="宋体"/>
                <w:color w:val="auto"/>
                <w:sz w:val="24"/>
                <w:lang w:val="en-US" w:eastAsia="zh-CN"/>
              </w:rPr>
              <w:t>机加工废气G3，</w:t>
            </w:r>
            <w:r>
              <w:rPr>
                <w:rFonts w:hint="eastAsia" w:ascii="Times New Roman" w:hAnsi="Times New Roman" w:eastAsia="宋体"/>
                <w:color w:val="auto"/>
                <w:sz w:val="24"/>
              </w:rPr>
              <w:t>噪声N。</w:t>
            </w:r>
          </w:p>
          <w:p>
            <w:pPr>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②喷漆：对淬火处理后的工件</w:t>
            </w:r>
            <w:r>
              <w:rPr>
                <w:rFonts w:hint="eastAsia" w:ascii="Times New Roman" w:hAnsi="Times New Roman" w:eastAsia="宋体"/>
                <w:color w:val="auto"/>
                <w:sz w:val="24"/>
                <w:lang w:eastAsia="zh-CN"/>
              </w:rPr>
              <w:t>进行喷漆，使其表面形成漆膜，以保护工件不受外界侵蚀。涂料采用高固份漆，使用前油漆与</w:t>
            </w:r>
            <w:r>
              <w:rPr>
                <w:rFonts w:hint="eastAsia" w:ascii="Times New Roman" w:hAnsi="Times New Roman" w:eastAsia="宋体"/>
                <w:color w:val="auto"/>
                <w:sz w:val="24"/>
                <w:lang w:val="en-US" w:eastAsia="zh-CN"/>
              </w:rPr>
              <w:t>稀释剂</w:t>
            </w:r>
            <w:r>
              <w:rPr>
                <w:rFonts w:hint="eastAsia" w:ascii="Times New Roman" w:hAnsi="Times New Roman" w:eastAsia="宋体"/>
                <w:color w:val="auto"/>
                <w:sz w:val="24"/>
                <w:lang w:eastAsia="zh-CN"/>
              </w:rPr>
              <w:t>按</w:t>
            </w:r>
            <w:r>
              <w:rPr>
                <w:rFonts w:hint="eastAsia" w:ascii="Times New Roman" w:hAnsi="Times New Roman" w:eastAsia="宋体"/>
                <w:color w:val="auto"/>
                <w:sz w:val="24"/>
                <w:lang w:val="en-US" w:eastAsia="zh-CN"/>
              </w:rPr>
              <w:t>比例在喷漆房内人工搅拌均匀，不设置调漆间，调漆废气合入喷漆废气分析，不再单独分析。喷漆房采用负压换气，喷涂工艺采用空气喷涂，以喷枪为工具，其基本原理是：当一定压力的压缩空气从喷嘴的环形孔喷出时在喷嘴前形成负压，喷料在气压作用下，通过中心孔道被抽出，涂料与压缩空气会</w:t>
            </w:r>
            <w:r>
              <w:rPr>
                <w:rFonts w:hint="eastAsia"/>
                <w:color w:val="auto"/>
                <w:sz w:val="24"/>
                <w:lang w:val="en-US" w:eastAsia="zh-CN"/>
              </w:rPr>
              <w:t>合</w:t>
            </w:r>
            <w:r>
              <w:rPr>
                <w:rFonts w:hint="eastAsia" w:ascii="Times New Roman" w:hAnsi="Times New Roman" w:eastAsia="宋体"/>
                <w:color w:val="auto"/>
                <w:sz w:val="24"/>
                <w:lang w:val="en-US" w:eastAsia="zh-CN"/>
              </w:rPr>
              <w:t>后，分散成细小颗粒物，在表面上形成漆膜。喷涂时间以588h/a计，晾干时间以1</w:t>
            </w:r>
            <w:r>
              <w:rPr>
                <w:rFonts w:hint="eastAsia"/>
                <w:color w:val="auto"/>
                <w:sz w:val="24"/>
                <w:lang w:val="en-US" w:eastAsia="zh-CN"/>
              </w:rPr>
              <w:t>8</w:t>
            </w:r>
            <w:r>
              <w:rPr>
                <w:rFonts w:hint="eastAsia" w:ascii="Times New Roman" w:hAnsi="Times New Roman" w:eastAsia="宋体"/>
                <w:color w:val="auto"/>
                <w:sz w:val="24"/>
                <w:lang w:val="en-US" w:eastAsia="zh-CN"/>
              </w:rPr>
              <w:t>00h/a计</w:t>
            </w:r>
          </w:p>
          <w:p>
            <w:pPr>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本项目喷漆结束后喷枪采用稀释剂进行清洗，清洗过程中产生废气合入喷漆废气分析。此工序产生喷漆废气（G</w:t>
            </w:r>
            <w:r>
              <w:rPr>
                <w:rFonts w:hint="eastAsia"/>
                <w:color w:val="auto"/>
                <w:sz w:val="24"/>
                <w:lang w:val="en-US" w:eastAsia="zh-CN"/>
              </w:rPr>
              <w:t>5</w:t>
            </w:r>
            <w:r>
              <w:rPr>
                <w:rFonts w:hint="eastAsia" w:ascii="Times New Roman" w:hAnsi="Times New Roman" w:eastAsia="宋体"/>
                <w:color w:val="auto"/>
                <w:sz w:val="24"/>
                <w:lang w:val="en-US" w:eastAsia="zh-CN"/>
              </w:rPr>
              <w:t>、G</w:t>
            </w:r>
            <w:r>
              <w:rPr>
                <w:rFonts w:hint="eastAsia"/>
                <w:color w:val="auto"/>
                <w:sz w:val="24"/>
                <w:lang w:val="en-US" w:eastAsia="zh-CN"/>
              </w:rPr>
              <w:t>7</w:t>
            </w:r>
            <w:r>
              <w:rPr>
                <w:rFonts w:hint="eastAsia" w:ascii="Times New Roman" w:hAnsi="Times New Roman" w:eastAsia="宋体"/>
                <w:color w:val="auto"/>
                <w:sz w:val="24"/>
                <w:lang w:val="en-US" w:eastAsia="zh-CN"/>
              </w:rPr>
              <w:t>）、漆渣（S5）。</w:t>
            </w:r>
          </w:p>
          <w:p>
            <w:pPr>
              <w:spacing w:line="360" w:lineRule="auto"/>
              <w:ind w:firstLine="480" w:firstLineChars="200"/>
              <w:rPr>
                <w:rFonts w:hint="eastAsia" w:ascii="Times New Roman" w:hAnsi="Times New Roman" w:eastAsia="宋体"/>
                <w:color w:val="auto"/>
                <w:sz w:val="24"/>
                <w:lang w:eastAsia="zh-CN"/>
              </w:rPr>
            </w:pPr>
            <w:r>
              <w:rPr>
                <w:rFonts w:hint="eastAsia"/>
                <w:color w:val="auto"/>
                <w:sz w:val="24"/>
                <w:lang w:val="en-US" w:eastAsia="zh-CN"/>
              </w:rPr>
              <w:t>③</w:t>
            </w:r>
            <w:r>
              <w:rPr>
                <w:rFonts w:hint="eastAsia" w:ascii="Times New Roman" w:hAnsi="Times New Roman" w:eastAsia="宋体"/>
                <w:color w:val="auto"/>
                <w:sz w:val="24"/>
                <w:lang w:val="en-US" w:eastAsia="zh-CN"/>
              </w:rPr>
              <w:t>晾干：喷漆结束后在喷漆房晾干，此工序产生晾干废气（G</w:t>
            </w:r>
            <w:r>
              <w:rPr>
                <w:rFonts w:hint="eastAsia"/>
                <w:color w:val="auto"/>
                <w:sz w:val="24"/>
                <w:lang w:val="en-US" w:eastAsia="zh-CN"/>
              </w:rPr>
              <w:t>6</w:t>
            </w:r>
            <w:r>
              <w:rPr>
                <w:rFonts w:hint="eastAsia" w:ascii="Times New Roman" w:hAnsi="Times New Roman" w:eastAsia="宋体"/>
                <w:color w:val="auto"/>
                <w:sz w:val="24"/>
                <w:lang w:val="en-US" w:eastAsia="zh-CN"/>
              </w:rPr>
              <w:t>、G</w:t>
            </w:r>
            <w:r>
              <w:rPr>
                <w:rFonts w:hint="eastAsia"/>
                <w:color w:val="auto"/>
                <w:sz w:val="24"/>
                <w:lang w:val="en-US" w:eastAsia="zh-CN"/>
              </w:rPr>
              <w:t>8</w:t>
            </w:r>
            <w:r>
              <w:rPr>
                <w:rFonts w:hint="eastAsia" w:ascii="Times New Roman" w:hAnsi="Times New Roman" w:eastAsia="宋体"/>
                <w:color w:val="auto"/>
                <w:sz w:val="24"/>
                <w:lang w:val="en-US" w:eastAsia="zh-CN"/>
              </w:rPr>
              <w:t>）。</w:t>
            </w:r>
          </w:p>
          <w:p>
            <w:pPr>
              <w:spacing w:line="360" w:lineRule="auto"/>
              <w:ind w:firstLine="480" w:firstLineChars="200"/>
              <w:rPr>
                <w:rFonts w:ascii="Times New Roman" w:hAnsi="Times New Roman" w:eastAsia="宋体"/>
                <w:b/>
                <w:color w:val="auto"/>
                <w:sz w:val="24"/>
              </w:rPr>
            </w:pPr>
            <w:r>
              <w:rPr>
                <w:rFonts w:ascii="Times New Roman" w:hAnsi="Times New Roman" w:eastAsia="宋体"/>
                <w:color w:val="auto"/>
                <w:sz w:val="24"/>
              </w:rPr>
              <w:t>本项目营运期主要污染工序见表</w:t>
            </w:r>
            <w:r>
              <w:rPr>
                <w:rFonts w:hint="eastAsia" w:ascii="Times New Roman" w:hAnsi="Times New Roman" w:eastAsia="宋体"/>
                <w:color w:val="auto"/>
                <w:sz w:val="24"/>
              </w:rPr>
              <w:t>2</w:t>
            </w:r>
            <w:r>
              <w:rPr>
                <w:rFonts w:ascii="Times New Roman" w:hAnsi="Times New Roman" w:eastAsia="宋体"/>
                <w:color w:val="auto"/>
                <w:sz w:val="24"/>
              </w:rPr>
              <w:t>-</w:t>
            </w:r>
            <w:r>
              <w:rPr>
                <w:rFonts w:hint="eastAsia" w:ascii="Times New Roman" w:hAnsi="Times New Roman" w:eastAsia="宋体"/>
                <w:color w:val="auto"/>
                <w:sz w:val="24"/>
                <w:lang w:val="en-US" w:eastAsia="zh-CN"/>
              </w:rPr>
              <w:t>10</w:t>
            </w:r>
            <w:r>
              <w:rPr>
                <w:rFonts w:ascii="Times New Roman" w:hAnsi="Times New Roman" w:eastAsia="宋体"/>
                <w:color w:val="auto"/>
                <w:sz w:val="24"/>
              </w:rPr>
              <w:t>。</w:t>
            </w:r>
          </w:p>
          <w:p>
            <w:pPr>
              <w:adjustRightInd w:val="0"/>
              <w:snapToGrid w:val="0"/>
              <w:ind w:firstLine="482"/>
              <w:jc w:val="center"/>
              <w:rPr>
                <w:rFonts w:hint="eastAsia" w:ascii="Times New Roman" w:hAnsi="Times New Roman" w:eastAsia="宋体"/>
                <w:b/>
                <w:color w:val="auto"/>
              </w:rPr>
            </w:pPr>
            <w:r>
              <w:rPr>
                <w:rFonts w:hint="eastAsia" w:ascii="Times New Roman" w:hAnsi="Times New Roman" w:eastAsia="宋体"/>
                <w:b/>
                <w:color w:val="auto"/>
              </w:rPr>
              <w:t>表2</w:t>
            </w:r>
            <w:r>
              <w:rPr>
                <w:rFonts w:ascii="Times New Roman" w:hAnsi="Times New Roman" w:eastAsia="宋体"/>
                <w:b/>
                <w:color w:val="auto"/>
              </w:rPr>
              <w:t>-</w:t>
            </w:r>
            <w:r>
              <w:rPr>
                <w:rFonts w:hint="eastAsia" w:ascii="Times New Roman" w:hAnsi="Times New Roman" w:eastAsia="宋体"/>
                <w:b/>
                <w:color w:val="auto"/>
                <w:lang w:val="en-US" w:eastAsia="zh-CN"/>
              </w:rPr>
              <w:t>10</w:t>
            </w:r>
            <w:r>
              <w:rPr>
                <w:rFonts w:ascii="Times New Roman" w:hAnsi="Times New Roman" w:eastAsia="宋体"/>
                <w:b/>
                <w:color w:val="auto"/>
              </w:rPr>
              <w:t xml:space="preserve"> </w:t>
            </w:r>
            <w:r>
              <w:rPr>
                <w:rFonts w:hint="eastAsia" w:ascii="Times New Roman" w:hAnsi="Times New Roman" w:eastAsia="宋体"/>
                <w:b/>
                <w:color w:val="auto"/>
              </w:rPr>
              <w:t>本项目营运期主要产污环节汇总表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006"/>
              <w:gridCol w:w="1841"/>
              <w:gridCol w:w="2285"/>
              <w:gridCol w:w="2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污染因素</w:t>
                  </w: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编号</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名称</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产污环节</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lang w:eastAsia="zh-CN"/>
                    </w:rPr>
                    <w:t>废水</w:t>
                  </w: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W1</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生活污水</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职工生活</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COD、NH</w:t>
                  </w:r>
                  <w:r>
                    <w:rPr>
                      <w:rFonts w:hint="eastAsia" w:ascii="Times New Roman" w:hAnsi="Times New Roman" w:eastAsia="宋体" w:cs="Times New Roman"/>
                      <w:b w:val="0"/>
                      <w:bCs/>
                      <w:color w:val="000000"/>
                      <w:sz w:val="21"/>
                      <w:szCs w:val="21"/>
                      <w:vertAlign w:val="subscript"/>
                      <w:lang w:val="en-US" w:eastAsia="zh-CN"/>
                    </w:rPr>
                    <w:t>3</w:t>
                  </w:r>
                  <w:r>
                    <w:rPr>
                      <w:rFonts w:hint="eastAsia" w:ascii="Times New Roman" w:hAnsi="Times New Roman" w:eastAsia="宋体" w:cs="Times New Roman"/>
                      <w:b w:val="0"/>
                      <w:bCs/>
                      <w:color w:val="000000"/>
                      <w:sz w:val="21"/>
                      <w:szCs w:val="21"/>
                      <w:lang w:val="en-US" w:eastAsia="zh-CN"/>
                    </w:rPr>
                    <w:t>-N等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eastAsia="zh-CN"/>
                    </w:rPr>
                    <w:t>废气</w:t>
                  </w:r>
                </w:p>
              </w:tc>
              <w:tc>
                <w:tcPr>
                  <w:tcW w:w="607" w:type="pct"/>
                  <w:tcBorders>
                    <w:tl2br w:val="nil"/>
                    <w:tr2bl w:val="nil"/>
                  </w:tcBorders>
                  <w:noWrap w:val="0"/>
                  <w:tcMar>
                    <w:left w:w="28" w:type="dxa"/>
                    <w:right w:w="28" w:type="dxa"/>
                  </w:tcMar>
                  <w:vAlign w:val="center"/>
                </w:tcPr>
                <w:p>
                  <w:pPr>
                    <w:adjustRightInd w:val="0"/>
                    <w:snapToGrid w:val="0"/>
                    <w:spacing w:line="32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G3</w:t>
                  </w:r>
                </w:p>
              </w:tc>
              <w:tc>
                <w:tcPr>
                  <w:tcW w:w="1111" w:type="pct"/>
                  <w:tcBorders>
                    <w:tl2br w:val="nil"/>
                    <w:tr2bl w:val="nil"/>
                  </w:tcBorders>
                  <w:noWrap w:val="0"/>
                  <w:tcMar>
                    <w:left w:w="28" w:type="dxa"/>
                    <w:right w:w="28" w:type="dxa"/>
                  </w:tcMar>
                  <w:vAlign w:val="center"/>
                </w:tcPr>
                <w:p>
                  <w:pPr>
                    <w:adjustRightInd w:val="0"/>
                    <w:snapToGrid w:val="0"/>
                    <w:spacing w:line="32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机加工废气</w:t>
                  </w:r>
                </w:p>
              </w:tc>
              <w:tc>
                <w:tcPr>
                  <w:tcW w:w="1379" w:type="pct"/>
                  <w:tcBorders>
                    <w:tl2br w:val="nil"/>
                    <w:tr2bl w:val="nil"/>
                  </w:tcBorders>
                  <w:noWrap w:val="0"/>
                  <w:tcMar>
                    <w:left w:w="28" w:type="dxa"/>
                    <w:right w:w="28" w:type="dxa"/>
                  </w:tcMar>
                  <w:vAlign w:val="center"/>
                </w:tcPr>
                <w:p>
                  <w:pPr>
                    <w:adjustRightInd w:val="0"/>
                    <w:snapToGrid w:val="0"/>
                    <w:spacing w:line="320" w:lineRule="exact"/>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机加工</w:t>
                  </w:r>
                </w:p>
              </w:tc>
              <w:tc>
                <w:tcPr>
                  <w:tcW w:w="1296" w:type="pct"/>
                  <w:tcBorders>
                    <w:tl2br w:val="nil"/>
                    <w:tr2bl w:val="nil"/>
                  </w:tcBorders>
                  <w:noWrap w:val="0"/>
                  <w:tcMar>
                    <w:left w:w="28" w:type="dxa"/>
                    <w:right w:w="28" w:type="dxa"/>
                  </w:tcMar>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p>
              </w:tc>
              <w:tc>
                <w:tcPr>
                  <w:tcW w:w="607" w:type="pct"/>
                  <w:tcBorders>
                    <w:tl2br w:val="nil"/>
                    <w:tr2bl w:val="nil"/>
                  </w:tcBorders>
                  <w:noWrap w:val="0"/>
                  <w:tcMar>
                    <w:left w:w="28" w:type="dxa"/>
                    <w:right w:w="28" w:type="dxa"/>
                  </w:tcMar>
                  <w:vAlign w:val="center"/>
                </w:tcPr>
                <w:p>
                  <w:pPr>
                    <w:adjustRightInd w:val="0"/>
                    <w:snapToGrid w:val="0"/>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G4、G6</w:t>
                  </w:r>
                </w:p>
              </w:tc>
              <w:tc>
                <w:tcPr>
                  <w:tcW w:w="1111" w:type="pct"/>
                  <w:tcBorders>
                    <w:tl2br w:val="nil"/>
                    <w:tr2bl w:val="nil"/>
                  </w:tcBorders>
                  <w:noWrap w:val="0"/>
                  <w:tcMar>
                    <w:left w:w="28" w:type="dxa"/>
                    <w:right w:w="28" w:type="dxa"/>
                  </w:tcMar>
                  <w:vAlign w:val="center"/>
                </w:tcPr>
                <w:p>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喷漆</w:t>
                  </w:r>
                  <w:r>
                    <w:rPr>
                      <w:rFonts w:hint="eastAsia" w:ascii="Times New Roman" w:hAnsi="Times New Roman" w:eastAsia="宋体"/>
                      <w:color w:val="auto"/>
                      <w:szCs w:val="21"/>
                    </w:rPr>
                    <w:t>废气</w:t>
                  </w:r>
                </w:p>
              </w:tc>
              <w:tc>
                <w:tcPr>
                  <w:tcW w:w="1379" w:type="pct"/>
                  <w:tcBorders>
                    <w:tl2br w:val="nil"/>
                    <w:tr2bl w:val="nil"/>
                  </w:tcBorders>
                  <w:noWrap w:val="0"/>
                  <w:tcMar>
                    <w:left w:w="28" w:type="dxa"/>
                    <w:right w:w="28" w:type="dxa"/>
                  </w:tcMar>
                  <w:vAlign w:val="center"/>
                </w:tcPr>
                <w:p>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喷漆</w:t>
                  </w:r>
                </w:p>
              </w:tc>
              <w:tc>
                <w:tcPr>
                  <w:tcW w:w="1296" w:type="pct"/>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非甲烷总烃</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二甲苯、苯系物、颗粒物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p>
              </w:tc>
              <w:tc>
                <w:tcPr>
                  <w:tcW w:w="607" w:type="pct"/>
                  <w:tcBorders>
                    <w:tl2br w:val="nil"/>
                    <w:tr2bl w:val="nil"/>
                  </w:tcBorders>
                  <w:noWrap w:val="0"/>
                  <w:tcMar>
                    <w:left w:w="28" w:type="dxa"/>
                    <w:right w:w="28" w:type="dxa"/>
                  </w:tcMar>
                  <w:vAlign w:val="center"/>
                </w:tcPr>
                <w:p>
                  <w:pPr>
                    <w:adjustRightInd w:val="0"/>
                    <w:snapToGrid w:val="0"/>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G5、G7</w:t>
                  </w:r>
                </w:p>
              </w:tc>
              <w:tc>
                <w:tcPr>
                  <w:tcW w:w="1111" w:type="pct"/>
                  <w:tcBorders>
                    <w:tl2br w:val="nil"/>
                    <w:tr2bl w:val="nil"/>
                  </w:tcBorders>
                  <w:noWrap w:val="0"/>
                  <w:tcMar>
                    <w:left w:w="28" w:type="dxa"/>
                    <w:right w:w="28" w:type="dxa"/>
                  </w:tcMar>
                  <w:vAlign w:val="center"/>
                </w:tcPr>
                <w:p>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晾干</w:t>
                  </w:r>
                  <w:r>
                    <w:rPr>
                      <w:rFonts w:hint="eastAsia" w:ascii="Times New Roman" w:hAnsi="Times New Roman" w:eastAsia="宋体"/>
                      <w:color w:val="auto"/>
                      <w:szCs w:val="21"/>
                    </w:rPr>
                    <w:t>废气</w:t>
                  </w:r>
                </w:p>
              </w:tc>
              <w:tc>
                <w:tcPr>
                  <w:tcW w:w="1379" w:type="pct"/>
                  <w:tcBorders>
                    <w:tl2br w:val="nil"/>
                    <w:tr2bl w:val="nil"/>
                  </w:tcBorders>
                  <w:noWrap w:val="0"/>
                  <w:tcMar>
                    <w:left w:w="28" w:type="dxa"/>
                    <w:right w:w="28" w:type="dxa"/>
                  </w:tcMar>
                  <w:vAlign w:val="center"/>
                </w:tcPr>
                <w:p>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晾干</w:t>
                  </w:r>
                </w:p>
              </w:tc>
              <w:tc>
                <w:tcPr>
                  <w:tcW w:w="1296" w:type="pct"/>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非甲烷总烃</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二甲苯、苯系物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eastAsia="zh-CN"/>
                    </w:rPr>
                    <w:t>固废</w:t>
                  </w: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S5</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漆渣</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喷漆</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油漆等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S6</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废活性炭</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废气处理</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S7</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废过滤材料</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废气处理</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漆雾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S8</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废包装桶</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原料包装</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油漆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S4</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废切削液</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机加工</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切削液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lang w:eastAsia="zh-CN"/>
                    </w:rPr>
                    <w:t>噪声</w:t>
                  </w:r>
                </w:p>
              </w:tc>
              <w:tc>
                <w:tcPr>
                  <w:tcW w:w="60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N</w:t>
                  </w:r>
                </w:p>
              </w:tc>
              <w:tc>
                <w:tcPr>
                  <w:tcW w:w="11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设备运行噪声</w:t>
                  </w:r>
                </w:p>
              </w:tc>
              <w:tc>
                <w:tcPr>
                  <w:tcW w:w="1379"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设备运行</w:t>
                  </w:r>
                </w:p>
              </w:tc>
              <w:tc>
                <w:tcPr>
                  <w:tcW w:w="1296"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L</w:t>
                  </w:r>
                  <w:r>
                    <w:rPr>
                      <w:rFonts w:hint="default" w:ascii="Times New Roman" w:hAnsi="Times New Roman" w:eastAsia="宋体" w:cs="Times New Roman"/>
                      <w:color w:val="000000"/>
                      <w:sz w:val="21"/>
                      <w:szCs w:val="21"/>
                      <w:vertAlign w:val="subscript"/>
                      <w:lang w:val="en-US" w:eastAsia="zh-CN"/>
                    </w:rPr>
                    <w:t>eq</w:t>
                  </w:r>
                  <w:r>
                    <w:rPr>
                      <w:rFonts w:hint="default" w:ascii="Times New Roman" w:hAnsi="Times New Roman" w:eastAsia="宋体" w:cs="Times New Roman"/>
                      <w:color w:val="000000"/>
                      <w:sz w:val="21"/>
                      <w:szCs w:val="21"/>
                      <w:lang w:val="en-US" w:eastAsia="zh-CN"/>
                    </w:rPr>
                    <w:t>（A）</w:t>
                  </w:r>
                </w:p>
              </w:tc>
            </w:tr>
          </w:tbl>
          <w:p>
            <w:pPr>
              <w:pStyle w:val="15"/>
              <w:rPr>
                <w:rFonts w:ascii="Times New Roman" w:hAnsi="Times New Roman"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528" w:type="dxa"/>
            <w:vAlign w:val="center"/>
          </w:tcPr>
          <w:p>
            <w:pPr>
              <w:pStyle w:val="16"/>
              <w:adjustRightInd w:val="0"/>
              <w:snapToGrid w:val="0"/>
              <w:spacing w:before="0" w:beforeAutospacing="0" w:after="0" w:afterAutospacing="0"/>
              <w:jc w:val="center"/>
              <w:rPr>
                <w:rFonts w:hint="eastAsia" w:ascii="Times New Roman" w:hAnsi="Times New Roman" w:eastAsia="宋体" w:cs="宋体"/>
                <w:color w:val="auto"/>
                <w:sz w:val="21"/>
                <w:szCs w:val="21"/>
              </w:rPr>
            </w:pPr>
            <w:r>
              <w:rPr>
                <w:rFonts w:hint="eastAsia" w:ascii="Times New Roman" w:hAnsi="Times New Roman" w:eastAsia="宋体" w:cs="宋体"/>
                <w:bCs/>
                <w:color w:val="auto"/>
                <w:kern w:val="2"/>
                <w:sz w:val="21"/>
                <w:szCs w:val="21"/>
              </w:rPr>
              <w:t>与项目有关的原有环境污染问题</w:t>
            </w:r>
          </w:p>
        </w:tc>
        <w:tc>
          <w:tcPr>
            <w:tcW w:w="8531" w:type="dxa"/>
          </w:tcPr>
          <w:p>
            <w:pPr>
              <w:spacing w:line="360" w:lineRule="auto"/>
              <w:rPr>
                <w:rFonts w:hint="eastAsia" w:ascii="Times New Roman" w:hAnsi="Times New Roman" w:eastAsia="宋体"/>
                <w:b/>
                <w:color w:val="auto"/>
                <w:kern w:val="0"/>
                <w:sz w:val="24"/>
              </w:rPr>
            </w:pPr>
            <w:r>
              <w:rPr>
                <w:rFonts w:hint="eastAsia" w:ascii="Times New Roman" w:hAnsi="Times New Roman" w:eastAsia="宋体"/>
                <w:b/>
                <w:color w:val="auto"/>
                <w:kern w:val="0"/>
                <w:sz w:val="24"/>
              </w:rPr>
              <w:t>与项目有关的原有环境污染问题：</w:t>
            </w:r>
          </w:p>
          <w:p>
            <w:pPr>
              <w:adjustRightInd w:val="0"/>
              <w:snapToGrid w:val="0"/>
              <w:spacing w:line="360" w:lineRule="auto"/>
              <w:jc w:val="left"/>
              <w:rPr>
                <w:rFonts w:ascii="Times New Roman" w:hAnsi="Times New Roman" w:eastAsia="宋体"/>
                <w:b/>
                <w:bCs/>
                <w:color w:val="auto"/>
                <w:sz w:val="24"/>
              </w:rPr>
            </w:pPr>
            <w:r>
              <w:rPr>
                <w:rFonts w:hint="eastAsia" w:ascii="Times New Roman" w:hAnsi="Times New Roman" w:eastAsia="宋体"/>
                <w:b/>
                <w:bCs/>
                <w:color w:val="auto"/>
                <w:sz w:val="24"/>
              </w:rPr>
              <w:t>（一）现有工程履行环保手续情况</w:t>
            </w:r>
          </w:p>
          <w:p>
            <w:pPr>
              <w:spacing w:line="360" w:lineRule="auto"/>
              <w:ind w:firstLine="480" w:firstLineChars="200"/>
              <w:rPr>
                <w:rFonts w:hint="eastAsia" w:ascii="Times New Roman" w:hAnsi="Times New Roman" w:eastAsia="宋体"/>
                <w:bCs/>
                <w:color w:val="auto"/>
                <w:kern w:val="0"/>
                <w:sz w:val="24"/>
              </w:rPr>
            </w:pPr>
            <w:r>
              <w:rPr>
                <w:rFonts w:hint="eastAsia" w:ascii="Times New Roman" w:hAnsi="Times New Roman" w:eastAsia="宋体"/>
                <w:color w:val="auto"/>
                <w:sz w:val="24"/>
                <w:highlight w:val="none"/>
              </w:rPr>
              <w:t>20</w:t>
            </w:r>
            <w:r>
              <w:rPr>
                <w:rFonts w:hint="eastAsia" w:ascii="Times New Roman" w:hAnsi="Times New Roman" w:eastAsia="宋体"/>
                <w:color w:val="auto"/>
                <w:sz w:val="24"/>
                <w:highlight w:val="none"/>
                <w:lang w:val="en-US" w:eastAsia="zh-CN"/>
              </w:rPr>
              <w:t>20</w:t>
            </w:r>
            <w:r>
              <w:rPr>
                <w:rFonts w:hint="eastAsia" w:ascii="Times New Roman" w:hAnsi="Times New Roman" w:eastAsia="宋体"/>
                <w:color w:val="auto"/>
                <w:sz w:val="24"/>
                <w:highlight w:val="none"/>
              </w:rPr>
              <w:t>年</w:t>
            </w:r>
            <w:r>
              <w:rPr>
                <w:rFonts w:hint="eastAsia" w:ascii="Times New Roman" w:hAnsi="Times New Roman" w:eastAsia="宋体"/>
                <w:color w:val="auto"/>
                <w:sz w:val="24"/>
                <w:highlight w:val="none"/>
                <w:lang w:val="en-US" w:eastAsia="zh-CN"/>
              </w:rPr>
              <w:t>8</w:t>
            </w:r>
            <w:r>
              <w:rPr>
                <w:rFonts w:hint="eastAsia" w:ascii="Times New Roman" w:hAnsi="Times New Roman" w:eastAsia="宋体"/>
                <w:color w:val="auto"/>
                <w:sz w:val="24"/>
                <w:highlight w:val="none"/>
              </w:rPr>
              <w:t>月</w:t>
            </w:r>
            <w:r>
              <w:rPr>
                <w:rFonts w:hint="eastAsia" w:ascii="Times New Roman" w:hAnsi="Times New Roman" w:eastAsia="宋体"/>
                <w:color w:val="auto"/>
                <w:sz w:val="24"/>
                <w:lang w:eastAsia="zh-CN"/>
              </w:rPr>
              <w:t>南通浩正机械设备有限公司</w:t>
            </w:r>
            <w:r>
              <w:rPr>
                <w:rFonts w:hint="eastAsia" w:ascii="Times New Roman" w:hAnsi="Times New Roman" w:eastAsia="宋体"/>
                <w:color w:val="auto"/>
                <w:sz w:val="24"/>
              </w:rPr>
              <w:t>委托</w:t>
            </w:r>
            <w:r>
              <w:rPr>
                <w:rFonts w:hint="eastAsia" w:ascii="Times New Roman" w:hAnsi="Times New Roman" w:eastAsia="宋体"/>
                <w:color w:val="auto"/>
                <w:sz w:val="24"/>
                <w:lang w:eastAsia="zh-CN"/>
              </w:rPr>
              <w:t>贵州鼎科环保科技有限公司</w:t>
            </w:r>
            <w:r>
              <w:rPr>
                <w:rFonts w:hint="eastAsia" w:ascii="Times New Roman" w:hAnsi="Times New Roman" w:eastAsia="宋体"/>
                <w:color w:val="auto"/>
                <w:sz w:val="24"/>
              </w:rPr>
              <w:t>编制《</w:t>
            </w:r>
            <w:r>
              <w:rPr>
                <w:rFonts w:hint="eastAsia" w:ascii="Times New Roman" w:hAnsi="Times New Roman" w:eastAsia="宋体"/>
                <w:color w:val="auto"/>
                <w:sz w:val="24"/>
                <w:lang w:eastAsia="zh-CN"/>
              </w:rPr>
              <w:t>新建1200吨港口自动化机械配套件项目</w:t>
            </w:r>
            <w:r>
              <w:rPr>
                <w:rFonts w:hint="eastAsia" w:ascii="Times New Roman" w:hAnsi="Times New Roman" w:eastAsia="宋体"/>
                <w:color w:val="auto"/>
                <w:sz w:val="24"/>
              </w:rPr>
              <w:t>》环境影响报告表，项目于20</w:t>
            </w:r>
            <w:r>
              <w:rPr>
                <w:rFonts w:hint="eastAsia" w:ascii="Times New Roman" w:hAnsi="Times New Roman" w:eastAsia="宋体"/>
                <w:color w:val="auto"/>
                <w:sz w:val="24"/>
                <w:lang w:val="en-US" w:eastAsia="zh-CN"/>
              </w:rPr>
              <w:t>20</w:t>
            </w:r>
            <w:r>
              <w:rPr>
                <w:rFonts w:hint="eastAsia" w:ascii="Times New Roman" w:hAnsi="Times New Roman" w:eastAsia="宋体"/>
                <w:color w:val="auto"/>
                <w:sz w:val="24"/>
              </w:rPr>
              <w:t>年</w:t>
            </w:r>
            <w:r>
              <w:rPr>
                <w:rFonts w:hint="eastAsia" w:ascii="Times New Roman" w:hAnsi="Times New Roman" w:eastAsia="宋体"/>
                <w:color w:val="auto"/>
                <w:sz w:val="24"/>
                <w:lang w:val="en-US" w:eastAsia="zh-CN"/>
              </w:rPr>
              <w:t>9</w:t>
            </w:r>
            <w:r>
              <w:rPr>
                <w:rFonts w:hint="eastAsia" w:ascii="Times New Roman" w:hAnsi="Times New Roman" w:eastAsia="宋体"/>
                <w:color w:val="auto"/>
                <w:sz w:val="24"/>
              </w:rPr>
              <w:t>月</w:t>
            </w:r>
            <w:r>
              <w:rPr>
                <w:rFonts w:hint="eastAsia" w:ascii="Times New Roman" w:hAnsi="Times New Roman" w:eastAsia="宋体"/>
                <w:color w:val="auto"/>
                <w:sz w:val="24"/>
                <w:lang w:val="en-US" w:eastAsia="zh-CN"/>
              </w:rPr>
              <w:t>8</w:t>
            </w:r>
            <w:r>
              <w:rPr>
                <w:rFonts w:hint="eastAsia" w:ascii="Times New Roman" w:hAnsi="Times New Roman" w:eastAsia="宋体"/>
                <w:color w:val="auto"/>
                <w:sz w:val="24"/>
              </w:rPr>
              <w:t>日取得</w:t>
            </w:r>
            <w:r>
              <w:rPr>
                <w:rFonts w:hint="eastAsia" w:ascii="Times New Roman" w:hAnsi="Times New Roman" w:eastAsia="宋体"/>
                <w:color w:val="auto"/>
                <w:sz w:val="24"/>
                <w:lang w:eastAsia="zh-CN"/>
              </w:rPr>
              <w:t>如皋市行政审批局</w:t>
            </w:r>
            <w:r>
              <w:rPr>
                <w:rFonts w:ascii="Times New Roman" w:hAnsi="Times New Roman" w:eastAsia="宋体"/>
                <w:color w:val="auto"/>
                <w:sz w:val="24"/>
              </w:rPr>
              <w:t>批复（</w:t>
            </w:r>
            <w:r>
              <w:rPr>
                <w:rFonts w:hint="eastAsia" w:ascii="Times New Roman" w:hAnsi="Times New Roman" w:eastAsia="宋体"/>
                <w:color w:val="auto"/>
                <w:sz w:val="24"/>
                <w:lang w:eastAsia="zh-CN"/>
              </w:rPr>
              <w:t>皋行审环表复</w:t>
            </w:r>
            <w:r>
              <w:rPr>
                <w:rFonts w:hint="eastAsia" w:ascii="Times New Roman" w:hAnsi="Times New Roman" w:eastAsia="宋体"/>
                <w:color w:val="auto"/>
                <w:sz w:val="24"/>
              </w:rPr>
              <w:t>〔</w:t>
            </w:r>
            <w:r>
              <w:rPr>
                <w:rFonts w:ascii="Times New Roman" w:hAnsi="Times New Roman" w:eastAsia="宋体"/>
                <w:color w:val="auto"/>
                <w:sz w:val="24"/>
              </w:rPr>
              <w:t>20</w:t>
            </w:r>
            <w:r>
              <w:rPr>
                <w:rFonts w:hint="eastAsia" w:ascii="Times New Roman" w:hAnsi="Times New Roman" w:eastAsia="宋体"/>
                <w:color w:val="auto"/>
                <w:sz w:val="24"/>
                <w:lang w:val="en-US" w:eastAsia="zh-CN"/>
              </w:rPr>
              <w:t>20</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193</w:t>
            </w:r>
            <w:r>
              <w:rPr>
                <w:rFonts w:ascii="Times New Roman" w:hAnsi="Times New Roman" w:eastAsia="宋体"/>
                <w:color w:val="auto"/>
                <w:sz w:val="24"/>
              </w:rPr>
              <w:t>号）</w:t>
            </w:r>
            <w:r>
              <w:rPr>
                <w:rFonts w:hint="eastAsia" w:ascii="Times New Roman" w:hAnsi="Times New Roman" w:eastAsia="宋体"/>
                <w:color w:val="auto"/>
                <w:sz w:val="24"/>
              </w:rPr>
              <w:t>，项目于20</w:t>
            </w:r>
            <w:r>
              <w:rPr>
                <w:rFonts w:hint="eastAsia" w:ascii="Times New Roman" w:hAnsi="Times New Roman" w:eastAsia="宋体"/>
                <w:color w:val="auto"/>
                <w:sz w:val="24"/>
                <w:lang w:val="en-US" w:eastAsia="zh-CN"/>
              </w:rPr>
              <w:t>21</w:t>
            </w:r>
            <w:r>
              <w:rPr>
                <w:rFonts w:hint="eastAsia" w:ascii="Times New Roman" w:hAnsi="Times New Roman" w:eastAsia="宋体"/>
                <w:color w:val="auto"/>
                <w:sz w:val="24"/>
              </w:rPr>
              <w:t>年</w:t>
            </w:r>
            <w:r>
              <w:rPr>
                <w:rFonts w:hint="eastAsia" w:ascii="Times New Roman" w:hAnsi="Times New Roman" w:eastAsia="宋体"/>
                <w:color w:val="auto"/>
                <w:sz w:val="24"/>
                <w:lang w:val="en-US" w:eastAsia="zh-CN"/>
              </w:rPr>
              <w:t>12</w:t>
            </w:r>
            <w:r>
              <w:rPr>
                <w:rFonts w:hint="eastAsia" w:ascii="Times New Roman" w:hAnsi="Times New Roman" w:eastAsia="宋体"/>
                <w:color w:val="auto"/>
                <w:sz w:val="24"/>
              </w:rPr>
              <w:t>月</w:t>
            </w:r>
            <w:r>
              <w:rPr>
                <w:rFonts w:hint="eastAsia" w:ascii="Times New Roman" w:hAnsi="Times New Roman" w:eastAsia="宋体"/>
                <w:color w:val="auto"/>
                <w:sz w:val="24"/>
                <w:lang w:val="en-US" w:eastAsia="zh-CN"/>
              </w:rPr>
              <w:t>完成</w:t>
            </w:r>
            <w:r>
              <w:rPr>
                <w:rFonts w:hint="eastAsia" w:ascii="Times New Roman" w:hAnsi="Times New Roman" w:eastAsia="宋体"/>
                <w:color w:val="auto"/>
                <w:sz w:val="24"/>
              </w:rPr>
              <w:t>竣工环境保护自主验收</w:t>
            </w:r>
            <w:r>
              <w:rPr>
                <w:rFonts w:ascii="Times New Roman" w:hAnsi="Times New Roman" w:eastAsia="宋体"/>
                <w:color w:val="auto"/>
                <w:sz w:val="24"/>
              </w:rPr>
              <w:t>。</w:t>
            </w:r>
            <w:r>
              <w:rPr>
                <w:rFonts w:hint="eastAsia" w:ascii="Times New Roman" w:hAnsi="Times New Roman" w:eastAsia="宋体"/>
                <w:bCs/>
                <w:color w:val="auto"/>
                <w:kern w:val="0"/>
                <w:sz w:val="24"/>
              </w:rPr>
              <w:t>公司现有相关环保审批及验收手续详见表2-</w:t>
            </w:r>
            <w:r>
              <w:rPr>
                <w:rFonts w:hint="eastAsia" w:ascii="Times New Roman" w:hAnsi="Times New Roman" w:eastAsia="宋体"/>
                <w:bCs/>
                <w:color w:val="auto"/>
                <w:kern w:val="0"/>
                <w:sz w:val="24"/>
                <w:lang w:val="en-US" w:eastAsia="zh-CN"/>
              </w:rPr>
              <w:t>11</w:t>
            </w:r>
            <w:r>
              <w:rPr>
                <w:rFonts w:hint="eastAsia" w:ascii="Times New Roman" w:hAnsi="Times New Roman" w:eastAsia="宋体"/>
                <w:bCs/>
                <w:color w:val="auto"/>
                <w:kern w:val="0"/>
                <w:sz w:val="24"/>
              </w:rPr>
              <w:t>。</w:t>
            </w:r>
          </w:p>
          <w:p>
            <w:pPr>
              <w:tabs>
                <w:tab w:val="left" w:pos="720"/>
              </w:tabs>
              <w:adjustRightInd w:val="0"/>
              <w:snapToGrid w:val="0"/>
              <w:jc w:val="center"/>
              <w:rPr>
                <w:rFonts w:ascii="Times New Roman" w:hAnsi="Times New Roman" w:eastAsia="宋体"/>
                <w:b/>
                <w:color w:val="auto"/>
              </w:rPr>
            </w:pPr>
            <w:r>
              <w:rPr>
                <w:rFonts w:hint="eastAsia" w:ascii="Times New Roman" w:hAnsi="Times New Roman" w:eastAsia="宋体"/>
                <w:b/>
                <w:color w:val="auto"/>
              </w:rPr>
              <w:t>表2-</w:t>
            </w:r>
            <w:r>
              <w:rPr>
                <w:rFonts w:hint="eastAsia" w:ascii="Times New Roman" w:hAnsi="Times New Roman" w:eastAsia="宋体"/>
                <w:b/>
                <w:color w:val="auto"/>
                <w:lang w:val="en-US" w:eastAsia="zh-CN"/>
              </w:rPr>
              <w:t>11</w:t>
            </w:r>
            <w:r>
              <w:rPr>
                <w:rFonts w:ascii="Times New Roman" w:hAnsi="Times New Roman" w:eastAsia="宋体"/>
                <w:b/>
                <w:color w:val="auto"/>
              </w:rPr>
              <w:t xml:space="preserve"> </w:t>
            </w:r>
            <w:r>
              <w:rPr>
                <w:rFonts w:hint="eastAsia" w:ascii="Times New Roman" w:hAnsi="Times New Roman" w:eastAsia="宋体"/>
                <w:b/>
                <w:color w:val="auto"/>
              </w:rPr>
              <w:t xml:space="preserve"> 现有项目</w:t>
            </w:r>
            <w:r>
              <w:rPr>
                <w:rFonts w:ascii="Times New Roman" w:hAnsi="Times New Roman" w:eastAsia="宋体"/>
                <w:b/>
                <w:color w:val="auto"/>
              </w:rPr>
              <w:t>建设、审批及验收情况</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1566"/>
              <w:gridCol w:w="2582"/>
              <w:gridCol w:w="1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00" w:type="pct"/>
                  <w:tcBorders>
                    <w:tl2br w:val="nil"/>
                    <w:tr2bl w:val="nil"/>
                  </w:tcBorders>
                  <w:vAlign w:val="center"/>
                </w:tcPr>
                <w:p>
                  <w:pPr>
                    <w:autoSpaceDE w:val="0"/>
                    <w:autoSpaceDN w:val="0"/>
                    <w:adjustRightInd w:val="0"/>
                    <w:jc w:val="center"/>
                    <w:rPr>
                      <w:rFonts w:hint="eastAsia" w:ascii="Times New Roman" w:hAnsi="Times New Roman" w:eastAsia="宋体" w:cs="宋体"/>
                      <w:b/>
                      <w:color w:val="auto"/>
                      <w:szCs w:val="21"/>
                    </w:rPr>
                  </w:pPr>
                  <w:r>
                    <w:rPr>
                      <w:rFonts w:hint="eastAsia" w:ascii="Times New Roman" w:hAnsi="Times New Roman" w:eastAsia="宋体" w:cs="宋体"/>
                      <w:b/>
                      <w:color w:val="auto"/>
                      <w:szCs w:val="21"/>
                    </w:rPr>
                    <w:t>项目名称</w:t>
                  </w:r>
                </w:p>
              </w:tc>
              <w:tc>
                <w:tcPr>
                  <w:tcW w:w="945" w:type="pct"/>
                  <w:tcBorders>
                    <w:tl2br w:val="nil"/>
                    <w:tr2bl w:val="nil"/>
                  </w:tcBorders>
                  <w:vAlign w:val="center"/>
                </w:tcPr>
                <w:p>
                  <w:pPr>
                    <w:autoSpaceDE w:val="0"/>
                    <w:autoSpaceDN w:val="0"/>
                    <w:adjustRightInd w:val="0"/>
                    <w:jc w:val="center"/>
                    <w:rPr>
                      <w:rFonts w:hint="eastAsia" w:ascii="Times New Roman" w:hAnsi="Times New Roman" w:eastAsia="宋体" w:cs="宋体"/>
                      <w:b/>
                      <w:color w:val="auto"/>
                      <w:szCs w:val="21"/>
                    </w:rPr>
                  </w:pPr>
                  <w:r>
                    <w:rPr>
                      <w:rFonts w:hint="eastAsia" w:ascii="Times New Roman" w:hAnsi="Times New Roman" w:eastAsia="宋体" w:cs="宋体"/>
                      <w:b/>
                      <w:color w:val="auto"/>
                      <w:szCs w:val="21"/>
                    </w:rPr>
                    <w:t>环保事项</w:t>
                  </w:r>
                </w:p>
              </w:tc>
              <w:tc>
                <w:tcPr>
                  <w:tcW w:w="1558" w:type="pct"/>
                  <w:tcBorders>
                    <w:tl2br w:val="nil"/>
                    <w:tr2bl w:val="nil"/>
                  </w:tcBorders>
                  <w:vAlign w:val="center"/>
                </w:tcPr>
                <w:p>
                  <w:pPr>
                    <w:autoSpaceDE w:val="0"/>
                    <w:autoSpaceDN w:val="0"/>
                    <w:adjustRightInd w:val="0"/>
                    <w:jc w:val="center"/>
                    <w:rPr>
                      <w:rFonts w:hint="eastAsia" w:ascii="Times New Roman" w:hAnsi="Times New Roman" w:eastAsia="宋体" w:cs="宋体"/>
                      <w:b/>
                      <w:color w:val="auto"/>
                      <w:szCs w:val="21"/>
                    </w:rPr>
                  </w:pPr>
                  <w:r>
                    <w:rPr>
                      <w:rFonts w:hint="eastAsia" w:ascii="Times New Roman" w:hAnsi="Times New Roman" w:eastAsia="宋体" w:cs="宋体"/>
                      <w:b/>
                      <w:color w:val="auto"/>
                      <w:szCs w:val="21"/>
                    </w:rPr>
                    <w:t>审批部门</w:t>
                  </w:r>
                </w:p>
              </w:tc>
              <w:tc>
                <w:tcPr>
                  <w:tcW w:w="695" w:type="pct"/>
                  <w:tcBorders>
                    <w:tl2br w:val="nil"/>
                    <w:tr2bl w:val="nil"/>
                  </w:tcBorders>
                  <w:vAlign w:val="center"/>
                </w:tcPr>
                <w:p>
                  <w:pPr>
                    <w:autoSpaceDE w:val="0"/>
                    <w:autoSpaceDN w:val="0"/>
                    <w:adjustRightInd w:val="0"/>
                    <w:jc w:val="center"/>
                    <w:rPr>
                      <w:rFonts w:hint="eastAsia" w:ascii="Times New Roman" w:hAnsi="Times New Roman" w:eastAsia="宋体" w:cs="宋体"/>
                      <w:b/>
                      <w:color w:val="auto"/>
                      <w:szCs w:val="21"/>
                    </w:rPr>
                  </w:pPr>
                  <w:r>
                    <w:rPr>
                      <w:rFonts w:hint="eastAsia" w:ascii="Times New Roman" w:hAnsi="Times New Roman" w:eastAsia="宋体" w:cs="宋体"/>
                      <w:b/>
                      <w:color w:val="auto"/>
                      <w:szCs w:val="21"/>
                    </w:rPr>
                    <w:t>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00" w:type="pct"/>
                  <w:vMerge w:val="restart"/>
                  <w:tcBorders>
                    <w:tl2br w:val="nil"/>
                    <w:tr2bl w:val="nil"/>
                  </w:tcBorders>
                  <w:vAlign w:val="center"/>
                </w:tcPr>
                <w:p>
                  <w:pPr>
                    <w:autoSpaceDE w:val="0"/>
                    <w:autoSpaceDN w:val="0"/>
                    <w:adjustRightInd w:val="0"/>
                    <w:jc w:val="center"/>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新建1200吨港口自动化机械配套件项目</w:t>
                  </w:r>
                </w:p>
              </w:tc>
              <w:tc>
                <w:tcPr>
                  <w:tcW w:w="945" w:type="pct"/>
                  <w:tcBorders>
                    <w:tl2br w:val="nil"/>
                    <w:tr2bl w:val="nil"/>
                  </w:tcBorders>
                  <w:vAlign w:val="center"/>
                </w:tcPr>
                <w:p>
                  <w:pPr>
                    <w:autoSpaceDE w:val="0"/>
                    <w:autoSpaceDN w:val="0"/>
                    <w:adjustRightInd w:val="0"/>
                    <w:jc w:val="center"/>
                    <w:rPr>
                      <w:rFonts w:hint="eastAsia" w:ascii="Times New Roman" w:hAnsi="Times New Roman" w:eastAsia="宋体" w:cs="宋体"/>
                      <w:color w:val="auto"/>
                      <w:szCs w:val="21"/>
                    </w:rPr>
                  </w:pPr>
                  <w:r>
                    <w:rPr>
                      <w:rFonts w:hint="eastAsia" w:ascii="Times New Roman" w:hAnsi="Times New Roman" w:eastAsia="宋体"/>
                      <w:color w:val="auto"/>
                      <w:szCs w:val="21"/>
                      <w:lang w:eastAsia="zh-CN"/>
                    </w:rPr>
                    <w:t>皋行审环表复</w:t>
                  </w: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20</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193</w:t>
                  </w:r>
                  <w:r>
                    <w:rPr>
                      <w:rFonts w:hint="eastAsia" w:ascii="Times New Roman" w:hAnsi="Times New Roman" w:eastAsia="宋体"/>
                      <w:color w:val="auto"/>
                      <w:szCs w:val="21"/>
                    </w:rPr>
                    <w:t>号）</w:t>
                  </w:r>
                </w:p>
              </w:tc>
              <w:tc>
                <w:tcPr>
                  <w:tcW w:w="1558" w:type="pct"/>
                  <w:tcBorders>
                    <w:tl2br w:val="nil"/>
                    <w:tr2bl w:val="nil"/>
                  </w:tcBorders>
                  <w:vAlign w:val="center"/>
                </w:tcPr>
                <w:p>
                  <w:pPr>
                    <w:autoSpaceDE w:val="0"/>
                    <w:autoSpaceDN w:val="0"/>
                    <w:adjustRightInd w:val="0"/>
                    <w:jc w:val="center"/>
                    <w:rPr>
                      <w:rFonts w:hint="eastAsia" w:ascii="Times New Roman" w:hAnsi="Times New Roman" w:eastAsia="宋体" w:cs="宋体"/>
                      <w:color w:val="auto"/>
                      <w:szCs w:val="21"/>
                      <w:lang w:eastAsia="zh-CN"/>
                    </w:rPr>
                  </w:pPr>
                  <w:r>
                    <w:rPr>
                      <w:rFonts w:hint="eastAsia" w:ascii="Times New Roman" w:hAnsi="Times New Roman" w:eastAsia="宋体"/>
                      <w:color w:val="auto"/>
                      <w:szCs w:val="21"/>
                      <w:lang w:eastAsia="zh-CN"/>
                    </w:rPr>
                    <w:t>如皋市行政审批局</w:t>
                  </w:r>
                </w:p>
              </w:tc>
              <w:tc>
                <w:tcPr>
                  <w:tcW w:w="695" w:type="pct"/>
                  <w:tcBorders>
                    <w:tl2br w:val="nil"/>
                    <w:tr2bl w:val="nil"/>
                  </w:tcBorders>
                  <w:vAlign w:val="center"/>
                </w:tcPr>
                <w:p>
                  <w:pPr>
                    <w:autoSpaceDE w:val="0"/>
                    <w:autoSpaceDN w:val="0"/>
                    <w:adjustRightInd w:val="0"/>
                    <w:jc w:val="center"/>
                    <w:rPr>
                      <w:rFonts w:hint="eastAsia" w:ascii="Times New Roman" w:hAnsi="Times New Roman" w:eastAsia="宋体" w:cs="宋体"/>
                      <w:color w:val="auto"/>
                      <w:szCs w:val="21"/>
                      <w:lang w:val="en-US" w:eastAsia="zh-CN"/>
                    </w:rPr>
                  </w:pP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20</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9</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00" w:type="pct"/>
                  <w:vMerge w:val="continue"/>
                  <w:tcBorders>
                    <w:tl2br w:val="nil"/>
                    <w:tr2bl w:val="nil"/>
                  </w:tcBorders>
                  <w:vAlign w:val="center"/>
                </w:tcPr>
                <w:p>
                  <w:pPr>
                    <w:autoSpaceDE w:val="0"/>
                    <w:autoSpaceDN w:val="0"/>
                    <w:adjustRightInd w:val="0"/>
                    <w:jc w:val="center"/>
                    <w:rPr>
                      <w:rFonts w:hint="eastAsia" w:ascii="Times New Roman" w:hAnsi="Times New Roman" w:eastAsia="宋体" w:cs="宋体"/>
                      <w:color w:val="auto"/>
                      <w:szCs w:val="21"/>
                    </w:rPr>
                  </w:pPr>
                </w:p>
              </w:tc>
              <w:tc>
                <w:tcPr>
                  <w:tcW w:w="945" w:type="pct"/>
                  <w:tcBorders>
                    <w:tl2br w:val="nil"/>
                    <w:tr2bl w:val="nil"/>
                  </w:tcBorders>
                  <w:vAlign w:val="center"/>
                </w:tcPr>
                <w:p>
                  <w:pPr>
                    <w:autoSpaceDE w:val="0"/>
                    <w:autoSpaceDN w:val="0"/>
                    <w:adjustRightInd w:val="0"/>
                    <w:jc w:val="center"/>
                    <w:rPr>
                      <w:rFonts w:hint="default" w:ascii="Times New Roman" w:hAnsi="Times New Roman" w:eastAsia="宋体"/>
                      <w:color w:val="auto"/>
                      <w:szCs w:val="21"/>
                      <w:highlight w:val="yellow"/>
                      <w:lang w:val="en-US" w:eastAsia="zh-CN"/>
                    </w:rPr>
                  </w:pPr>
                  <w:r>
                    <w:rPr>
                      <w:rFonts w:hint="eastAsia" w:ascii="Times New Roman" w:hAnsi="Times New Roman" w:eastAsia="宋体"/>
                      <w:color w:val="auto"/>
                      <w:szCs w:val="21"/>
                      <w:highlight w:val="none"/>
                      <w:lang w:val="en-US" w:eastAsia="zh-CN"/>
                    </w:rPr>
                    <w:t>自主验收</w:t>
                  </w:r>
                </w:p>
              </w:tc>
              <w:tc>
                <w:tcPr>
                  <w:tcW w:w="1558" w:type="pct"/>
                  <w:tcBorders>
                    <w:tl2br w:val="nil"/>
                    <w:tr2bl w:val="nil"/>
                  </w:tcBorders>
                  <w:vAlign w:val="center"/>
                </w:tcPr>
                <w:p>
                  <w:pPr>
                    <w:autoSpaceDE w:val="0"/>
                    <w:autoSpaceDN w:val="0"/>
                    <w:adjustRightInd w:val="0"/>
                    <w:jc w:val="center"/>
                    <w:rPr>
                      <w:rFonts w:hint="eastAsia" w:ascii="Times New Roman" w:hAnsi="Times New Roman" w:eastAsia="宋体"/>
                      <w:color w:val="auto"/>
                      <w:szCs w:val="21"/>
                      <w:highlight w:val="yellow"/>
                      <w:lang w:val="en-US" w:eastAsia="zh-CN"/>
                    </w:rPr>
                  </w:pPr>
                  <w:r>
                    <w:rPr>
                      <w:rFonts w:hint="eastAsia" w:ascii="Times New Roman" w:hAnsi="Times New Roman" w:eastAsia="宋体"/>
                      <w:color w:val="auto"/>
                      <w:szCs w:val="21"/>
                      <w:highlight w:val="none"/>
                      <w:lang w:val="en-US" w:eastAsia="zh-CN"/>
                    </w:rPr>
                    <w:t>/</w:t>
                  </w:r>
                </w:p>
              </w:tc>
              <w:tc>
                <w:tcPr>
                  <w:tcW w:w="695" w:type="pct"/>
                  <w:tcBorders>
                    <w:tl2br w:val="nil"/>
                    <w:tr2bl w:val="nil"/>
                  </w:tcBorders>
                  <w:vAlign w:val="center"/>
                </w:tcPr>
                <w:p>
                  <w:pPr>
                    <w:autoSpaceDE w:val="0"/>
                    <w:autoSpaceDN w:val="0"/>
                    <w:adjustRightInd w:val="0"/>
                    <w:jc w:val="center"/>
                    <w:rPr>
                      <w:rFonts w:hint="default" w:ascii="Times New Roman" w:hAnsi="Times New Roman" w:eastAsia="宋体"/>
                      <w:color w:val="auto"/>
                      <w:szCs w:val="21"/>
                      <w:highlight w:val="yellow"/>
                      <w:lang w:val="en-US" w:eastAsia="zh-CN"/>
                    </w:rPr>
                  </w:pP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21.12</w:t>
                  </w:r>
                </w:p>
              </w:tc>
            </w:tr>
          </w:tbl>
          <w:p>
            <w:pPr>
              <w:adjustRightInd w:val="0"/>
              <w:snapToGrid w:val="0"/>
              <w:spacing w:line="360" w:lineRule="auto"/>
              <w:ind w:firstLine="241" w:firstLineChars="100"/>
              <w:jc w:val="left"/>
              <w:rPr>
                <w:rFonts w:ascii="Times New Roman" w:hAnsi="Times New Roman" w:eastAsia="宋体"/>
                <w:b/>
                <w:bCs/>
                <w:color w:val="auto"/>
                <w:sz w:val="24"/>
                <w:shd w:val="clear" w:color="auto" w:fill="FFFFFF"/>
              </w:rPr>
            </w:pPr>
            <w:r>
              <w:rPr>
                <w:rFonts w:hint="eastAsia" w:ascii="Times New Roman" w:hAnsi="Times New Roman" w:eastAsia="宋体"/>
                <w:b/>
                <w:bCs/>
                <w:color w:val="auto"/>
                <w:sz w:val="24"/>
                <w:shd w:val="clear" w:color="auto" w:fill="FFFFFF"/>
              </w:rPr>
              <w:t>（二）现有项目工程概况</w:t>
            </w:r>
          </w:p>
          <w:p>
            <w:pPr>
              <w:adjustRightInd w:val="0"/>
              <w:snapToGrid w:val="0"/>
              <w:spacing w:line="360" w:lineRule="auto"/>
              <w:ind w:firstLine="480" w:firstLineChars="200"/>
              <w:jc w:val="left"/>
              <w:rPr>
                <w:rFonts w:ascii="Times New Roman" w:hAnsi="Times New Roman" w:eastAsia="宋体"/>
                <w:color w:val="auto"/>
                <w:sz w:val="24"/>
                <w:shd w:val="clear" w:color="auto" w:fill="FFFFFF"/>
              </w:rPr>
            </w:pPr>
            <w:r>
              <w:rPr>
                <w:rFonts w:hint="eastAsia" w:ascii="Times New Roman" w:hAnsi="Times New Roman" w:eastAsia="宋体"/>
                <w:color w:val="auto"/>
                <w:sz w:val="24"/>
                <w:shd w:val="clear" w:color="auto" w:fill="FFFFFF"/>
              </w:rPr>
              <w:t>①现有项目产品情况</w:t>
            </w:r>
          </w:p>
          <w:p>
            <w:pPr>
              <w:jc w:val="center"/>
              <w:rPr>
                <w:rFonts w:hint="eastAsia" w:ascii="Times New Roman" w:hAnsi="Times New Roman" w:eastAsia="宋体"/>
                <w:b/>
                <w:color w:val="auto"/>
                <w:kern w:val="0"/>
              </w:rPr>
            </w:pPr>
            <w:r>
              <w:rPr>
                <w:rFonts w:hint="eastAsia" w:ascii="Times New Roman" w:hAnsi="Times New Roman" w:eastAsia="宋体"/>
                <w:b/>
                <w:color w:val="auto"/>
                <w:kern w:val="0"/>
              </w:rPr>
              <w:t>表2-1</w:t>
            </w:r>
            <w:r>
              <w:rPr>
                <w:rFonts w:hint="eastAsia" w:ascii="Times New Roman" w:hAnsi="Times New Roman" w:eastAsia="宋体"/>
                <w:b/>
                <w:color w:val="auto"/>
                <w:kern w:val="0"/>
                <w:lang w:val="en-US" w:eastAsia="zh-CN"/>
              </w:rPr>
              <w:t>2</w:t>
            </w:r>
            <w:r>
              <w:rPr>
                <w:rFonts w:hint="eastAsia" w:ascii="Times New Roman" w:hAnsi="Times New Roman" w:eastAsia="宋体"/>
                <w:b/>
                <w:color w:val="auto"/>
                <w:kern w:val="0"/>
              </w:rPr>
              <w:t xml:space="preserve"> 现有产品方案一览表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804"/>
              <w:gridCol w:w="1171"/>
              <w:gridCol w:w="1171"/>
              <w:gridCol w:w="1011"/>
              <w:gridCol w:w="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376" w:type="pct"/>
                  <w:tcBorders>
                    <w:tl2br w:val="nil"/>
                    <w:tr2bl w:val="nil"/>
                  </w:tcBorders>
                  <w:noWrap/>
                  <w:vAlign w:val="center"/>
                </w:tcPr>
                <w:p>
                  <w:pPr>
                    <w:adjustRightInd w:val="0"/>
                    <w:snapToGrid w:val="0"/>
                    <w:spacing w:line="320" w:lineRule="exact"/>
                    <w:jc w:val="center"/>
                    <w:rPr>
                      <w:rFonts w:ascii="Times New Roman" w:hAnsi="Times New Roman" w:eastAsia="宋体"/>
                      <w:color w:val="auto"/>
                      <w:szCs w:val="21"/>
                    </w:rPr>
                  </w:pPr>
                  <w:r>
                    <w:rPr>
                      <w:rFonts w:hint="eastAsia" w:ascii="Times New Roman" w:hAnsi="Times New Roman" w:eastAsia="宋体"/>
                      <w:b/>
                      <w:bCs/>
                      <w:color w:val="auto"/>
                      <w:szCs w:val="21"/>
                    </w:rPr>
                    <w:t>工程名称（车间或生产线）</w:t>
                  </w:r>
                </w:p>
              </w:tc>
              <w:tc>
                <w:tcPr>
                  <w:tcW w:w="1088" w:type="pct"/>
                  <w:tcBorders>
                    <w:tl2br w:val="nil"/>
                    <w:tr2bl w:val="nil"/>
                  </w:tcBorders>
                  <w:noWrap/>
                  <w:vAlign w:val="center"/>
                </w:tcPr>
                <w:p>
                  <w:pPr>
                    <w:adjustRightInd w:val="0"/>
                    <w:snapToGrid w:val="0"/>
                    <w:spacing w:line="320" w:lineRule="exact"/>
                    <w:jc w:val="center"/>
                    <w:rPr>
                      <w:rFonts w:ascii="Times New Roman" w:hAnsi="Times New Roman" w:eastAsia="宋体"/>
                      <w:color w:val="auto"/>
                      <w:szCs w:val="21"/>
                    </w:rPr>
                  </w:pPr>
                  <w:r>
                    <w:rPr>
                      <w:rFonts w:hint="eastAsia" w:ascii="Times New Roman" w:hAnsi="Times New Roman" w:eastAsia="宋体"/>
                      <w:b/>
                      <w:bCs/>
                      <w:color w:val="auto"/>
                      <w:szCs w:val="21"/>
                    </w:rPr>
                    <w:t>产品名称</w:t>
                  </w:r>
                </w:p>
              </w:tc>
              <w:tc>
                <w:tcPr>
                  <w:tcW w:w="706" w:type="pct"/>
                  <w:tcBorders>
                    <w:tl2br w:val="nil"/>
                    <w:tr2bl w:val="nil"/>
                  </w:tcBorders>
                  <w:noWrap/>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环评设计能力</w:t>
                  </w:r>
                </w:p>
              </w:tc>
              <w:tc>
                <w:tcPr>
                  <w:tcW w:w="706" w:type="pct"/>
                  <w:tcBorders>
                    <w:tl2br w:val="nil"/>
                    <w:tr2bl w:val="nil"/>
                  </w:tcBorders>
                  <w:noWrap/>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实际生产能力</w:t>
                  </w:r>
                </w:p>
              </w:tc>
              <w:tc>
                <w:tcPr>
                  <w:tcW w:w="610" w:type="pct"/>
                  <w:tcBorders>
                    <w:tl2br w:val="nil"/>
                    <w:tr2bl w:val="nil"/>
                  </w:tcBorders>
                  <w:noWrap/>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年运行时数</w:t>
                  </w:r>
                </w:p>
              </w:tc>
              <w:tc>
                <w:tcPr>
                  <w:tcW w:w="511" w:type="pct"/>
                  <w:tcBorders>
                    <w:tl2br w:val="nil"/>
                    <w:tr2bl w:val="nil"/>
                  </w:tcBorders>
                  <w:noWrap/>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76" w:type="pct"/>
                  <w:tcBorders>
                    <w:tl2br w:val="nil"/>
                    <w:tr2bl w:val="nil"/>
                  </w:tcBorders>
                  <w:noWrap/>
                  <w:vAlign w:val="center"/>
                </w:tcPr>
                <w:p>
                  <w:pPr>
                    <w:pStyle w:val="33"/>
                    <w:rPr>
                      <w:rFonts w:ascii="Times New Roman" w:hAnsi="Times New Roman" w:eastAsia="宋体"/>
                      <w:color w:val="auto"/>
                    </w:rPr>
                  </w:pPr>
                  <w:r>
                    <w:rPr>
                      <w:rFonts w:hint="eastAsia" w:ascii="Times New Roman" w:hAnsi="Times New Roman" w:eastAsia="宋体"/>
                      <w:color w:val="auto"/>
                      <w:lang w:eastAsia="zh-CN"/>
                    </w:rPr>
                    <w:t>港口自动化机械配套件</w:t>
                  </w:r>
                  <w:r>
                    <w:rPr>
                      <w:rFonts w:ascii="Times New Roman" w:hAnsi="Times New Roman" w:eastAsia="宋体"/>
                      <w:color w:val="auto"/>
                    </w:rPr>
                    <w:t>生产线</w:t>
                  </w:r>
                </w:p>
              </w:tc>
              <w:tc>
                <w:tcPr>
                  <w:tcW w:w="1088" w:type="pct"/>
                  <w:tcBorders>
                    <w:tl2br w:val="nil"/>
                    <w:tr2bl w:val="nil"/>
                  </w:tcBorders>
                  <w:noWrap/>
                  <w:vAlign w:val="center"/>
                </w:tcPr>
                <w:p>
                  <w:pPr>
                    <w:pStyle w:val="33"/>
                    <w:rPr>
                      <w:rFonts w:ascii="Times New Roman" w:hAnsi="Times New Roman" w:eastAsia="宋体"/>
                      <w:color w:val="auto"/>
                    </w:rPr>
                  </w:pPr>
                  <w:r>
                    <w:rPr>
                      <w:rFonts w:hint="eastAsia" w:ascii="Times New Roman" w:hAnsi="Times New Roman" w:eastAsia="宋体"/>
                      <w:color w:val="auto"/>
                      <w:lang w:eastAsia="zh-CN"/>
                    </w:rPr>
                    <w:t>港口自动化机械配套件</w:t>
                  </w:r>
                </w:p>
              </w:tc>
              <w:tc>
                <w:tcPr>
                  <w:tcW w:w="706" w:type="pct"/>
                  <w:tcBorders>
                    <w:tl2br w:val="nil"/>
                    <w:tr2bl w:val="nil"/>
                  </w:tcBorders>
                  <w:noWrap/>
                  <w:vAlign w:val="center"/>
                </w:tcPr>
                <w:p>
                  <w:pPr>
                    <w:pStyle w:val="33"/>
                    <w:rPr>
                      <w:rFonts w:ascii="Times New Roman" w:hAnsi="Times New Roman" w:eastAsia="宋体"/>
                      <w:color w:val="auto"/>
                    </w:rPr>
                  </w:pPr>
                  <w:r>
                    <w:rPr>
                      <w:rFonts w:hint="eastAsia" w:ascii="Times New Roman" w:hAnsi="Times New Roman" w:eastAsia="宋体"/>
                      <w:color w:val="auto"/>
                      <w:lang w:val="en-US" w:eastAsia="zh-CN"/>
                    </w:rPr>
                    <w:t>1200</w:t>
                  </w:r>
                  <w:r>
                    <w:rPr>
                      <w:rFonts w:hint="eastAsia" w:ascii="Times New Roman" w:hAnsi="Times New Roman" w:eastAsia="宋体"/>
                      <w:color w:val="auto"/>
                    </w:rPr>
                    <w:t>吨/年</w:t>
                  </w:r>
                </w:p>
              </w:tc>
              <w:tc>
                <w:tcPr>
                  <w:tcW w:w="706" w:type="pct"/>
                  <w:tcBorders>
                    <w:tl2br w:val="nil"/>
                    <w:tr2bl w:val="nil"/>
                  </w:tcBorders>
                  <w:noWrap/>
                  <w:vAlign w:val="center"/>
                </w:tcPr>
                <w:p>
                  <w:pPr>
                    <w:pStyle w:val="33"/>
                    <w:rPr>
                      <w:rFonts w:ascii="Times New Roman" w:hAnsi="Times New Roman" w:eastAsia="宋体"/>
                      <w:color w:val="auto"/>
                    </w:rPr>
                  </w:pPr>
                  <w:r>
                    <w:rPr>
                      <w:rFonts w:hint="eastAsia" w:ascii="Times New Roman" w:hAnsi="Times New Roman" w:eastAsia="宋体"/>
                      <w:color w:val="auto"/>
                      <w:lang w:val="en-US" w:eastAsia="zh-CN"/>
                    </w:rPr>
                    <w:t>12</w:t>
                  </w:r>
                  <w:r>
                    <w:rPr>
                      <w:rFonts w:hint="eastAsia" w:ascii="Times New Roman" w:hAnsi="Times New Roman" w:eastAsia="宋体"/>
                      <w:color w:val="auto"/>
                    </w:rPr>
                    <w:t>00吨/年</w:t>
                  </w:r>
                </w:p>
              </w:tc>
              <w:tc>
                <w:tcPr>
                  <w:tcW w:w="610" w:type="pct"/>
                  <w:tcBorders>
                    <w:tl2br w:val="nil"/>
                    <w:tr2bl w:val="nil"/>
                  </w:tcBorders>
                  <w:noWrap/>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2</w:t>
                  </w:r>
                  <w:r>
                    <w:rPr>
                      <w:rFonts w:hint="eastAsia" w:ascii="Times New Roman" w:hAnsi="Times New Roman" w:eastAsia="宋体"/>
                      <w:color w:val="auto"/>
                      <w:szCs w:val="21"/>
                      <w:lang w:val="en-US" w:eastAsia="zh-CN"/>
                    </w:rPr>
                    <w:t>4</w:t>
                  </w:r>
                  <w:r>
                    <w:rPr>
                      <w:rFonts w:hint="eastAsia" w:ascii="Times New Roman" w:hAnsi="Times New Roman" w:eastAsia="宋体"/>
                      <w:color w:val="auto"/>
                      <w:szCs w:val="21"/>
                    </w:rPr>
                    <w:t>00h/a</w:t>
                  </w:r>
                </w:p>
              </w:tc>
              <w:tc>
                <w:tcPr>
                  <w:tcW w:w="511" w:type="pct"/>
                  <w:tcBorders>
                    <w:tl2br w:val="nil"/>
                    <w:tr2bl w:val="nil"/>
                  </w:tcBorders>
                  <w:noWrap/>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正常运行</w:t>
                  </w:r>
                </w:p>
              </w:tc>
            </w:tr>
          </w:tbl>
          <w:p>
            <w:pPr>
              <w:adjustRightInd w:val="0"/>
              <w:snapToGrid w:val="0"/>
              <w:spacing w:line="360" w:lineRule="auto"/>
              <w:ind w:firstLine="480" w:firstLineChars="200"/>
              <w:jc w:val="left"/>
              <w:rPr>
                <w:rFonts w:ascii="Times New Roman" w:hAnsi="Times New Roman" w:eastAsia="宋体"/>
                <w:color w:val="auto"/>
                <w:szCs w:val="21"/>
                <w:shd w:val="clear" w:color="auto" w:fill="FFFFFF"/>
              </w:rPr>
            </w:pPr>
            <w:r>
              <w:rPr>
                <w:rFonts w:hint="eastAsia" w:ascii="Times New Roman" w:hAnsi="Times New Roman" w:eastAsia="宋体"/>
                <w:color w:val="auto"/>
                <w:sz w:val="24"/>
                <w:shd w:val="clear" w:color="auto" w:fill="FFFFFF"/>
              </w:rPr>
              <w:t>②现有项目原辅料消耗情况</w:t>
            </w:r>
          </w:p>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shd w:val="clear" w:color="auto" w:fill="FFFFFF"/>
              </w:rPr>
              <w:t xml:space="preserve">    </w:t>
            </w:r>
            <w:r>
              <w:rPr>
                <w:rFonts w:ascii="Times New Roman" w:hAnsi="Times New Roman" w:eastAsia="宋体"/>
                <w:b/>
                <w:bCs/>
                <w:color w:val="auto"/>
                <w:szCs w:val="21"/>
              </w:rPr>
              <w:t>表2-1</w:t>
            </w:r>
            <w:r>
              <w:rPr>
                <w:rFonts w:hint="eastAsia" w:ascii="Times New Roman" w:hAnsi="Times New Roman" w:eastAsia="宋体"/>
                <w:b/>
                <w:bCs/>
                <w:color w:val="auto"/>
                <w:szCs w:val="21"/>
                <w:lang w:val="en-US" w:eastAsia="zh-CN"/>
              </w:rPr>
              <w:t>3</w:t>
            </w:r>
            <w:r>
              <w:rPr>
                <w:rFonts w:ascii="Times New Roman" w:hAnsi="Times New Roman" w:eastAsia="宋体"/>
                <w:b/>
                <w:bCs/>
                <w:color w:val="auto"/>
                <w:szCs w:val="21"/>
              </w:rPr>
              <w:t>现有项目主要原辅材料消耗表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669"/>
              <w:gridCol w:w="1336"/>
              <w:gridCol w:w="948"/>
              <w:gridCol w:w="1195"/>
              <w:gridCol w:w="1195"/>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69" w:type="pct"/>
                  <w:tcBorders>
                    <w:tl2br w:val="nil"/>
                    <w:tr2bl w:val="nil"/>
                  </w:tcBorders>
                  <w:vAlign w:val="center"/>
                </w:tcPr>
                <w:p>
                  <w:pPr>
                    <w:pStyle w:val="31"/>
                    <w:rPr>
                      <w:rFonts w:ascii="Times New Roman" w:hAnsi="Times New Roman" w:eastAsia="宋体"/>
                      <w:b/>
                      <w:bCs w:val="0"/>
                      <w:color w:val="auto"/>
                      <w:szCs w:val="21"/>
                    </w:rPr>
                  </w:pPr>
                  <w:r>
                    <w:rPr>
                      <w:rFonts w:ascii="Times New Roman" w:hAnsi="Times New Roman" w:eastAsia="宋体"/>
                      <w:b/>
                      <w:bCs w:val="0"/>
                      <w:color w:val="auto"/>
                      <w:szCs w:val="21"/>
                    </w:rPr>
                    <w:t>序号</w:t>
                  </w:r>
                </w:p>
              </w:tc>
              <w:tc>
                <w:tcPr>
                  <w:tcW w:w="1007" w:type="pct"/>
                  <w:tcBorders>
                    <w:tl2br w:val="nil"/>
                    <w:tr2bl w:val="nil"/>
                  </w:tcBorders>
                  <w:vAlign w:val="center"/>
                </w:tcPr>
                <w:p>
                  <w:pPr>
                    <w:pStyle w:val="31"/>
                    <w:rPr>
                      <w:rFonts w:ascii="Times New Roman" w:hAnsi="Times New Roman" w:eastAsia="宋体"/>
                      <w:b/>
                      <w:bCs w:val="0"/>
                      <w:color w:val="auto"/>
                      <w:szCs w:val="21"/>
                    </w:rPr>
                  </w:pPr>
                  <w:r>
                    <w:rPr>
                      <w:rFonts w:ascii="Times New Roman" w:hAnsi="Times New Roman" w:eastAsia="宋体"/>
                      <w:b/>
                      <w:bCs w:val="0"/>
                      <w:color w:val="auto"/>
                      <w:szCs w:val="21"/>
                    </w:rPr>
                    <w:t>名称</w:t>
                  </w:r>
                </w:p>
              </w:tc>
              <w:tc>
                <w:tcPr>
                  <w:tcW w:w="806" w:type="pct"/>
                  <w:tcBorders>
                    <w:tl2br w:val="nil"/>
                    <w:tr2bl w:val="nil"/>
                  </w:tcBorders>
                  <w:vAlign w:val="center"/>
                </w:tcPr>
                <w:p>
                  <w:pPr>
                    <w:jc w:val="center"/>
                    <w:rPr>
                      <w:rFonts w:ascii="Times New Roman" w:hAnsi="Times New Roman" w:eastAsia="宋体"/>
                      <w:b/>
                      <w:bCs/>
                      <w:color w:val="auto"/>
                      <w:szCs w:val="21"/>
                    </w:rPr>
                  </w:pPr>
                  <w:r>
                    <w:rPr>
                      <w:rFonts w:hint="eastAsia" w:ascii="Times New Roman" w:hAnsi="Times New Roman" w:eastAsia="宋体"/>
                      <w:b/>
                      <w:bCs/>
                      <w:color w:val="auto"/>
                      <w:szCs w:val="21"/>
                    </w:rPr>
                    <w:t>年耗量（t/a）</w:t>
                  </w:r>
                </w:p>
              </w:tc>
              <w:tc>
                <w:tcPr>
                  <w:tcW w:w="572" w:type="pct"/>
                  <w:tcBorders>
                    <w:tl2br w:val="nil"/>
                    <w:tr2bl w:val="nil"/>
                  </w:tcBorders>
                  <w:vAlign w:val="center"/>
                </w:tcPr>
                <w:p>
                  <w:pPr>
                    <w:jc w:val="center"/>
                    <w:rPr>
                      <w:rFonts w:ascii="Times New Roman" w:hAnsi="Times New Roman" w:eastAsia="宋体"/>
                      <w:b/>
                      <w:bCs/>
                      <w:color w:val="auto"/>
                      <w:szCs w:val="21"/>
                    </w:rPr>
                  </w:pPr>
                  <w:r>
                    <w:rPr>
                      <w:rFonts w:hint="eastAsia" w:ascii="Times New Roman" w:hAnsi="Times New Roman" w:eastAsia="宋体"/>
                      <w:b/>
                      <w:bCs/>
                      <w:color w:val="auto"/>
                      <w:szCs w:val="21"/>
                    </w:rPr>
                    <w:t>包装</w:t>
                  </w:r>
                  <w:r>
                    <w:rPr>
                      <w:rFonts w:ascii="Times New Roman" w:hAnsi="Times New Roman" w:eastAsia="宋体"/>
                      <w:b/>
                      <w:bCs/>
                      <w:color w:val="auto"/>
                      <w:szCs w:val="21"/>
                    </w:rPr>
                    <w:t>规格</w:t>
                  </w:r>
                </w:p>
              </w:tc>
              <w:tc>
                <w:tcPr>
                  <w:tcW w:w="721" w:type="pct"/>
                  <w:tcBorders>
                    <w:tl2br w:val="nil"/>
                    <w:tr2bl w:val="nil"/>
                  </w:tcBorders>
                  <w:vAlign w:val="center"/>
                </w:tcPr>
                <w:p>
                  <w:pPr>
                    <w:jc w:val="center"/>
                    <w:rPr>
                      <w:rFonts w:hint="default" w:ascii="Times New Roman" w:hAnsi="Times New Roman" w:eastAsia="宋体"/>
                      <w:b/>
                      <w:bCs/>
                      <w:color w:val="auto"/>
                      <w:szCs w:val="21"/>
                      <w:lang w:val="en-US"/>
                    </w:rPr>
                  </w:pPr>
                  <w:r>
                    <w:rPr>
                      <w:rFonts w:hint="eastAsia" w:ascii="Times New Roman" w:hAnsi="Times New Roman" w:eastAsia="宋体"/>
                      <w:b/>
                      <w:bCs/>
                      <w:color w:val="auto"/>
                      <w:szCs w:val="21"/>
                      <w:lang w:val="en-US" w:eastAsia="zh-CN"/>
                    </w:rPr>
                    <w:t>单件包装物重量（kg）</w:t>
                  </w:r>
                </w:p>
              </w:tc>
              <w:tc>
                <w:tcPr>
                  <w:tcW w:w="721"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最大</w:t>
                  </w:r>
                  <w:r>
                    <w:rPr>
                      <w:rFonts w:hint="eastAsia" w:ascii="Times New Roman" w:hAnsi="Times New Roman" w:eastAsia="宋体"/>
                      <w:b/>
                      <w:bCs/>
                      <w:color w:val="auto"/>
                      <w:szCs w:val="21"/>
                    </w:rPr>
                    <w:t>暂存</w:t>
                  </w:r>
                  <w:r>
                    <w:rPr>
                      <w:rFonts w:ascii="Times New Roman" w:hAnsi="Times New Roman" w:eastAsia="宋体"/>
                      <w:b/>
                      <w:bCs/>
                      <w:color w:val="auto"/>
                      <w:szCs w:val="21"/>
                    </w:rPr>
                    <w:t>量</w:t>
                  </w:r>
                  <w:r>
                    <w:rPr>
                      <w:rFonts w:hint="eastAsia" w:ascii="Times New Roman" w:hAnsi="Times New Roman" w:eastAsia="宋体"/>
                      <w:b/>
                      <w:bCs/>
                      <w:color w:val="auto"/>
                      <w:szCs w:val="21"/>
                    </w:rPr>
                    <w:t>（t）</w:t>
                  </w:r>
                </w:p>
              </w:tc>
              <w:tc>
                <w:tcPr>
                  <w:tcW w:w="701"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运输方式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pct"/>
                  <w:tcBorders>
                    <w:tl2br w:val="nil"/>
                    <w:tr2bl w:val="nil"/>
                  </w:tcBorders>
                  <w:vAlign w:val="center"/>
                </w:tcPr>
                <w:p>
                  <w:pPr>
                    <w:pStyle w:val="9"/>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1</w:t>
                  </w:r>
                </w:p>
              </w:tc>
              <w:tc>
                <w:tcPr>
                  <w:tcW w:w="1007" w:type="pct"/>
                  <w:tcBorders>
                    <w:tl2br w:val="nil"/>
                    <w:tr2bl w:val="nil"/>
                  </w:tcBorders>
                  <w:vAlign w:val="center"/>
                </w:tcPr>
                <w:p>
                  <w:pPr>
                    <w:pStyle w:val="33"/>
                    <w:rPr>
                      <w:rFonts w:ascii="Times New Roman" w:hAnsi="Times New Roman" w:eastAsia="宋体" w:cs="Times New Roman"/>
                      <w:kern w:val="0"/>
                      <w:sz w:val="21"/>
                      <w:szCs w:val="21"/>
                      <w:lang w:val="en-US" w:eastAsia="zh-CN" w:bidi="ar-SA"/>
                    </w:rPr>
                  </w:pPr>
                  <w:r>
                    <w:rPr>
                      <w:rFonts w:hint="eastAsia" w:ascii="Times New Roman" w:hAnsi="Times New Roman" w:eastAsia="宋体"/>
                    </w:rPr>
                    <w:t>钢材</w:t>
                  </w:r>
                </w:p>
              </w:tc>
              <w:tc>
                <w:tcPr>
                  <w:tcW w:w="806" w:type="pct"/>
                  <w:tcBorders>
                    <w:tl2br w:val="nil"/>
                    <w:tr2bl w:val="nil"/>
                  </w:tcBorders>
                  <w:vAlign w:val="center"/>
                </w:tcPr>
                <w:p>
                  <w:pPr>
                    <w:pStyle w:val="33"/>
                    <w:rPr>
                      <w:rFonts w:ascii="Times New Roman" w:hAnsi="Times New Roman" w:eastAsia="宋体" w:cs="Times New Roman"/>
                      <w:kern w:val="0"/>
                      <w:sz w:val="21"/>
                      <w:szCs w:val="21"/>
                      <w:lang w:val="en-US" w:eastAsia="zh-CN" w:bidi="ar-SA"/>
                    </w:rPr>
                  </w:pPr>
                  <w:r>
                    <w:rPr>
                      <w:rFonts w:hint="eastAsia" w:ascii="Times New Roman" w:hAnsi="Times New Roman" w:eastAsia="宋体"/>
                    </w:rPr>
                    <w:t>1400</w:t>
                  </w:r>
                </w:p>
              </w:tc>
              <w:tc>
                <w:tcPr>
                  <w:tcW w:w="572"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堆存</w:t>
                  </w:r>
                </w:p>
              </w:tc>
              <w:tc>
                <w:tcPr>
                  <w:tcW w:w="721" w:type="pct"/>
                  <w:tcBorders>
                    <w:tl2br w:val="nil"/>
                    <w:tr2bl w:val="nil"/>
                  </w:tcBorders>
                  <w:vAlign w:val="center"/>
                </w:tcPr>
                <w:p>
                  <w:pPr>
                    <w:pStyle w:val="9"/>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w:t>
                  </w:r>
                </w:p>
              </w:tc>
              <w:tc>
                <w:tcPr>
                  <w:tcW w:w="721" w:type="pct"/>
                  <w:tcBorders>
                    <w:tl2br w:val="nil"/>
                    <w:tr2bl w:val="nil"/>
                  </w:tcBorders>
                  <w:vAlign w:val="center"/>
                </w:tcPr>
                <w:p>
                  <w:pPr>
                    <w:pStyle w:val="9"/>
                    <w:snapToGrid w:val="0"/>
                    <w:jc w:val="center"/>
                    <w:rPr>
                      <w:rFonts w:ascii="Times New Roman" w:hAnsi="Times New Roman" w:eastAsia="宋体"/>
                      <w:color w:val="auto"/>
                      <w:szCs w:val="21"/>
                    </w:rPr>
                  </w:pPr>
                  <w:r>
                    <w:rPr>
                      <w:rFonts w:hint="eastAsia" w:ascii="Times New Roman" w:hAnsi="Times New Roman" w:eastAsia="宋体"/>
                      <w:color w:val="auto"/>
                      <w:szCs w:val="21"/>
                    </w:rPr>
                    <w:t>30</w:t>
                  </w:r>
                </w:p>
              </w:tc>
              <w:tc>
                <w:tcPr>
                  <w:tcW w:w="701" w:type="pct"/>
                  <w:tcBorders>
                    <w:tl2br w:val="nil"/>
                    <w:tr2bl w:val="nil"/>
                  </w:tcBorders>
                  <w:vAlign w:val="center"/>
                </w:tcPr>
                <w:p>
                  <w:pPr>
                    <w:snapToGrid w:val="0"/>
                    <w:jc w:val="center"/>
                    <w:rPr>
                      <w:rFonts w:ascii="Times New Roman" w:hAnsi="Times New Roman" w:eastAsia="宋体"/>
                      <w:color w:val="auto"/>
                      <w:szCs w:val="21"/>
                    </w:rPr>
                  </w:pPr>
                  <w:r>
                    <w:rPr>
                      <w:rFonts w:ascii="Times New Roman" w:hAnsi="Times New Roman" w:eastAsia="宋体"/>
                      <w:color w:val="auto"/>
                      <w:szCs w:val="21"/>
                    </w:rPr>
                    <w:t>外购/汽运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pct"/>
                  <w:tcBorders>
                    <w:tl2br w:val="nil"/>
                    <w:tr2bl w:val="nil"/>
                  </w:tcBorders>
                  <w:vAlign w:val="center"/>
                </w:tcPr>
                <w:p>
                  <w:pPr>
                    <w:pStyle w:val="9"/>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2</w:t>
                  </w:r>
                </w:p>
              </w:tc>
              <w:tc>
                <w:tcPr>
                  <w:tcW w:w="1007" w:type="pct"/>
                  <w:tcBorders>
                    <w:tl2br w:val="nil"/>
                    <w:tr2bl w:val="nil"/>
                  </w:tcBorders>
                  <w:vAlign w:val="center"/>
                </w:tcPr>
                <w:p>
                  <w:pPr>
                    <w:pStyle w:val="33"/>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olor w:val="FF0000"/>
                    </w:rPr>
                    <w:t>焊材</w:t>
                  </w:r>
                </w:p>
              </w:tc>
              <w:tc>
                <w:tcPr>
                  <w:tcW w:w="806" w:type="pct"/>
                  <w:tcBorders>
                    <w:tl2br w:val="nil"/>
                    <w:tr2bl w:val="nil"/>
                  </w:tcBorders>
                  <w:vAlign w:val="center"/>
                </w:tcPr>
                <w:p>
                  <w:pPr>
                    <w:pStyle w:val="33"/>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olor w:val="FF0000"/>
                    </w:rPr>
                    <w:t>6</w:t>
                  </w:r>
                </w:p>
              </w:tc>
              <w:tc>
                <w:tcPr>
                  <w:tcW w:w="572"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olor w:val="FF0000"/>
                      <w:kern w:val="0"/>
                      <w:szCs w:val="21"/>
                    </w:rPr>
                    <w:t>堆存</w:t>
                  </w:r>
                </w:p>
              </w:tc>
              <w:tc>
                <w:tcPr>
                  <w:tcW w:w="721" w:type="pct"/>
                  <w:tcBorders>
                    <w:tl2br w:val="nil"/>
                    <w:tr2bl w:val="nil"/>
                  </w:tcBorders>
                  <w:vAlign w:val="center"/>
                </w:tcPr>
                <w:p>
                  <w:pPr>
                    <w:pStyle w:val="9"/>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0.05</w:t>
                  </w:r>
                </w:p>
              </w:tc>
              <w:tc>
                <w:tcPr>
                  <w:tcW w:w="721" w:type="pct"/>
                  <w:tcBorders>
                    <w:tl2br w:val="nil"/>
                    <w:tr2bl w:val="nil"/>
                  </w:tcBorders>
                  <w:vAlign w:val="center"/>
                </w:tcPr>
                <w:p>
                  <w:pPr>
                    <w:pStyle w:val="9"/>
                    <w:snapToGrid w:val="0"/>
                    <w:jc w:val="center"/>
                    <w:rPr>
                      <w:rFonts w:ascii="Times New Roman" w:hAnsi="Times New Roman" w:eastAsia="宋体"/>
                      <w:color w:val="auto"/>
                      <w:szCs w:val="21"/>
                    </w:rPr>
                  </w:pPr>
                  <w:r>
                    <w:rPr>
                      <w:rFonts w:hint="eastAsia" w:ascii="Times New Roman" w:hAnsi="Times New Roman" w:eastAsia="宋体"/>
                      <w:color w:val="auto"/>
                      <w:szCs w:val="21"/>
                    </w:rPr>
                    <w:t>10</w:t>
                  </w:r>
                </w:p>
              </w:tc>
              <w:tc>
                <w:tcPr>
                  <w:tcW w:w="701" w:type="pct"/>
                  <w:tcBorders>
                    <w:tl2br w:val="nil"/>
                    <w:tr2bl w:val="nil"/>
                  </w:tcBorders>
                  <w:vAlign w:val="center"/>
                </w:tcPr>
                <w:p>
                  <w:pPr>
                    <w:snapToGrid w:val="0"/>
                    <w:jc w:val="center"/>
                    <w:rPr>
                      <w:rFonts w:ascii="Times New Roman" w:hAnsi="Times New Roman" w:eastAsia="宋体"/>
                      <w:color w:val="auto"/>
                      <w:szCs w:val="21"/>
                    </w:rPr>
                  </w:pPr>
                  <w:r>
                    <w:rPr>
                      <w:rFonts w:ascii="Times New Roman" w:hAnsi="Times New Roman" w:eastAsia="宋体"/>
                      <w:color w:val="auto"/>
                      <w:szCs w:val="21"/>
                    </w:rPr>
                    <w:t>外购/汽运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pct"/>
                  <w:tcBorders>
                    <w:tl2br w:val="nil"/>
                    <w:tr2bl w:val="nil"/>
                  </w:tcBorders>
                  <w:vAlign w:val="center"/>
                </w:tcPr>
                <w:p>
                  <w:pPr>
                    <w:pStyle w:val="9"/>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3</w:t>
                  </w:r>
                </w:p>
              </w:tc>
              <w:tc>
                <w:tcPr>
                  <w:tcW w:w="1007" w:type="pct"/>
                  <w:tcBorders>
                    <w:tl2br w:val="nil"/>
                    <w:tr2bl w:val="nil"/>
                  </w:tcBorders>
                  <w:vAlign w:val="center"/>
                </w:tcPr>
                <w:p>
                  <w:pPr>
                    <w:pStyle w:val="33"/>
                    <w:rPr>
                      <w:rFonts w:ascii="Times New Roman" w:hAnsi="Times New Roman" w:eastAsia="宋体" w:cs="Times New Roman"/>
                      <w:kern w:val="0"/>
                      <w:sz w:val="21"/>
                      <w:szCs w:val="21"/>
                      <w:lang w:val="en-US" w:eastAsia="zh-CN" w:bidi="ar-SA"/>
                    </w:rPr>
                  </w:pPr>
                  <w:r>
                    <w:rPr>
                      <w:rFonts w:hint="eastAsia" w:ascii="Times New Roman" w:hAnsi="Times New Roman" w:eastAsia="宋体"/>
                    </w:rPr>
                    <w:t>氧气</w:t>
                  </w:r>
                </w:p>
              </w:tc>
              <w:tc>
                <w:tcPr>
                  <w:tcW w:w="806" w:type="pct"/>
                  <w:tcBorders>
                    <w:tl2br w:val="nil"/>
                    <w:tr2bl w:val="nil"/>
                  </w:tcBorders>
                  <w:vAlign w:val="center"/>
                </w:tcPr>
                <w:p>
                  <w:pPr>
                    <w:pStyle w:val="33"/>
                    <w:rPr>
                      <w:rFonts w:ascii="Times New Roman" w:hAnsi="Times New Roman" w:eastAsia="宋体" w:cs="Times New Roman"/>
                      <w:kern w:val="0"/>
                      <w:sz w:val="21"/>
                      <w:szCs w:val="21"/>
                      <w:lang w:val="en-US" w:eastAsia="zh-CN" w:bidi="ar-SA"/>
                    </w:rPr>
                  </w:pPr>
                  <w:r>
                    <w:rPr>
                      <w:rFonts w:hint="eastAsia" w:ascii="Times New Roman" w:hAnsi="Times New Roman" w:eastAsia="宋体"/>
                    </w:rPr>
                    <w:t>25</w:t>
                  </w:r>
                </w:p>
              </w:tc>
              <w:tc>
                <w:tcPr>
                  <w:tcW w:w="572"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瓶装</w:t>
                  </w:r>
                </w:p>
              </w:tc>
              <w:tc>
                <w:tcPr>
                  <w:tcW w:w="721" w:type="pct"/>
                  <w:tcBorders>
                    <w:tl2br w:val="nil"/>
                    <w:tr2bl w:val="nil"/>
                  </w:tcBorders>
                  <w:vAlign w:val="center"/>
                </w:tcPr>
                <w:p>
                  <w:pPr>
                    <w:pStyle w:val="9"/>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lang w:val="en-US" w:eastAsia="zh-CN"/>
                    </w:rPr>
                    <w:t>0.05</w:t>
                  </w:r>
                </w:p>
              </w:tc>
              <w:tc>
                <w:tcPr>
                  <w:tcW w:w="721" w:type="pct"/>
                  <w:tcBorders>
                    <w:tl2br w:val="nil"/>
                    <w:tr2bl w:val="nil"/>
                  </w:tcBorders>
                  <w:vAlign w:val="center"/>
                </w:tcPr>
                <w:p>
                  <w:pPr>
                    <w:pStyle w:val="9"/>
                    <w:snapToGrid w:val="0"/>
                    <w:jc w:val="center"/>
                    <w:rPr>
                      <w:rFonts w:ascii="Times New Roman" w:hAnsi="Times New Roman" w:eastAsia="宋体"/>
                      <w:color w:val="auto"/>
                      <w:szCs w:val="21"/>
                    </w:rPr>
                  </w:pPr>
                  <w:r>
                    <w:rPr>
                      <w:rFonts w:hint="eastAsia" w:ascii="Times New Roman" w:hAnsi="Times New Roman" w:eastAsia="宋体"/>
                      <w:color w:val="auto"/>
                      <w:szCs w:val="21"/>
                    </w:rPr>
                    <w:t>10</w:t>
                  </w:r>
                </w:p>
              </w:tc>
              <w:tc>
                <w:tcPr>
                  <w:tcW w:w="701" w:type="pct"/>
                  <w:tcBorders>
                    <w:tl2br w:val="nil"/>
                    <w:tr2bl w:val="nil"/>
                  </w:tcBorders>
                  <w:vAlign w:val="center"/>
                </w:tcPr>
                <w:p>
                  <w:pPr>
                    <w:snapToGrid w:val="0"/>
                    <w:jc w:val="center"/>
                    <w:rPr>
                      <w:rFonts w:ascii="Times New Roman" w:hAnsi="Times New Roman" w:eastAsia="宋体"/>
                      <w:color w:val="auto"/>
                      <w:szCs w:val="21"/>
                    </w:rPr>
                  </w:pPr>
                  <w:r>
                    <w:rPr>
                      <w:rFonts w:ascii="Times New Roman" w:hAnsi="Times New Roman" w:eastAsia="宋体"/>
                      <w:color w:val="auto"/>
                      <w:szCs w:val="21"/>
                    </w:rPr>
                    <w:t>外购/汽运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pct"/>
                  <w:tcBorders>
                    <w:tl2br w:val="nil"/>
                    <w:tr2bl w:val="nil"/>
                  </w:tcBorders>
                  <w:vAlign w:val="center"/>
                </w:tcPr>
                <w:p>
                  <w:pPr>
                    <w:pStyle w:val="9"/>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4</w:t>
                  </w:r>
                </w:p>
              </w:tc>
              <w:tc>
                <w:tcPr>
                  <w:tcW w:w="1007" w:type="pct"/>
                  <w:tcBorders>
                    <w:tl2br w:val="nil"/>
                    <w:tr2bl w:val="nil"/>
                  </w:tcBorders>
                  <w:vAlign w:val="center"/>
                </w:tcPr>
                <w:p>
                  <w:pPr>
                    <w:pStyle w:val="33"/>
                    <w:rPr>
                      <w:rFonts w:ascii="Times New Roman" w:hAnsi="Times New Roman" w:eastAsia="宋体" w:cs="Times New Roman"/>
                      <w:kern w:val="0"/>
                      <w:sz w:val="21"/>
                      <w:szCs w:val="21"/>
                      <w:lang w:val="en-US" w:eastAsia="zh-CN" w:bidi="ar-SA"/>
                    </w:rPr>
                  </w:pPr>
                  <w:r>
                    <w:rPr>
                      <w:rFonts w:hint="eastAsia" w:ascii="Times New Roman" w:hAnsi="Times New Roman" w:eastAsia="宋体"/>
                    </w:rPr>
                    <w:t>丙烷</w:t>
                  </w:r>
                </w:p>
              </w:tc>
              <w:tc>
                <w:tcPr>
                  <w:tcW w:w="806" w:type="pct"/>
                  <w:tcBorders>
                    <w:tl2br w:val="nil"/>
                    <w:tr2bl w:val="nil"/>
                  </w:tcBorders>
                  <w:vAlign w:val="center"/>
                </w:tcPr>
                <w:p>
                  <w:pPr>
                    <w:pStyle w:val="33"/>
                    <w:rPr>
                      <w:rFonts w:ascii="Times New Roman" w:hAnsi="Times New Roman" w:eastAsia="宋体" w:cs="Times New Roman"/>
                      <w:kern w:val="0"/>
                      <w:sz w:val="21"/>
                      <w:szCs w:val="21"/>
                      <w:lang w:val="en-US" w:eastAsia="zh-CN" w:bidi="ar-SA"/>
                    </w:rPr>
                  </w:pPr>
                  <w:r>
                    <w:rPr>
                      <w:rFonts w:hint="eastAsia" w:ascii="Times New Roman" w:hAnsi="Times New Roman" w:eastAsia="宋体"/>
                    </w:rPr>
                    <w:t>11</w:t>
                  </w:r>
                </w:p>
              </w:tc>
              <w:tc>
                <w:tcPr>
                  <w:tcW w:w="572"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瓶装</w:t>
                  </w:r>
                </w:p>
              </w:tc>
              <w:tc>
                <w:tcPr>
                  <w:tcW w:w="721" w:type="pct"/>
                  <w:tcBorders>
                    <w:tl2br w:val="nil"/>
                    <w:tr2bl w:val="nil"/>
                  </w:tcBorders>
                  <w:vAlign w:val="center"/>
                </w:tcPr>
                <w:p>
                  <w:pPr>
                    <w:pStyle w:val="9"/>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lang w:val="en-US" w:eastAsia="zh-CN"/>
                    </w:rPr>
                    <w:t>0.05</w:t>
                  </w:r>
                </w:p>
              </w:tc>
              <w:tc>
                <w:tcPr>
                  <w:tcW w:w="721" w:type="pct"/>
                  <w:tcBorders>
                    <w:tl2br w:val="nil"/>
                    <w:tr2bl w:val="nil"/>
                  </w:tcBorders>
                  <w:vAlign w:val="center"/>
                </w:tcPr>
                <w:p>
                  <w:pPr>
                    <w:pStyle w:val="9"/>
                    <w:snapToGrid w:val="0"/>
                    <w:jc w:val="center"/>
                    <w:rPr>
                      <w:rFonts w:ascii="Times New Roman" w:hAnsi="Times New Roman" w:eastAsia="宋体"/>
                      <w:color w:val="auto"/>
                      <w:szCs w:val="21"/>
                    </w:rPr>
                  </w:pPr>
                  <w:r>
                    <w:rPr>
                      <w:rFonts w:hint="eastAsia" w:ascii="Times New Roman" w:hAnsi="Times New Roman" w:eastAsia="宋体"/>
                      <w:color w:val="auto"/>
                      <w:szCs w:val="21"/>
                    </w:rPr>
                    <w:t>10</w:t>
                  </w:r>
                </w:p>
              </w:tc>
              <w:tc>
                <w:tcPr>
                  <w:tcW w:w="701" w:type="pct"/>
                  <w:tcBorders>
                    <w:tl2br w:val="nil"/>
                    <w:tr2bl w:val="nil"/>
                  </w:tcBorders>
                  <w:vAlign w:val="center"/>
                </w:tcPr>
                <w:p>
                  <w:pPr>
                    <w:snapToGrid w:val="0"/>
                    <w:jc w:val="center"/>
                    <w:rPr>
                      <w:rFonts w:ascii="Times New Roman" w:hAnsi="Times New Roman" w:eastAsia="宋体"/>
                      <w:color w:val="auto"/>
                      <w:szCs w:val="21"/>
                    </w:rPr>
                  </w:pPr>
                  <w:r>
                    <w:rPr>
                      <w:rFonts w:ascii="Times New Roman" w:hAnsi="Times New Roman" w:eastAsia="宋体"/>
                      <w:color w:val="auto"/>
                      <w:szCs w:val="21"/>
                    </w:rPr>
                    <w:t>外购/汽运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pct"/>
                  <w:tcBorders>
                    <w:tl2br w:val="nil"/>
                    <w:tr2bl w:val="nil"/>
                  </w:tcBorders>
                  <w:vAlign w:val="center"/>
                </w:tcPr>
                <w:p>
                  <w:pPr>
                    <w:pStyle w:val="9"/>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c>
                <w:tcPr>
                  <w:tcW w:w="1007" w:type="pct"/>
                  <w:tcBorders>
                    <w:tl2br w:val="nil"/>
                    <w:tr2bl w:val="nil"/>
                  </w:tcBorders>
                  <w:vAlign w:val="center"/>
                </w:tcPr>
                <w:p>
                  <w:pPr>
                    <w:pStyle w:val="33"/>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olor w:val="FF0000"/>
                    </w:rPr>
                    <w:t>切削液</w:t>
                  </w:r>
                </w:p>
              </w:tc>
              <w:tc>
                <w:tcPr>
                  <w:tcW w:w="806" w:type="pct"/>
                  <w:tcBorders>
                    <w:tl2br w:val="nil"/>
                    <w:tr2bl w:val="nil"/>
                  </w:tcBorders>
                  <w:vAlign w:val="center"/>
                </w:tcPr>
                <w:p>
                  <w:pPr>
                    <w:pStyle w:val="33"/>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olor w:val="FF0000"/>
                    </w:rPr>
                    <w:t>0.15</w:t>
                  </w:r>
                </w:p>
              </w:tc>
              <w:tc>
                <w:tcPr>
                  <w:tcW w:w="572" w:type="pct"/>
                  <w:tcBorders>
                    <w:tl2br w:val="nil"/>
                    <w:tr2bl w:val="nil"/>
                  </w:tcBorders>
                  <w:vAlign w:val="center"/>
                </w:tcPr>
                <w:p>
                  <w:pPr>
                    <w:pStyle w:val="9"/>
                    <w:spacing w:line="320" w:lineRule="exact"/>
                    <w:ind w:firstLine="0" w:firstLineChars="0"/>
                    <w:jc w:val="center"/>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olor w:val="FF0000"/>
                      <w:kern w:val="0"/>
                      <w:szCs w:val="21"/>
                    </w:rPr>
                    <w:t>桶装</w:t>
                  </w:r>
                </w:p>
              </w:tc>
              <w:tc>
                <w:tcPr>
                  <w:tcW w:w="721" w:type="pct"/>
                  <w:tcBorders>
                    <w:tl2br w:val="nil"/>
                    <w:tr2bl w:val="nil"/>
                  </w:tcBorders>
                  <w:vAlign w:val="center"/>
                </w:tcPr>
                <w:p>
                  <w:pPr>
                    <w:pStyle w:val="9"/>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Cs w:val="21"/>
                      <w:lang w:val="en-US" w:eastAsia="zh-CN"/>
                    </w:rPr>
                    <w:t>0.05</w:t>
                  </w:r>
                </w:p>
              </w:tc>
              <w:tc>
                <w:tcPr>
                  <w:tcW w:w="721" w:type="pct"/>
                  <w:tcBorders>
                    <w:tl2br w:val="nil"/>
                    <w:tr2bl w:val="nil"/>
                  </w:tcBorders>
                  <w:vAlign w:val="center"/>
                </w:tcPr>
                <w:p>
                  <w:pPr>
                    <w:pStyle w:val="9"/>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1</w:t>
                  </w:r>
                </w:p>
              </w:tc>
              <w:tc>
                <w:tcPr>
                  <w:tcW w:w="701" w:type="pct"/>
                  <w:tcBorders>
                    <w:tl2br w:val="nil"/>
                    <w:tr2bl w:val="nil"/>
                  </w:tcBorders>
                  <w:vAlign w:val="center"/>
                </w:tcPr>
                <w:p>
                  <w:pPr>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外购/汽运</w:t>
                  </w:r>
                </w:p>
              </w:tc>
            </w:tr>
          </w:tbl>
          <w:p>
            <w:pPr>
              <w:adjustRightInd w:val="0"/>
              <w:snapToGrid w:val="0"/>
              <w:spacing w:line="360" w:lineRule="auto"/>
              <w:ind w:firstLine="480" w:firstLineChars="200"/>
              <w:jc w:val="left"/>
              <w:rPr>
                <w:rFonts w:ascii="Times New Roman" w:hAnsi="Times New Roman" w:eastAsia="宋体"/>
                <w:color w:val="auto"/>
                <w:sz w:val="24"/>
                <w:shd w:val="clear" w:color="auto" w:fill="FFFFFF"/>
              </w:rPr>
            </w:pPr>
            <w:r>
              <w:rPr>
                <w:rFonts w:hint="eastAsia" w:ascii="Times New Roman" w:hAnsi="Times New Roman" w:eastAsia="宋体"/>
                <w:color w:val="auto"/>
                <w:sz w:val="24"/>
                <w:shd w:val="clear" w:color="auto" w:fill="FFFFFF"/>
              </w:rPr>
              <w:t>③现有项目生产设备情况</w:t>
            </w:r>
          </w:p>
          <w:p>
            <w:pPr>
              <w:jc w:val="center"/>
              <w:rPr>
                <w:rFonts w:ascii="Times New Roman" w:hAnsi="Times New Roman" w:eastAsia="宋体"/>
                <w:b/>
                <w:bCs/>
                <w:color w:val="auto"/>
                <w:szCs w:val="21"/>
              </w:rPr>
            </w:pPr>
            <w:r>
              <w:rPr>
                <w:rFonts w:ascii="Times New Roman" w:hAnsi="Times New Roman" w:eastAsia="宋体"/>
                <w:b/>
                <w:bCs/>
                <w:color w:val="auto"/>
                <w:szCs w:val="21"/>
              </w:rPr>
              <w:t>表2-</w:t>
            </w:r>
            <w:r>
              <w:rPr>
                <w:rFonts w:hint="eastAsia" w:ascii="Times New Roman" w:hAnsi="Times New Roman" w:eastAsia="宋体"/>
                <w:b/>
                <w:bCs/>
                <w:color w:val="auto"/>
                <w:szCs w:val="21"/>
              </w:rPr>
              <w:t>1</w:t>
            </w:r>
            <w:r>
              <w:rPr>
                <w:rFonts w:hint="eastAsia" w:ascii="Times New Roman" w:hAnsi="Times New Roman" w:eastAsia="宋体"/>
                <w:b/>
                <w:bCs/>
                <w:color w:val="auto"/>
                <w:szCs w:val="21"/>
                <w:lang w:val="en-US" w:eastAsia="zh-CN"/>
              </w:rPr>
              <w:t>4</w:t>
            </w:r>
            <w:r>
              <w:rPr>
                <w:rFonts w:hint="eastAsia" w:ascii="Times New Roman" w:hAnsi="Times New Roman" w:eastAsia="宋体"/>
                <w:b/>
                <w:bCs/>
                <w:color w:val="auto"/>
                <w:szCs w:val="21"/>
              </w:rPr>
              <w:t xml:space="preserve"> </w:t>
            </w:r>
            <w:r>
              <w:rPr>
                <w:rFonts w:ascii="Times New Roman" w:hAnsi="Times New Roman" w:eastAsia="宋体"/>
                <w:b/>
                <w:bCs/>
                <w:color w:val="auto"/>
                <w:szCs w:val="21"/>
              </w:rPr>
              <w:t>现有项目主要设备一览表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43"/>
              <w:gridCol w:w="2893"/>
              <w:gridCol w:w="2152"/>
              <w:gridCol w:w="20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690" w:type="pct"/>
                  <w:tcBorders>
                    <w:tl2br w:val="nil"/>
                    <w:tr2bl w:val="nil"/>
                  </w:tcBorders>
                  <w:vAlign w:val="center"/>
                </w:tcPr>
                <w:p>
                  <w:pPr>
                    <w:pStyle w:val="9"/>
                    <w:jc w:val="center"/>
                    <w:rPr>
                      <w:rFonts w:ascii="Times New Roman" w:hAnsi="Times New Roman" w:eastAsia="宋体"/>
                      <w:b/>
                      <w:bCs/>
                      <w:color w:val="auto"/>
                      <w:szCs w:val="21"/>
                    </w:rPr>
                  </w:pPr>
                  <w:r>
                    <w:rPr>
                      <w:rFonts w:ascii="Times New Roman" w:hAnsi="Times New Roman" w:eastAsia="宋体"/>
                      <w:b/>
                      <w:bCs/>
                      <w:color w:val="auto"/>
                      <w:szCs w:val="21"/>
                    </w:rPr>
                    <w:t>序号</w:t>
                  </w:r>
                </w:p>
              </w:tc>
              <w:tc>
                <w:tcPr>
                  <w:tcW w:w="1746"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名称</w:t>
                  </w:r>
                </w:p>
              </w:tc>
              <w:tc>
                <w:tcPr>
                  <w:tcW w:w="1299"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型号</w:t>
                  </w:r>
                </w:p>
              </w:tc>
              <w:tc>
                <w:tcPr>
                  <w:tcW w:w="1263" w:type="pct"/>
                  <w:tcBorders>
                    <w:tl2br w:val="nil"/>
                    <w:tr2bl w:val="nil"/>
                  </w:tcBorders>
                  <w:vAlign w:val="center"/>
                </w:tcPr>
                <w:p>
                  <w:pPr>
                    <w:jc w:val="center"/>
                    <w:rPr>
                      <w:rFonts w:ascii="Times New Roman" w:hAnsi="Times New Roman" w:eastAsia="宋体"/>
                      <w:b/>
                      <w:bCs/>
                      <w:color w:val="auto"/>
                      <w:szCs w:val="21"/>
                    </w:rPr>
                  </w:pPr>
                  <w:r>
                    <w:rPr>
                      <w:rFonts w:hint="eastAsia" w:ascii="Times New Roman" w:hAnsi="Times New Roman" w:eastAsia="宋体"/>
                      <w:b/>
                      <w:bCs/>
                      <w:color w:val="auto"/>
                      <w:szCs w:val="21"/>
                    </w:rPr>
                    <w:t>实际数量（台/套）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1</w:t>
                  </w:r>
                </w:p>
              </w:tc>
              <w:tc>
                <w:tcPr>
                  <w:tcW w:w="1746" w:type="pct"/>
                  <w:tcBorders>
                    <w:tl2br w:val="nil"/>
                    <w:tr2bl w:val="nil"/>
                  </w:tcBorders>
                  <w:vAlign w:val="center"/>
                </w:tcPr>
                <w:p>
                  <w:pPr>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rPr>
                    <w:t>电动单梁起重机</w:t>
                  </w:r>
                </w:p>
              </w:tc>
              <w:tc>
                <w:tcPr>
                  <w:tcW w:w="1299"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szCs w:val="21"/>
                    </w:rPr>
                    <w:t>10T</w:t>
                  </w:r>
                </w:p>
              </w:tc>
              <w:tc>
                <w:tcPr>
                  <w:tcW w:w="1263" w:type="pct"/>
                  <w:tcBorders>
                    <w:tl2br w:val="nil"/>
                    <w:tr2bl w:val="nil"/>
                  </w:tcBorders>
                  <w:vAlign w:val="center"/>
                </w:tcPr>
                <w:p>
                  <w:pPr>
                    <w:pStyle w:val="9"/>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2</w:t>
                  </w:r>
                </w:p>
              </w:tc>
              <w:tc>
                <w:tcPr>
                  <w:tcW w:w="1746" w:type="pct"/>
                  <w:tcBorders>
                    <w:tl2br w:val="nil"/>
                    <w:tr2bl w:val="nil"/>
                  </w:tcBorders>
                  <w:vAlign w:val="center"/>
                </w:tcPr>
                <w:p>
                  <w:pPr>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rPr>
                    <w:t>气保护焊机</w:t>
                  </w:r>
                </w:p>
              </w:tc>
              <w:tc>
                <w:tcPr>
                  <w:tcW w:w="1299"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szCs w:val="21"/>
                    </w:rPr>
                    <w:t>NB-500CL</w:t>
                  </w:r>
                </w:p>
              </w:tc>
              <w:tc>
                <w:tcPr>
                  <w:tcW w:w="1263" w:type="pct"/>
                  <w:tcBorders>
                    <w:tl2br w:val="nil"/>
                    <w:tr2bl w:val="nil"/>
                  </w:tcBorders>
                  <w:vAlign w:val="center"/>
                </w:tcPr>
                <w:p>
                  <w:pPr>
                    <w:pStyle w:val="9"/>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szCs w:val="21"/>
                    </w:rPr>
                    <w:t>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3</w:t>
                  </w:r>
                </w:p>
              </w:tc>
              <w:tc>
                <w:tcPr>
                  <w:tcW w:w="1746" w:type="pct"/>
                  <w:tcBorders>
                    <w:tl2br w:val="nil"/>
                    <w:tr2bl w:val="nil"/>
                  </w:tcBorders>
                  <w:vAlign w:val="center"/>
                </w:tcPr>
                <w:p>
                  <w:pPr>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rPr>
                    <w:t>数控等离子火焰切割机</w:t>
                  </w:r>
                </w:p>
              </w:tc>
              <w:tc>
                <w:tcPr>
                  <w:tcW w:w="1299"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szCs w:val="21"/>
                    </w:rPr>
                    <w:t>DZ-4-14*1+1A</w:t>
                  </w:r>
                </w:p>
              </w:tc>
              <w:tc>
                <w:tcPr>
                  <w:tcW w:w="1263" w:type="pct"/>
                  <w:tcBorders>
                    <w:tl2br w:val="nil"/>
                    <w:tr2bl w:val="nil"/>
                  </w:tcBorders>
                  <w:vAlign w:val="center"/>
                </w:tcPr>
                <w:p>
                  <w:pPr>
                    <w:pStyle w:val="9"/>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4</w:t>
                  </w:r>
                </w:p>
              </w:tc>
              <w:tc>
                <w:tcPr>
                  <w:tcW w:w="1746" w:type="pct"/>
                  <w:tcBorders>
                    <w:tl2br w:val="nil"/>
                    <w:tr2bl w:val="nil"/>
                  </w:tcBorders>
                  <w:vAlign w:val="center"/>
                </w:tcPr>
                <w:p>
                  <w:pPr>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rPr>
                    <w:t>卧式镗铣床</w:t>
                  </w:r>
                </w:p>
              </w:tc>
              <w:tc>
                <w:tcPr>
                  <w:tcW w:w="1299"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szCs w:val="21"/>
                    </w:rPr>
                    <w:t>TX6111D</w:t>
                  </w:r>
                </w:p>
              </w:tc>
              <w:tc>
                <w:tcPr>
                  <w:tcW w:w="1263" w:type="pct"/>
                  <w:tcBorders>
                    <w:tl2br w:val="nil"/>
                    <w:tr2bl w:val="nil"/>
                  </w:tcBorders>
                  <w:vAlign w:val="center"/>
                </w:tcPr>
                <w:p>
                  <w:pPr>
                    <w:pStyle w:val="9"/>
                    <w:spacing w:line="320" w:lineRule="exact"/>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szCs w:val="21"/>
                    </w:rPr>
                    <w:t>3</w:t>
                  </w:r>
                </w:p>
              </w:tc>
            </w:tr>
          </w:tbl>
          <w:p>
            <w:pPr>
              <w:adjustRightInd w:val="0"/>
              <w:snapToGrid w:val="0"/>
              <w:spacing w:line="360" w:lineRule="auto"/>
              <w:ind w:firstLine="241" w:firstLineChars="100"/>
              <w:jc w:val="left"/>
              <w:rPr>
                <w:rFonts w:ascii="Times New Roman" w:hAnsi="Times New Roman" w:eastAsia="宋体"/>
                <w:b/>
                <w:bCs/>
                <w:color w:val="auto"/>
                <w:sz w:val="24"/>
                <w:shd w:val="clear" w:color="auto" w:fill="FFFFFF"/>
              </w:rPr>
            </w:pPr>
            <w:r>
              <w:rPr>
                <w:rFonts w:hint="eastAsia" w:ascii="Times New Roman" w:hAnsi="Times New Roman" w:eastAsia="宋体"/>
                <w:b/>
                <w:bCs/>
                <w:color w:val="auto"/>
                <w:sz w:val="24"/>
                <w:shd w:val="clear" w:color="auto" w:fill="FFFFFF"/>
              </w:rPr>
              <w:t>（三）</w:t>
            </w:r>
            <w:r>
              <w:rPr>
                <w:rFonts w:ascii="Times New Roman" w:hAnsi="Times New Roman" w:eastAsia="宋体"/>
                <w:b/>
                <w:bCs/>
                <w:color w:val="auto"/>
                <w:sz w:val="24"/>
                <w:shd w:val="clear" w:color="auto" w:fill="FFFFFF"/>
              </w:rPr>
              <w:t>现有项目</w:t>
            </w:r>
            <w:r>
              <w:rPr>
                <w:rFonts w:hint="eastAsia" w:ascii="Times New Roman" w:hAnsi="Times New Roman" w:eastAsia="宋体"/>
                <w:b/>
                <w:bCs/>
                <w:color w:val="auto"/>
                <w:sz w:val="24"/>
                <w:shd w:val="clear" w:color="auto" w:fill="FFFFFF"/>
              </w:rPr>
              <w:t>生产工艺</w:t>
            </w:r>
          </w:p>
          <w:p>
            <w:pPr>
              <w:tabs>
                <w:tab w:val="left" w:pos="720"/>
              </w:tabs>
              <w:adjustRightInd w:val="0"/>
              <w:snapToGrid w:val="0"/>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现有项目工艺流程如下：</w:t>
            </w:r>
          </w:p>
          <w:p>
            <w:pPr>
              <w:pStyle w:val="7"/>
              <w:rPr>
                <w:rFonts w:hint="eastAsia" w:ascii="Times New Roman" w:hAnsi="Times New Roman" w:eastAsia="宋体"/>
              </w:rPr>
            </w:pPr>
            <w:r>
              <w:rPr>
                <w:rFonts w:ascii="Times New Roman" w:hAnsi="Times New Roman" w:eastAsia="宋体"/>
                <w:color w:val="auto"/>
              </w:rPr>
              <mc:AlternateContent>
                <mc:Choice Requires="wpc">
                  <w:drawing>
                    <wp:inline distT="0" distB="0" distL="114300" distR="114300">
                      <wp:extent cx="4802505" cy="5309235"/>
                      <wp:effectExtent l="0" t="0" r="0" b="0"/>
                      <wp:docPr id="85" name="画布 1"/>
                      <wp:cNvGraphicFramePr/>
                      <a:graphic xmlns:a="http://schemas.openxmlformats.org/drawingml/2006/main">
                        <a:graphicData uri="http://schemas.microsoft.com/office/word/2010/wordprocessingCanvas">
                          <wpc:wpc>
                            <wpc:bg>
                              <a:noFill/>
                            </wpc:bg>
                            <wpc:whole>
                              <a:ln>
                                <a:noFill/>
                              </a:ln>
                            </wpc:whole>
                            <wps:wsp>
                              <wps:cNvPr id="192" name="文本框 2"/>
                              <wps:cNvSpPr txBox="1"/>
                              <wps:spPr>
                                <a:xfrm>
                                  <a:off x="1361440" y="7620"/>
                                  <a:ext cx="1261745" cy="256540"/>
                                </a:xfrm>
                                <a:prstGeom prst="rect">
                                  <a:avLst/>
                                </a:prstGeom>
                                <a:solidFill>
                                  <a:srgbClr val="FFFFFF"/>
                                </a:solidFill>
                                <a:ln w="6350">
                                  <a:noFill/>
                                </a:ln>
                              </wps:spPr>
                              <wps:txbx>
                                <w:txbxContent>
                                  <w:p>
                                    <w:pPr>
                                      <w:jc w:val="center"/>
                                      <w:rPr>
                                        <w:rFonts w:hint="default" w:eastAsia="宋体"/>
                                        <w:sz w:val="20"/>
                                        <w:szCs w:val="20"/>
                                        <w:lang w:val="en-US" w:eastAsia="zh-CN"/>
                                      </w:rPr>
                                    </w:pPr>
                                    <w:r>
                                      <w:rPr>
                                        <w:rFonts w:hint="eastAsia"/>
                                        <w:sz w:val="20"/>
                                        <w:szCs w:val="20"/>
                                        <w:lang w:val="en-US" w:eastAsia="zh-CN"/>
                                      </w:rPr>
                                      <w:t>钢板、型材</w:t>
                                    </w:r>
                                  </w:p>
                                </w:txbxContent>
                              </wps:txbx>
                              <wps:bodyPr vert="horz" wrap="square" anchor="t" anchorCtr="0" upright="1"/>
                            </wps:wsp>
                            <wps:wsp>
                              <wps:cNvPr id="193" name="文本框 30"/>
                              <wps:cNvSpPr txBox="1"/>
                              <wps:spPr>
                                <a:xfrm>
                                  <a:off x="2691765" y="960755"/>
                                  <a:ext cx="1551305" cy="255905"/>
                                </a:xfrm>
                                <a:prstGeom prst="rect">
                                  <a:avLst/>
                                </a:prstGeom>
                                <a:noFill/>
                                <a:ln w="6350">
                                  <a:noFill/>
                                </a:ln>
                              </wps:spPr>
                              <wps:txbx>
                                <w:txbxContent>
                                  <w:p>
                                    <w:pPr>
                                      <w:jc w:val="left"/>
                                      <w:rPr>
                                        <w:rFonts w:hint="eastAsia" w:eastAsia="宋体"/>
                                        <w:sz w:val="20"/>
                                        <w:szCs w:val="20"/>
                                        <w:lang w:val="en-US" w:eastAsia="zh-CN"/>
                                      </w:rPr>
                                    </w:pPr>
                                    <w:r>
                                      <w:rPr>
                                        <w:sz w:val="20"/>
                                        <w:szCs w:val="20"/>
                                      </w:rPr>
                                      <w:t>N</w:t>
                                    </w:r>
                                    <w:r>
                                      <w:rPr>
                                        <w:rFonts w:hint="eastAsia"/>
                                        <w:sz w:val="20"/>
                                        <w:szCs w:val="20"/>
                                        <w:lang w:val="en-US" w:eastAsia="zh-CN"/>
                                      </w:rPr>
                                      <w:t>噪声</w:t>
                                    </w:r>
                                  </w:p>
                                </w:txbxContent>
                              </wps:txbx>
                              <wps:bodyPr vert="horz" wrap="square" anchor="t" anchorCtr="0" upright="1"/>
                            </wps:wsp>
                            <wps:wsp>
                              <wps:cNvPr id="194" name="文本框 2"/>
                              <wps:cNvSpPr txBox="1"/>
                              <wps:spPr>
                                <a:xfrm>
                                  <a:off x="1584960" y="445770"/>
                                  <a:ext cx="807085" cy="270510"/>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直线 224"/>
                              <wps:cNvCnPr/>
                              <wps:spPr>
                                <a:xfrm>
                                  <a:off x="1993265" y="212090"/>
                                  <a:ext cx="635" cy="248920"/>
                                </a:xfrm>
                                <a:prstGeom prst="line">
                                  <a:avLst/>
                                </a:prstGeom>
                                <a:ln w="9525" cap="flat" cmpd="sng">
                                  <a:solidFill>
                                    <a:srgbClr val="000000"/>
                                  </a:solidFill>
                                  <a:prstDash val="solid"/>
                                  <a:headEnd type="none" w="med" len="med"/>
                                  <a:tailEnd type="triangle" w="med" len="med"/>
                                </a:ln>
                              </wps:spPr>
                              <wps:bodyPr/>
                            </wps:wsp>
                            <wps:wsp>
                              <wps:cNvPr id="196" name="直接箭头连接符 29"/>
                              <wps:cNvCnPr/>
                              <wps:spPr>
                                <a:xfrm flipV="1">
                                  <a:off x="2394585" y="1093470"/>
                                  <a:ext cx="309245" cy="3175"/>
                                </a:xfrm>
                                <a:prstGeom prst="straightConnector1">
                                  <a:avLst/>
                                </a:prstGeom>
                                <a:ln w="9525" cap="flat" cmpd="sng">
                                  <a:solidFill>
                                    <a:srgbClr val="000000"/>
                                  </a:solidFill>
                                  <a:prstDash val="dash"/>
                                  <a:headEnd type="none" w="med" len="med"/>
                                  <a:tailEnd type="triangle" w="med" len="med"/>
                                </a:ln>
                              </wps:spPr>
                              <wps:bodyPr/>
                            </wps:wsp>
                            <wps:wsp>
                              <wps:cNvPr id="197" name="文本框 30"/>
                              <wps:cNvSpPr txBox="1"/>
                              <wps:spPr>
                                <a:xfrm>
                                  <a:off x="2638425" y="1529715"/>
                                  <a:ext cx="889636" cy="266700"/>
                                </a:xfrm>
                                <a:prstGeom prst="rect">
                                  <a:avLst/>
                                </a:prstGeom>
                                <a:noFill/>
                                <a:ln w="6350">
                                  <a:noFill/>
                                </a:ln>
                              </wps:spPr>
                              <wps:txbx>
                                <w:txbxContent>
                                  <w:p>
                                    <w:pPr>
                                      <w:jc w:val="left"/>
                                      <w:rPr>
                                        <w:szCs w:val="21"/>
                                      </w:rPr>
                                    </w:pPr>
                                    <w:r>
                                      <w:rPr>
                                        <w:rFonts w:hint="eastAsia"/>
                                        <w:szCs w:val="21"/>
                                      </w:rPr>
                                      <w:t xml:space="preserve"> </w:t>
                                    </w:r>
                                  </w:p>
                                </w:txbxContent>
                              </wps:txbx>
                              <wps:bodyPr vert="horz" wrap="square" anchor="t" anchorCtr="0" upright="1"/>
                            </wps:wsp>
                            <wps:wsp>
                              <wps:cNvPr id="198" name="文本框 2"/>
                              <wps:cNvSpPr txBox="1"/>
                              <wps:spPr>
                                <a:xfrm>
                                  <a:off x="1598930" y="4843780"/>
                                  <a:ext cx="774700" cy="254000"/>
                                </a:xfrm>
                                <a:prstGeom prst="rect">
                                  <a:avLst/>
                                </a:prstGeom>
                                <a:solidFill>
                                  <a:srgbClr val="FFFFFF"/>
                                </a:solidFill>
                                <a:ln w="6350">
                                  <a:noFill/>
                                </a:ln>
                              </wps:spPr>
                              <wps:txbx>
                                <w:txbxContent>
                                  <w:p>
                                    <w:pPr>
                                      <w:jc w:val="center"/>
                                      <w:rPr>
                                        <w:sz w:val="20"/>
                                        <w:szCs w:val="20"/>
                                      </w:rPr>
                                    </w:pPr>
                                    <w:r>
                                      <w:rPr>
                                        <w:rFonts w:hint="eastAsia"/>
                                        <w:sz w:val="20"/>
                                        <w:szCs w:val="20"/>
                                      </w:rPr>
                                      <w:t>成 品</w:t>
                                    </w:r>
                                  </w:p>
                                </w:txbxContent>
                              </wps:txbx>
                              <wps:bodyPr vert="horz" wrap="square" anchor="t" anchorCtr="0" upright="1"/>
                            </wps:wsp>
                            <wps:wsp>
                              <wps:cNvPr id="199" name="文本框 2"/>
                              <wps:cNvSpPr txBox="1"/>
                              <wps:spPr>
                                <a:xfrm>
                                  <a:off x="330200" y="2020570"/>
                                  <a:ext cx="922020" cy="254000"/>
                                </a:xfrm>
                                <a:prstGeom prst="rect">
                                  <a:avLst/>
                                </a:prstGeom>
                                <a:solidFill>
                                  <a:srgbClr val="FFFFFF"/>
                                </a:solidFill>
                                <a:ln w="6350">
                                  <a:noFill/>
                                </a:ln>
                              </wps:spPr>
                              <wps:txbx>
                                <w:txbxContent>
                                  <w:p>
                                    <w:pPr>
                                      <w:jc w:val="center"/>
                                      <w:rPr>
                                        <w:sz w:val="20"/>
                                        <w:szCs w:val="20"/>
                                      </w:rPr>
                                    </w:pPr>
                                    <w:r>
                                      <w:rPr>
                                        <w:rFonts w:hint="eastAsia"/>
                                        <w:sz w:val="20"/>
                                        <w:szCs w:val="20"/>
                                      </w:rPr>
                                      <w:t xml:space="preserve"> </w:t>
                                    </w:r>
                                  </w:p>
                                </w:txbxContent>
                              </wps:txbx>
                              <wps:bodyPr vert="horz" wrap="square" anchor="t" anchorCtr="0" upright="1"/>
                            </wps:wsp>
                            <wps:wsp>
                              <wps:cNvPr id="200" name="文本框 30"/>
                              <wps:cNvSpPr txBox="1"/>
                              <wps:spPr>
                                <a:xfrm>
                                  <a:off x="2722245" y="2365375"/>
                                  <a:ext cx="1661795" cy="462915"/>
                                </a:xfrm>
                                <a:prstGeom prst="rect">
                                  <a:avLst/>
                                </a:prstGeom>
                                <a:noFill/>
                                <a:ln w="6350">
                                  <a:noFill/>
                                </a:ln>
                              </wps:spPr>
                              <wps:txbx>
                                <w:txbxContent>
                                  <w:p>
                                    <w:pPr>
                                      <w:jc w:val="left"/>
                                      <w:rPr>
                                        <w:rFonts w:hint="eastAsia"/>
                                        <w:sz w:val="20"/>
                                        <w:szCs w:val="20"/>
                                        <w:lang w:val="en-US" w:eastAsia="zh-CN"/>
                                      </w:rPr>
                                    </w:pPr>
                                    <w:r>
                                      <w:rPr>
                                        <w:rFonts w:hint="eastAsia"/>
                                        <w:sz w:val="20"/>
                                        <w:szCs w:val="20"/>
                                        <w:lang w:val="en-US" w:eastAsia="zh-CN"/>
                                      </w:rPr>
                                      <w:t>S3边角料、S4废切削液</w:t>
                                    </w:r>
                                  </w:p>
                                  <w:p>
                                    <w:pPr>
                                      <w:pStyle w:val="7"/>
                                      <w:rPr>
                                        <w:rFonts w:hint="default"/>
                                        <w:lang w:val="en-US" w:eastAsia="zh-CN"/>
                                      </w:rPr>
                                    </w:pPr>
                                    <w:r>
                                      <w:rPr>
                                        <w:rFonts w:hint="eastAsia"/>
                                        <w:lang w:val="en-US" w:eastAsia="zh-CN"/>
                                      </w:rPr>
                                      <w:t>N噪声</w:t>
                                    </w:r>
                                  </w:p>
                                </w:txbxContent>
                              </wps:txbx>
                              <wps:bodyPr vert="horz" wrap="square" anchor="t" anchorCtr="0" upright="1"/>
                            </wps:wsp>
                            <wps:wsp>
                              <wps:cNvPr id="201" name="直线 224"/>
                              <wps:cNvCnPr/>
                              <wps:spPr>
                                <a:xfrm>
                                  <a:off x="1995170" y="715645"/>
                                  <a:ext cx="0" cy="241300"/>
                                </a:xfrm>
                                <a:prstGeom prst="line">
                                  <a:avLst/>
                                </a:prstGeom>
                                <a:ln w="9525" cap="flat" cmpd="sng">
                                  <a:solidFill>
                                    <a:srgbClr val="000000"/>
                                  </a:solidFill>
                                  <a:prstDash val="solid"/>
                                  <a:headEnd type="none" w="med" len="med"/>
                                  <a:tailEnd type="triangle" w="med" len="med"/>
                                </a:ln>
                              </wps:spPr>
                              <wps:bodyPr/>
                            </wps:wsp>
                            <wps:wsp>
                              <wps:cNvPr id="202" name="直线 224"/>
                              <wps:cNvCnPr/>
                              <wps:spPr>
                                <a:xfrm>
                                  <a:off x="1994535" y="1207135"/>
                                  <a:ext cx="0" cy="241300"/>
                                </a:xfrm>
                                <a:prstGeom prst="line">
                                  <a:avLst/>
                                </a:prstGeom>
                                <a:ln w="9525" cap="flat" cmpd="sng">
                                  <a:solidFill>
                                    <a:srgbClr val="000000"/>
                                  </a:solidFill>
                                  <a:prstDash val="solid"/>
                                  <a:headEnd type="none" w="med" len="med"/>
                                  <a:tailEnd type="triangle" w="med" len="med"/>
                                </a:ln>
                              </wps:spPr>
                              <wps:bodyPr/>
                            </wps:wsp>
                            <wps:wsp>
                              <wps:cNvPr id="203" name="直线 224"/>
                              <wps:cNvCnPr/>
                              <wps:spPr>
                                <a:xfrm>
                                  <a:off x="1991360" y="3190240"/>
                                  <a:ext cx="0" cy="241300"/>
                                </a:xfrm>
                                <a:prstGeom prst="line">
                                  <a:avLst/>
                                </a:prstGeom>
                                <a:ln w="9525" cap="flat" cmpd="sng">
                                  <a:solidFill>
                                    <a:srgbClr val="000000"/>
                                  </a:solidFill>
                                  <a:prstDash val="solid"/>
                                  <a:headEnd type="none" w="med" len="med"/>
                                  <a:tailEnd type="triangle" w="med" len="med"/>
                                </a:ln>
                              </wps:spPr>
                              <wps:bodyPr/>
                            </wps:wsp>
                            <wps:wsp>
                              <wps:cNvPr id="204" name="直线 224"/>
                              <wps:cNvCnPr/>
                              <wps:spPr>
                                <a:xfrm>
                                  <a:off x="1991360" y="2692400"/>
                                  <a:ext cx="0" cy="241300"/>
                                </a:xfrm>
                                <a:prstGeom prst="line">
                                  <a:avLst/>
                                </a:prstGeom>
                                <a:ln w="9525" cap="flat" cmpd="sng">
                                  <a:solidFill>
                                    <a:srgbClr val="000000"/>
                                  </a:solidFill>
                                  <a:prstDash val="solid"/>
                                  <a:headEnd type="none" w="med" len="med"/>
                                  <a:tailEnd type="triangle" w="med" len="med"/>
                                </a:ln>
                              </wps:spPr>
                              <wps:bodyPr/>
                            </wps:wsp>
                            <wps:wsp>
                              <wps:cNvPr id="205" name="直线 224"/>
                              <wps:cNvCnPr/>
                              <wps:spPr>
                                <a:xfrm>
                                  <a:off x="1994535" y="2193925"/>
                                  <a:ext cx="0" cy="241300"/>
                                </a:xfrm>
                                <a:prstGeom prst="line">
                                  <a:avLst/>
                                </a:prstGeom>
                                <a:ln w="9525" cap="flat" cmpd="sng">
                                  <a:solidFill>
                                    <a:srgbClr val="000000"/>
                                  </a:solidFill>
                                  <a:prstDash val="solid"/>
                                  <a:headEnd type="none" w="med" len="med"/>
                                  <a:tailEnd type="triangle" w="med" len="med"/>
                                </a:ln>
                              </wps:spPr>
                              <wps:bodyPr/>
                            </wps:wsp>
                            <wps:wsp>
                              <wps:cNvPr id="206" name="直线 224"/>
                              <wps:cNvCnPr/>
                              <wps:spPr>
                                <a:xfrm>
                                  <a:off x="1991360" y="1696720"/>
                                  <a:ext cx="0" cy="241300"/>
                                </a:xfrm>
                                <a:prstGeom prst="line">
                                  <a:avLst/>
                                </a:prstGeom>
                                <a:ln w="9525" cap="flat" cmpd="sng">
                                  <a:solidFill>
                                    <a:srgbClr val="000000"/>
                                  </a:solidFill>
                                  <a:prstDash val="solid"/>
                                  <a:headEnd type="none" w="med" len="med"/>
                                  <a:tailEnd type="triangle" w="med" len="med"/>
                                </a:ln>
                              </wps:spPr>
                              <wps:bodyPr/>
                            </wps:wsp>
                            <wps:wsp>
                              <wps:cNvPr id="207" name="直接箭头连接符 29"/>
                              <wps:cNvCnPr/>
                              <wps:spPr>
                                <a:xfrm flipV="1">
                                  <a:off x="2408555" y="2075180"/>
                                  <a:ext cx="292100" cy="0"/>
                                </a:xfrm>
                                <a:prstGeom prst="straightConnector1">
                                  <a:avLst/>
                                </a:prstGeom>
                                <a:ln w="9525" cap="flat" cmpd="sng">
                                  <a:solidFill>
                                    <a:srgbClr val="000000"/>
                                  </a:solidFill>
                                  <a:prstDash val="dash"/>
                                  <a:headEnd type="none" w="med" len="med"/>
                                  <a:tailEnd type="triangle" w="med" len="med"/>
                                </a:ln>
                              </wps:spPr>
                              <wps:bodyPr/>
                            </wps:wsp>
                            <wps:wsp>
                              <wps:cNvPr id="208" name="直接箭头连接符 29"/>
                              <wps:cNvCnPr/>
                              <wps:spPr>
                                <a:xfrm flipV="1">
                                  <a:off x="2406650" y="2570480"/>
                                  <a:ext cx="292100" cy="0"/>
                                </a:xfrm>
                                <a:prstGeom prst="straightConnector1">
                                  <a:avLst/>
                                </a:prstGeom>
                                <a:ln w="9525" cap="flat" cmpd="sng">
                                  <a:solidFill>
                                    <a:srgbClr val="000000"/>
                                  </a:solidFill>
                                  <a:prstDash val="dash"/>
                                  <a:headEnd type="none" w="med" len="med"/>
                                  <a:tailEnd type="triangle" w="med" len="med"/>
                                </a:ln>
                              </wps:spPr>
                              <wps:bodyPr/>
                            </wps:wsp>
                            <wps:wsp>
                              <wps:cNvPr id="209" name="直接箭头连接符 29"/>
                              <wps:cNvCnPr/>
                              <wps:spPr>
                                <a:xfrm flipV="1">
                                  <a:off x="2418080" y="583565"/>
                                  <a:ext cx="304800" cy="0"/>
                                </a:xfrm>
                                <a:prstGeom prst="straightConnector1">
                                  <a:avLst/>
                                </a:prstGeom>
                                <a:ln w="9525" cap="flat" cmpd="sng">
                                  <a:solidFill>
                                    <a:srgbClr val="000000"/>
                                  </a:solidFill>
                                  <a:prstDash val="dash"/>
                                  <a:headEnd type="none" w="med" len="med"/>
                                  <a:tailEnd type="triangle" w="med" len="med"/>
                                </a:ln>
                              </wps:spPr>
                              <wps:bodyPr/>
                            </wps:wsp>
                            <wps:wsp>
                              <wps:cNvPr id="210" name="文本框 30"/>
                              <wps:cNvSpPr txBox="1"/>
                              <wps:spPr>
                                <a:xfrm>
                                  <a:off x="2728595" y="346710"/>
                                  <a:ext cx="1625600" cy="451485"/>
                                </a:xfrm>
                                <a:prstGeom prst="rect">
                                  <a:avLst/>
                                </a:prstGeom>
                                <a:noFill/>
                                <a:ln w="6350">
                                  <a:noFill/>
                                </a:ln>
                              </wps:spPr>
                              <wps:txbx>
                                <w:txbxContent>
                                  <w:p>
                                    <w:pPr>
                                      <w:jc w:val="left"/>
                                      <w:rPr>
                                        <w:rFonts w:hint="eastAsia"/>
                                        <w:sz w:val="20"/>
                                        <w:szCs w:val="20"/>
                                        <w:lang w:val="en-US" w:eastAsia="zh-CN"/>
                                      </w:rPr>
                                    </w:pPr>
                                    <w:r>
                                      <w:rPr>
                                        <w:rFonts w:hint="eastAsia"/>
                                        <w:sz w:val="20"/>
                                        <w:szCs w:val="20"/>
                                        <w:lang w:val="en-US" w:eastAsia="zh-CN"/>
                                      </w:rPr>
                                      <w:t>G1切割粉尘、S1边角料</w:t>
                                    </w:r>
                                  </w:p>
                                  <w:p>
                                    <w:pPr>
                                      <w:pStyle w:val="7"/>
                                      <w:rPr>
                                        <w:rFonts w:hint="default"/>
                                        <w:lang w:val="en-US" w:eastAsia="zh-CN"/>
                                      </w:rPr>
                                    </w:pPr>
                                    <w:r>
                                      <w:rPr>
                                        <w:rFonts w:hint="eastAsia"/>
                                        <w:sz w:val="20"/>
                                        <w:szCs w:val="20"/>
                                        <w:lang w:val="en-US" w:eastAsia="zh-CN"/>
                                      </w:rPr>
                                      <w:t>N噪声</w:t>
                                    </w:r>
                                  </w:p>
                                </w:txbxContent>
                              </wps:txbx>
                              <wps:bodyPr vert="horz" anchor="t" anchorCtr="0" upright="1"/>
                            </wps:wsp>
                            <wps:wsp>
                              <wps:cNvPr id="211" name="文本框 2"/>
                              <wps:cNvSpPr txBox="1"/>
                              <wps:spPr>
                                <a:xfrm>
                                  <a:off x="1584960" y="974090"/>
                                  <a:ext cx="807085" cy="270510"/>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冷加工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
                              <wps:cNvSpPr txBox="1"/>
                              <wps:spPr>
                                <a:xfrm>
                                  <a:off x="1584960" y="1450340"/>
                                  <a:ext cx="807085" cy="270510"/>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装配成型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文本框 2"/>
                              <wps:cNvSpPr txBox="1"/>
                              <wps:spPr>
                                <a:xfrm>
                                  <a:off x="1584960" y="1945640"/>
                                  <a:ext cx="807085" cy="270510"/>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2"/>
                              <wps:cNvSpPr txBox="1"/>
                              <wps:spPr>
                                <a:xfrm>
                                  <a:off x="1584960" y="2450465"/>
                                  <a:ext cx="807085" cy="270510"/>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2"/>
                              <wps:cNvSpPr txBox="1"/>
                              <wps:spPr>
                                <a:xfrm>
                                  <a:off x="1570990" y="2926715"/>
                                  <a:ext cx="857250" cy="270510"/>
                                </a:xfrm>
                                <a:prstGeom prst="rect">
                                  <a:avLst/>
                                </a:prstGeom>
                                <a:solidFill>
                                  <a:srgbClr val="FFFFFF"/>
                                </a:solidFill>
                                <a:ln w="6350">
                                  <a:solidFill>
                                    <a:prstClr val="black"/>
                                  </a:solidFill>
                                </a:ln>
                                <a:effectLst/>
                              </wps:spPr>
                              <wps:txbx>
                                <w:txbxContent>
                                  <w:p>
                                    <w:pPr>
                                      <w:jc w:val="center"/>
                                      <w:rPr>
                                        <w:rFonts w:hint="eastAsia" w:eastAsia="宋体"/>
                                        <w:sz w:val="20"/>
                                        <w:szCs w:val="20"/>
                                        <w:lang w:val="en-US" w:eastAsia="zh-CN"/>
                                      </w:rPr>
                                    </w:pPr>
                                    <w:r>
                                      <w:rPr>
                                        <w:rFonts w:hint="eastAsia"/>
                                        <w:sz w:val="20"/>
                                        <w:szCs w:val="20"/>
                                        <w:lang w:val="en-US" w:eastAsia="zh-CN"/>
                                      </w:rPr>
                                      <w:t>淬火（外协）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30"/>
                              <wps:cNvSpPr txBox="1"/>
                              <wps:spPr>
                                <a:xfrm>
                                  <a:off x="2677795" y="1861185"/>
                                  <a:ext cx="1590040" cy="452755"/>
                                </a:xfrm>
                                <a:prstGeom prst="rect">
                                  <a:avLst/>
                                </a:prstGeom>
                                <a:noFill/>
                                <a:ln w="6350">
                                  <a:noFill/>
                                </a:ln>
                              </wps:spPr>
                              <wps:txbx>
                                <w:txbxContent>
                                  <w:p>
                                    <w:pPr>
                                      <w:jc w:val="left"/>
                                      <w:rPr>
                                        <w:rFonts w:hint="eastAsia"/>
                                        <w:sz w:val="20"/>
                                        <w:szCs w:val="20"/>
                                        <w:lang w:val="en-US" w:eastAsia="zh-CN"/>
                                      </w:rPr>
                                    </w:pPr>
                                    <w:r>
                                      <w:rPr>
                                        <w:rFonts w:hint="eastAsia"/>
                                        <w:sz w:val="20"/>
                                        <w:szCs w:val="20"/>
                                        <w:lang w:val="en-US" w:eastAsia="zh-CN"/>
                                      </w:rPr>
                                      <w:t>G2焊接烟尘、S2焊渣</w:t>
                                    </w:r>
                                  </w:p>
                                  <w:p>
                                    <w:pPr>
                                      <w:pStyle w:val="7"/>
                                      <w:rPr>
                                        <w:rFonts w:hint="default"/>
                                        <w:lang w:val="en-US" w:eastAsia="zh-CN"/>
                                      </w:rPr>
                                    </w:pPr>
                                    <w:r>
                                      <w:rPr>
                                        <w:rFonts w:hint="eastAsia"/>
                                        <w:lang w:val="en-US" w:eastAsia="zh-CN"/>
                                      </w:rPr>
                                      <w:t>N噪声</w:t>
                                    </w:r>
                                  </w:p>
                                </w:txbxContent>
                              </wps:txbx>
                              <wps:bodyPr vert="horz" wrap="square" anchor="t" anchorCtr="0" upright="1"/>
                            </wps:wsp>
                            <wps:wsp>
                              <wps:cNvPr id="217" name="文本框 2"/>
                              <wps:cNvSpPr txBox="1"/>
                              <wps:spPr>
                                <a:xfrm>
                                  <a:off x="1637030" y="3938270"/>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机电装配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文本框 2"/>
                              <wps:cNvSpPr txBox="1"/>
                              <wps:spPr>
                                <a:xfrm>
                                  <a:off x="252095" y="1969135"/>
                                  <a:ext cx="1044575" cy="254000"/>
                                </a:xfrm>
                                <a:prstGeom prst="rect">
                                  <a:avLst/>
                                </a:prstGeom>
                                <a:noFill/>
                                <a:ln w="6350">
                                  <a:noFill/>
                                </a:ln>
                              </wps:spPr>
                              <wps:txbx>
                                <w:txbxContent>
                                  <w:p>
                                    <w:pPr>
                                      <w:jc w:val="center"/>
                                      <w:rPr>
                                        <w:rFonts w:hint="default" w:eastAsia="宋体"/>
                                        <w:sz w:val="20"/>
                                        <w:szCs w:val="20"/>
                                        <w:lang w:val="en-US" w:eastAsia="zh-CN"/>
                                      </w:rPr>
                                    </w:pPr>
                                    <w:r>
                                      <w:rPr>
                                        <w:rFonts w:hint="eastAsia"/>
                                        <w:sz w:val="20"/>
                                        <w:szCs w:val="20"/>
                                        <w:lang w:val="en-US" w:eastAsia="zh-CN"/>
                                      </w:rPr>
                                      <w:t>焊丝、氧气</w:t>
                                    </w:r>
                                  </w:p>
                                </w:txbxContent>
                              </wps:txbx>
                              <wps:bodyPr vert="horz" anchor="t" anchorCtr="0" upright="1"/>
                            </wps:wsp>
                            <wps:wsp>
                              <wps:cNvPr id="219" name="直接箭头连接符 29"/>
                              <wps:cNvCnPr/>
                              <wps:spPr>
                                <a:xfrm flipV="1">
                                  <a:off x="2376805" y="3573780"/>
                                  <a:ext cx="279400" cy="0"/>
                                </a:xfrm>
                                <a:prstGeom prst="straightConnector1">
                                  <a:avLst/>
                                </a:prstGeom>
                                <a:ln w="9525" cap="flat" cmpd="sng">
                                  <a:solidFill>
                                    <a:srgbClr val="000000"/>
                                  </a:solidFill>
                                  <a:prstDash val="dash"/>
                                  <a:headEnd type="none" w="med" len="med"/>
                                  <a:tailEnd type="triangle" w="med" len="med"/>
                                </a:ln>
                              </wps:spPr>
                              <wps:bodyPr/>
                            </wps:wsp>
                            <wps:wsp>
                              <wps:cNvPr id="220" name="文本框 2"/>
                              <wps:cNvSpPr txBox="1"/>
                              <wps:spPr>
                                <a:xfrm>
                                  <a:off x="1630680" y="4411345"/>
                                  <a:ext cx="740410" cy="241935"/>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机电调试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直线 224"/>
                              <wps:cNvCnPr/>
                              <wps:spPr>
                                <a:xfrm flipH="1">
                                  <a:off x="1974215" y="4184650"/>
                                  <a:ext cx="3810" cy="205105"/>
                                </a:xfrm>
                                <a:prstGeom prst="line">
                                  <a:avLst/>
                                </a:prstGeom>
                                <a:ln w="9525" cap="flat" cmpd="sng">
                                  <a:solidFill>
                                    <a:srgbClr val="000000"/>
                                  </a:solidFill>
                                  <a:prstDash val="solid"/>
                                  <a:headEnd type="none" w="med" len="med"/>
                                  <a:tailEnd type="triangle" w="med" len="med"/>
                                </a:ln>
                              </wps:spPr>
                              <wps:bodyPr/>
                            </wps:wsp>
                            <wps:wsp>
                              <wps:cNvPr id="223" name="直线 224"/>
                              <wps:cNvCnPr/>
                              <wps:spPr>
                                <a:xfrm flipH="1">
                                  <a:off x="1978025" y="4656455"/>
                                  <a:ext cx="3810" cy="205105"/>
                                </a:xfrm>
                                <a:prstGeom prst="line">
                                  <a:avLst/>
                                </a:prstGeom>
                                <a:ln w="9525" cap="flat" cmpd="sng">
                                  <a:solidFill>
                                    <a:srgbClr val="000000"/>
                                  </a:solidFill>
                                  <a:prstDash val="solid"/>
                                  <a:headEnd type="none" w="med" len="med"/>
                                  <a:tailEnd type="triangle" w="med" len="med"/>
                                </a:ln>
                              </wps:spPr>
                              <wps:bodyPr/>
                            </wps:wsp>
                            <wps:wsp>
                              <wps:cNvPr id="227" name="直线 224"/>
                              <wps:cNvCnPr/>
                              <wps:spPr>
                                <a:xfrm flipV="1">
                                  <a:off x="1309370" y="2085340"/>
                                  <a:ext cx="274955" cy="6350"/>
                                </a:xfrm>
                                <a:prstGeom prst="line">
                                  <a:avLst/>
                                </a:prstGeom>
                                <a:ln w="9525" cap="flat" cmpd="sng">
                                  <a:solidFill>
                                    <a:srgbClr val="000000"/>
                                  </a:solidFill>
                                  <a:prstDash val="solid"/>
                                  <a:headEnd type="none" w="med" len="med"/>
                                  <a:tailEnd type="triangle" w="med" len="med"/>
                                </a:ln>
                              </wps:spPr>
                              <wps:bodyPr/>
                            </wps:wsp>
                            <wps:wsp>
                              <wps:cNvPr id="232" name="文本框 83"/>
                              <wps:cNvSpPr txBox="1"/>
                              <wps:spPr>
                                <a:xfrm>
                                  <a:off x="2686050" y="3447415"/>
                                  <a:ext cx="1413510" cy="259715"/>
                                </a:xfrm>
                                <a:prstGeom prst="rect">
                                  <a:avLst/>
                                </a:prstGeom>
                                <a:noFill/>
                                <a:ln w="6350">
                                  <a:noFill/>
                                </a:ln>
                              </wps:spPr>
                              <wps:txbx>
                                <w:txbxContent>
                                  <w:p>
                                    <w:pPr>
                                      <w:jc w:val="left"/>
                                      <w:rPr>
                                        <w:rFonts w:hint="default" w:eastAsia="宋体"/>
                                        <w:sz w:val="20"/>
                                        <w:szCs w:val="20"/>
                                        <w:lang w:val="en-US" w:eastAsia="zh-CN"/>
                                      </w:rPr>
                                    </w:pPr>
                                    <w:r>
                                      <w:rPr>
                                        <w:rFonts w:hint="eastAsia"/>
                                        <w:sz w:val="20"/>
                                        <w:szCs w:val="20"/>
                                        <w:lang w:val="en-US" w:eastAsia="zh-CN"/>
                                      </w:rPr>
                                      <w:t>G5打磨粉尘</w:t>
                                    </w:r>
                                  </w:p>
                                </w:txbxContent>
                              </wps:txbx>
                              <wps:bodyPr vert="horz" wrap="square" anchor="t" anchorCtr="0" upright="1"/>
                            </wps:wsp>
                            <wps:wsp>
                              <wps:cNvPr id="235" name="直线 224"/>
                              <wps:cNvCnPr/>
                              <wps:spPr>
                                <a:xfrm flipV="1">
                                  <a:off x="1292225" y="2580005"/>
                                  <a:ext cx="274955" cy="6350"/>
                                </a:xfrm>
                                <a:prstGeom prst="line">
                                  <a:avLst/>
                                </a:prstGeom>
                                <a:ln w="9525" cap="flat" cmpd="sng">
                                  <a:solidFill>
                                    <a:srgbClr val="000000"/>
                                  </a:solidFill>
                                  <a:prstDash val="solid"/>
                                  <a:headEnd type="none" w="med" len="med"/>
                                  <a:tailEnd type="triangle" w="med" len="med"/>
                                </a:ln>
                              </wps:spPr>
                              <wps:bodyPr/>
                            </wps:wsp>
                            <wps:wsp>
                              <wps:cNvPr id="237" name="文本框 2"/>
                              <wps:cNvSpPr txBox="1"/>
                              <wps:spPr>
                                <a:xfrm>
                                  <a:off x="469265" y="2488565"/>
                                  <a:ext cx="824230" cy="254000"/>
                                </a:xfrm>
                                <a:prstGeom prst="rect">
                                  <a:avLst/>
                                </a:prstGeom>
                                <a:noFill/>
                                <a:ln w="6350">
                                  <a:noFill/>
                                </a:ln>
                              </wps:spPr>
                              <wps:txbx>
                                <w:txbxContent>
                                  <w:p>
                                    <w:pPr>
                                      <w:jc w:val="center"/>
                                      <w:rPr>
                                        <w:rFonts w:hint="default" w:eastAsia="宋体"/>
                                        <w:sz w:val="20"/>
                                        <w:szCs w:val="20"/>
                                        <w:lang w:val="en-US" w:eastAsia="zh-CN"/>
                                      </w:rPr>
                                    </w:pPr>
                                    <w:r>
                                      <w:rPr>
                                        <w:rFonts w:hint="eastAsia"/>
                                        <w:sz w:val="20"/>
                                        <w:szCs w:val="20"/>
                                        <w:lang w:val="en-US" w:eastAsia="zh-CN"/>
                                      </w:rPr>
                                      <w:t>切削液</w:t>
                                    </w:r>
                                  </w:p>
                                </w:txbxContent>
                              </wps:txbx>
                              <wps:bodyPr vert="horz" anchor="t" anchorCtr="0" upright="1"/>
                            </wps:wsp>
                            <wps:wsp>
                              <wps:cNvPr id="24" name="文本框 2"/>
                              <wps:cNvSpPr txBox="1"/>
                              <wps:spPr>
                                <a:xfrm>
                                  <a:off x="1609090" y="3423285"/>
                                  <a:ext cx="807085" cy="270510"/>
                                </a:xfrm>
                                <a:prstGeom prst="rect">
                                  <a:avLst/>
                                </a:prstGeom>
                                <a:solidFill>
                                  <a:srgbClr val="FFFFFF"/>
                                </a:solidFill>
                                <a:ln w="6350">
                                  <a:solidFill>
                                    <a:prstClr val="black"/>
                                  </a:solidFill>
                                </a:ln>
                                <a:effectLst/>
                              </wps:spPr>
                              <wps:txbx>
                                <w:txbxContent>
                                  <w:p>
                                    <w:pPr>
                                      <w:jc w:val="center"/>
                                      <w:rPr>
                                        <w:rFonts w:hint="default" w:eastAsia="宋体"/>
                                        <w:sz w:val="20"/>
                                        <w:szCs w:val="20"/>
                                        <w:lang w:val="en-US" w:eastAsia="zh-CN"/>
                                      </w:rPr>
                                    </w:pPr>
                                    <w:r>
                                      <w:rPr>
                                        <w:rFonts w:hint="eastAsia"/>
                                        <w:sz w:val="20"/>
                                        <w:szCs w:val="20"/>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线 224"/>
                              <wps:cNvCnPr/>
                              <wps:spPr>
                                <a:xfrm>
                                  <a:off x="2001520" y="3707130"/>
                                  <a:ext cx="0" cy="2413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 o:spid="_x0000_s1026" o:spt="203" style="height:418.05pt;width:378.15pt;" coordsize="4802505,5309235" editas="canvas" o:gfxdata="UEsFBgAAAAAAAAAAAAAAAAAAAAAAAFBLAwQKAAAAAACHTuJAAAAAAAAAAAAAAAAABAAAAGRycy9Q&#10;SwMEFAAAAAgAh07iQFJBpP7XAAAABQEAAA8AAABkcnMvZG93bnJldi54bWxNj0FLw0AQhe+F/odl&#10;BC/FbmIxlphJD4ViEaE01Z632TEJZmfT7Dap/97Vi14GHu/x3jfZ6mpaMVDvGssI8TwCQVxa3XCF&#10;8HbY3C1BOK9Yq9YyIXyRg1U+nWQq1XbkPQ2Fr0QoYZcqhNr7LpXSlTUZ5ea2Iw7eh+2N8kH2ldS9&#10;GkO5aeV9FCXSqIbDQq06WtdUfhYXgzCWu+F4eH2Wu9lxa/m8Pa+L9xfE25s4egLh6er/wvCDH9Ah&#10;D0wne2HtRIsQHvG/N3iPD8kCxAlhuUhikHkm/9Pn31BLAwQUAAAACACHTuJAJfxxoZwIAAAcVAAA&#10;DgAAAGRycy9lMm9Eb2MueG1s7VzLjtvIFd0HyD8Q3MdiPfgowfLAaY+dAEbGgPNYsylKIkKRDMm2&#10;2rMNkOyyCrJJECBAktUkq1kEyWK+Zux8Rs4tvrqpbrctabrV6fKiTVFUkbz33HMfdasef3a+Tq03&#10;cVkleTaz2SPHtuIsyudJtpzZP/vp8x8EtlXVYTYP0zyLZ/bbuLI/e/L97z3eFNOY56s8ncelhUGy&#10;aropZvaqrovpZFJFq3gdVo/yIs7w5SIv12GNj+VyMi/DDUZfpxPuON5kk5fzosyjuKpw9lnzpd2O&#10;WH7MgPlikUTxszw6W8dZ3YxaxmlY45WqVVJU9hP9tItFHNVfLBZVXFvpzMab1vovboLjU/o7efI4&#10;nC7LsFglUfsI4cc8wuid1mGS4ab9UM/COrTOymRrqHUSlXmVL+pHUb6eNC+iJYK3YM5INi/K/KzQ&#10;77KcbpZFL3QoaiT1nYeNfvLmVWkl85kduLaVhWto/P3v//Ptv35tMRLOplhOcc2LsnhdvCrbE8vm&#10;E73v+aJc0/94E+tci/VtL9b4vLYinJSBw10Hw0f4zhWO4sJtBB+toJ2t30Wrz2/45aS78YSer3+c&#10;TQFIVoOcqv3k9HoVFrEWf0UyaOXEFO8E9e4Pv333p6/e/eU3Fm9kpa8jQVn1+Q9zvHorw2pa4eQV&#10;8mLCY1ICjJCM7/EWj53gGPeYL1vBcddzcSVU0L99OC3Kqn4R52uLDmZ2CbxrGIZvXlZ1c2l3Cd29&#10;ytNk/jxJU/2hXJ6epKX1JoRtPNf/2tEvXZZm1mZme8J19MhZTr9vhk4zPAwJvXk7OqrPT881Sqrp&#10;aT5/C0mAavBkq7z80rY2MLSZXf3qLCxj2wqzCKdndt0dntSNZZ4VZbJc4VdafPoOUCuB8Vb0K7b1&#10;K7Tg6f4AwqcomHuK+R5UCAUrz/HdFvm9il2Xic42uOsqHO+l4l4/4fThaU5ua25ny3QDCYVpxUnp&#10;+v7INgPHd4gyidO477js7k3zktmS2ffWfZqG0S+3jRtEQiYcTmPtKVvKuMmgyxyWCcFURfQ8wV1e&#10;hlX9KizhNnGSrP0L/FmkOVgjb49si+z/qvPXs0P64wz8rRp6rPUHqAEUaZUXvzm9+E12tj7JwWZM&#10;P50+pOvrtDtclPn6F4g/nhIn4atrKQjxSxQ/faovgqcuwvpl9rqIaGgSWJY/PavzRaI5lgTWkF1L&#10;h7dJVoBg67X/+PX7f39jcS5J0S1VnWSt0+44unOcvcdmSgneEhRn3FEjnIP4W5DLQEH6HySnNMnI&#10;YYbTa/xPw0jK5TQmuYIFgjYcros53EK21L+9BOPqopNy9L9tHDd+8FlYrRpnpkegy8LpKg7nn2dz&#10;q35bILLJENHCC83sdTy3rTRGAExH+so6TNLhyrpMwmyZXnN1azgj39dggARE0r9NEHgXQPDud397&#10;/89/fPvXr//7zZ/p+Ku/W1zRK34YEtYiTYqfd/huwzkulHSJ5UByzFFCjlmQgrkuQBHMv8F3VXUZ&#10;kmM/ybMMkUpeNsZ0t2CZAzYPCSt+h5Uhet0juhGBJGMmfLhc+WwU3gSB8gTQqb2k5/nODQRyUwD7&#10;oKMbJOYN1Q+a2z26UYGC2klxMpDCD0a07/uwdXyvFYe8Y1/FXU/qJvMYMkt1OA0L4aDaohXMceSO&#10;mVtxOm0UfJuOWitkbMK7k6/PEew15MuF54rG/SKab6snzEP5QOECMmLpcdWw8+7lgwfMvqjOdbb5&#10;fudA22WwQqJc+EkPmtNxZ6etzhYl6gE3eEkTZuus5pbDbPDl/hCQLuVTFC5xx2ddHdRg4J6kWtzp&#10;i4O70wCKvg0NCKYc3tR0B9Y2PLCVnB9Xus2dvsx4AAygQAwIjKJvg4GjxwBYfN+6W+8LOFNCIY02&#10;8cB9Krtx52LZbcfaa+8LmKc8qm4bDNwvDPTlNPiCg5ZeJaaXMFtIsSJCRZeNKzRccUYJPiV3N+QL&#10;pu6qZ9+HeRoY2a0nD3317vBA8TxMzmugoMyDbovLJGKAcr8YpS8CHhwo4BCAg4DiBgLtJJdxIgg6&#10;hlDuSyaKhoOt6YB9aomBS6VCYENIz2+6GYaklHloP+rAIV0mMSlIJDpMJ3dtRh/ZifQdlRKvnc+/&#10;05Yizvri4SGmbobGFOXLrQl705hiGlPuvjEFrSTb9LT7bOUAeSZdR4xrZgbzBvPHgPm+OHxYmmfo&#10;wvEM5ruOYtOAeDwNiJz1xfDDYh4z244cpyiG5w3PHwPP98X/Q2DedxSabnX5RnGkXqO0PEDTM5V3&#10;dCeWaTQ3jea0qub265esn+wYML97ucHzfd2ZhHIDCzzGmnLChXoDFsI4iHia1iWXt+tmjq7ecB8W&#10;NHHWz1EMqts5FfOE77SNo0KJAEtfLlcRUZGQVJrSdCUxsblnoegAjaOXhjDrYqITWiIDFf0fr4vh&#10;rJ9u2R/z3MWymKY2yhTW8427tphDC8Rwgcb8AZqlH1hx9Dub8BC+F9DaSipqu/52kzv3FbXeaL2Z&#10;KdTtRVFH1ndF7erj7uk9/JgDcGhsSMmYGLfjGj9mUs0jSDV5X0b/lF5DvZjvR4it9YLKdjEfw2wR&#10;R3ZJdChZgOLKKHQTQR+40XrmGwI304R+J03ovK8xHwIQtDNHAwiPViSMSg8GEFctFT42r9hnd58M&#10;iPFyX6w8UUjvNCA42s+25tm4LxX1pFGgq3cE+WAPgGGIO2EI0buMIfUJBGXp7QrwT9u/JPCctrtM&#10;SOnLcXmSYb0SbX7RJj/dEmBTqaEtqq7d2enqrYVoX6QdusqvXLrP0PbHW3LnLhq7Gn8+lNiMLd8D&#10;chc9uQ+2vGvKI7HSpNvoQwbBVv9fwCWnyp6pYuxiuoecBvXQ1NVOCQnohI+r42Ya1OSmR5Cb7uSs&#10;aFOebncZx8GmIU24ibATy2FHCWlHRmZJdL9P0UcnH1jfoDeN1E267QaXtCvlxc96FnHY1PPJ/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iCwAA&#10;W0NvbnRlbnRfVHlwZXNdLnhtbFBLAQIUAAoAAAAAAIdO4kAAAAAAAAAAAAAAAAAGAAAAAAAAAAAA&#10;EAAAAAQKAABfcmVscy9QSwECFAAUAAAACACHTuJAihRmPNEAAACUAQAACwAAAAAAAAABACAAAAAo&#10;CgAAX3JlbHMvLnJlbHNQSwECFAAKAAAAAACHTuJAAAAAAAAAAAAAAAAABAAAAAAAAAAAABAAAAAW&#10;AAAAZHJzL1BLAQIUABQAAAAIAIdO4kBSQaT+1wAAAAUBAAAPAAAAAAAAAAEAIAAAADgAAABkcnMv&#10;ZG93bnJldi54bWxQSwECFAAUAAAACACHTuJAJfxxoZwIAAAcVAAADgAAAAAAAAABACAAAAA8AQAA&#10;ZHJzL2Uyb0RvYy54bWxQSwUGAAAAAAYABgBZAQAASgwAAAAA&#10;">
                      <o:lock v:ext="edit" aspectratio="f"/>
                      <v:shape id="画布 1" o:spid="_x0000_s1026" style="position:absolute;left:0;top:0;height:5309235;width:4802505;" filled="f" stroked="f" coordsize="21600,21600" o:gfxdata="UEsFBgAAAAAAAAAAAAAAAAAAAAAAAFBLAwQKAAAAAACHTuJAAAAAAAAAAAAAAAAABAAAAGRycy9Q&#10;SwMEFAAAAAgAh07iQFJBpP7XAAAABQEAAA8AAABkcnMvZG93bnJldi54bWxNj0FLw0AQhe+F/odl&#10;BC/FbmIxlphJD4ViEaE01Z632TEJZmfT7Dap/97Vi14GHu/x3jfZ6mpaMVDvGssI8TwCQVxa3XCF&#10;8HbY3C1BOK9Yq9YyIXyRg1U+nWQq1XbkPQ2Fr0QoYZcqhNr7LpXSlTUZ5ea2Iw7eh+2N8kH2ldS9&#10;GkO5aeV9FCXSqIbDQq06WtdUfhYXgzCWu+F4eH2Wu9lxa/m8Pa+L9xfE25s4egLh6er/wvCDH9Ah&#10;D0wne2HtRIsQHvG/N3iPD8kCxAlhuUhikHkm/9Pn31BLAwQUAAAACACHTuJAOD2YuWAIAACYUwAA&#10;DgAAAGRycy9lMm9Eb2MueG1s7VzLjtzGFd0byD8Q3EfDevBRDbUMZWTZBoRIgGJnXcNmTxNmkzTJ&#10;eSgfkOy89MZGgABJVrZXXmXjr7Hkz8i5xUf3sDUaqac102PVLGaqyZpqsu6pcx91b93/+HyZOadJ&#10;VadFPnXZPc91kjwuZml+PHW/+MvjP0auUzc6n+msyJOp+yKp3Y8f/OGj+2flJOHFoshmSeVgkLye&#10;nJVTd9E05eTgoI4XyVLX94oyyXFzXlRL3eBjdXwwq/QZRl9mB9zzgoOzopqVVREndY2rj9qbbjdi&#10;9TYDFvN5GiePivhkmeRNO2qVZLrBK9WLtKzdB+Zp5/Mkbp7O53XSONnUxZs25je+BO0j+n3w4L6e&#10;HFe6XKRx9wj6bR5h9E5Lneb40mGoR7rRzkmVbgy1TOOqqIt5cy8ulgfti5gZwVswbzQ3hzo/1e3L&#10;xJjr/gHR2uG4R8f03HnxOM0yzMYBRp/QNfp7BmkndDvLL3Zqr5i+XZ+zEnCoywEY9fUe8flCl4kR&#10;Yz2J/3z6rHLSGdCquOvkeglYvvz2Hy+//+Hlv/7ucBIifT36PS/Rszn/U3GOzv31Ghfp8c/n1ZL+&#10;YtYdui8CJiWA8GLqhgHvsJCcN05Md3nAQum7Tozb3A989KTpWQ1TVnXzaVIsHWpM3QpYMxDQp0/q&#10;pu3ad6FvrYssndEkmw/V8dFhVjmnGrh8bH660S90y3LnbOoGwvfMyCshDfNfT9q3o/dvzo/Ou6k4&#10;KmYvMBNY5niyRVH9zXXOAPKpW399oqvEdXQe4/LUbfrmYdOuipOySo8X+C8zfZCwEWs7wTcgX7Ep&#10;X2EmfgsB80CxMIAIIUEVeKHv0xzrySBi32fCG0TsK7SvJeJBPiSeD01yclNyW69MP5IQmBGclH4Y&#10;jtZm5IVe1Mst9Hx2+0vzwrKlZT+s7qNMx19tLm4QSUuqidFSHWUQyt+0oKsCKxMTU5fx4xTf8kTX&#10;zTNdQWXhIq32p/g1zwqwRtG1XIfW/+uuX84O2ec5+Fu19NiYDxADKNKp1u8crd/JT5aHBdiMmacz&#10;TerfZH1zXhXLv0L3PyROwq1LKQi2Q5w8fGg6QUuWunmSPyedxzoWfHjSFPPUcCxNWEt2RnXdLFkB&#10;gq0yevXdz6/+94vDuSRBd1R1mD+ruk+XaSClBO8IijPuqRHOQfyd/pGRwuy/kZyyNCeFqSeX6J+W&#10;kZTPaUxSBXMYTGguyxnUQn5s/vcCjOt1JeWZn00c6wmh/ZGuF60yMyNQNz1ZJHr2ST5zmhclFHYO&#10;axJaaOouk5nrZAmMT2qZno1Os1XPpkp1fpxd0rtbOEYzrZZKiwGaIJp9KKob01jBGghefvOfVz/9&#10;+Ou/f/7tl39S+4f/OlzRK74ZEs48S8sve3x35gkXSvrEctBezFNCjllQeIr3Bopg4RW6q24qTYr9&#10;sMhzWCpF1S6m2wXLDLD5kLAS9lhZWa/XsG5EJGkxEz58rkI2Mm+iSAUC6DQGbBCE3hUEcpUB+0Fb&#10;N3CKd+Z3+CpSEDsJTkZShNGI9sMQax33W89DgnhpjVjPows5vCfPUu1OwkJ4iHQYAXO0/DFzK06X&#10;rYBvUlEbgYyX8PbkG3IYey35chH4olW/a75lgPCBQgdaxDLgqmXn7RfxB8y+iIz1a3N7Q9tnWIVE&#10;udCTASRn7M4+EtCvRYl4wBVka81s49XcsJkNvrw+BKRP/hSZS9wLGdoWA3fJ1eLeEBzcngYQ9G1p&#10;QDDl8Tamu2JtywMbzvl+udvcG8KMO8AAAsSAwMj6thjYewyAxa8bdxt0AWdKKLjRVhfcLV2wHnbb&#10;MvY66AIWqICi2xYDdwsDQzgNumCnoVeJ7SXsFpKtCFPRZ+MIDVeckYNPzt0V/oKNu5rd99U+DRbZ&#10;jTsPQ/Ru90AJAmzOG6AgzCMtUPTk7m7mYAduzbLYLaOAQwAOAoofCaSTXFQ2gqBjCeWObPqB/Huc&#10;7GIjJ+SRT6FCYEPIIGyzGVZOKQuQftSDQ/pMYlOQSHTrTKT3FEq8dD//VlOKOBuChytZ7SIxRYVy&#10;Y8PeJqbYxJTbT0xBKskmPe0C8kz6nhjHzCzmLeb3AfNDcHi3NM+QhRNYzHdJdo5NQKRc+f1IQORs&#10;CIbvFvPY2fbk2EWxPG95fh94fgj+7wLzoaeQdGvCN4rD9Rq55RGSnim8YzKxbKK5TTSnqpqbj1+y&#10;YbNjhfntU5eCMDSZSQg3sChgrA0nrMUbUAjjweJpU5d83tXN7F284S4UNHE27FGsRLe1KxaI0OsS&#10;R4USER/nFSIiISk0ZehKYmPzmoGiy6sB3rpk7cIQti4mPqQSGYjod1wXw9mw3XJ9zHMfQfk2NsoU&#10;6vnGWVvMowIxdDCYR5Fmm86xd2S1r8HR97bhIcIgotpKCmr74WaSOw8Vpd4Yudkt1M2iqD3Lu6J0&#10;9XH29DX0mAdwGGxIyZgYp+NaPWZdzT1wNfkQRn+XXENTzPcZbGtTUNmfNYDdIg7vkuhQsgjBlVG2&#10;kYgGw43qma8w3GwS+q0kofMhxrwLQEReV70HNKAiYRR6sIB4XanwvmnFwbt7Z0CMy31ReaLg3rWx&#10;KKSfbeyz8VAqykkjQ9ecCPLGHADLELfCEGJQGSvXJxKUrtFVgD9/hwNqeBAFXpddJqQM5Tg8yVCv&#10;RIdfdM5PXwK8d87PnYjUUG3Qu2eVv7Z0nyE/lHfkzn0kdrX6fBVis2v5DpC7GMh9tZa3dXkkKk36&#10;gz5kFG3k/0Vccors2SgGnex26YForz8VDKeu7NA3RVJXtyUkIBOk5l3M1LTboNY33QPfdCtlRYfy&#10;9KfLeB4ODWnNTZidKIcdOaQ9GdmS6OGcord2PlDfENN5jSZJtztckk6EXP9sdhFXB2o++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mCgAAW0Nv&#10;bnRlbnRfVHlwZXNdLnhtbFBLAQIUAAoAAAAAAIdO4kAAAAAAAAAAAAAAAAAGAAAAAAAAAAAAEAAA&#10;AMgJAABfcmVscy9QSwECFAAUAAAACACHTuJAihRmPNEAAACUAQAACwAAAAAAAAABACAAAADsCQAA&#10;X3JlbHMvLnJlbHNQSwECFAAKAAAAAACHTuJAAAAAAAAAAAAAAAAABAAAAAAAAAAAABAAAAAWAAAA&#10;ZHJzL1BLAQIUABQAAAAIAIdO4kBSQaT+1wAAAAUBAAAPAAAAAAAAAAEAIAAAADgAAABkcnMvZG93&#10;bnJldi54bWxQSwECFAAUAAAACACHTuJAOD2YuWAIAACYUwAADgAAAAAAAAABACAAAAA8AQAAZHJz&#10;L2Uyb0RvYy54bWxQSwUGAAAAAAYABgBZAQAADgwAAAAA&#10;">
                        <v:fill on="f" focussize="0,0"/>
                        <v:stroke on="f"/>
                        <v:imagedata o:title=""/>
                        <o:lock v:ext="edit" aspectratio="f"/>
                      </v:shape>
                      <v:shape id="文本框 2" o:spid="_x0000_s1026" o:spt="202" type="#_x0000_t202" style="position:absolute;left:1361440;top:7620;height:256540;width:1261745;" fillcolor="#FFFFFF" filled="t" stroked="f" coordsize="21600,21600" o:gfxdata="UEsFBgAAAAAAAAAAAAAAAAAAAAAAAFBLAwQKAAAAAACHTuJAAAAAAAAAAAAAAAAABAAAAGRycy9Q&#10;SwMEFAAAAAgAh07iQNzZwrXTAAAABQEAAA8AAABkcnMvZG93bnJldi54bWxNj0tPwzAQhO9I/Adr&#10;kXqjTiiEKmTTAxLXSn3QsxsvcYS9jmz3+etruMBlpdGMZr5tFmdnxZFCHDwjlNMCBHHn9cA9wnbz&#10;8TgHEZNiraxnQrhQhEV7f9eoWvsTr+i4Tr3IJRxrhWBSGmspY2fIqTj1I3H2vnxwKmUZeqmDOuVy&#10;Z+VTUVTSqYHzglEjvRvqvtcHh7Dr3XX3WY7BaGefeXm9bLZ+QJw8lMUbiETn9BeGH/yMDm1m2vsD&#10;6ygsQn4k/d7svb5UMxB7hPmsKkG2jfxP394AUEsDBBQAAAAIAIdO4kCXzBTi7gEAAL4DAAAOAAAA&#10;ZHJzL2Uyb0RvYy54bWytU82O0zAQviPxDpbvNGm2zULVdCW2KhcESAsP4DpOYsl/jN0m5QHgDThx&#10;4c5z9TkYO+kuLJc9kIMznhl/M9/n8fpm0IocBXhpTUXns5wSYbitpWkr+unj7sVLSnxgpmbKGlHR&#10;k/D0ZvP82bp3K1HYzqpaAEEQ41e9q2gXgltlmeed0MzPrBMGg40FzQJuoc1qYD2ia5UVeV5mvYXa&#10;geXCe/RuxyCdEOEpgLZpJBdbyw9amDCiglAsICXfSefpJnXbNIKH903jRSCqosg0pBWLoL2Pa7ZZ&#10;s1ULzHWSTy2wp7TwiJNm0mDRe6gtC4wcQP4DpSUH620TZtzqbCSSFEEW8/yRNncdcyJxQam9uxfd&#10;/z9Y/u74AYiscRJeFZQYpvHKz9+/nX/8Ov/8SoooUO/8CvPuHGaG4bUdMPni9+iMvIcGdPwjIxLj&#10;V+V8sUCRTxW9LotJZzEEwmO0KOfXiyUlHMPFslxiJtbJHmAc+PBGWE2iUVHAe0zysuNbH8bUS0qs&#10;6q2S9U4qlTbQ7m8VkCPDO9+lb0L/K00Z0le0vFrmCdnYeH6EVgabiaxHdtEKw36YpNjb+oRK4BPC&#10;zjoLXyjpcYAq6j8fGAhKmOHormi4mLdhnLiDA9l2eCrJlyrgtSbi0wjGuflzn/p4eHa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zZwrXTAAAABQEAAA8AAAAAAAAAAQAgAAAAOAAAAGRycy9kb3du&#10;cmV2LnhtbFBLAQIUABQAAAAIAIdO4kCXzBTi7gEAAL4DAAAOAAAAAAAAAAEAIAAAADgBAABkcnMv&#10;ZTJvRG9jLnhtbFBLBQYAAAAABgAGAFkBAACYBQAAAAA=&#10;">
                        <v:fill on="t"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钢板、型材</w:t>
                              </w:r>
                            </w:p>
                          </w:txbxContent>
                        </v:textbox>
                      </v:shape>
                      <v:shape id="文本框 30" o:spid="_x0000_s1026" o:spt="202" type="#_x0000_t202" style="position:absolute;left:2691765;top:960755;height:255905;width:1551305;"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NVcy994BAACYAwAA&#10;DgAAAGRycy9lMm9Eb2MueG1srVPNjtMwEL4j8Q6W7zRpq3RpVHclqJYLAqSFB3Adp7HkP8Zuk/IA&#10;8AacuHDnufocO3a6LVoue+CSjGfG38z3zXh1OxhNDhKCcpbR6aSkRFrhGmV3jH75fPfqNSUhcttw&#10;7axk9CgDvV2/fLHqfS1nrnO6kUAQxIa694x2Mfq6KILopOFh4ry0GGwdGB7xCLuiAd4jutHFrCwX&#10;Re+g8eCEDAG9mzFIz4jwHEDXtkrIjRN7I20cUUFqHpFS6JQPdJ27bVsp4se2DTISzSgyjfmLRdDe&#10;pm+xXvF6B9x3Spxb4M9p4Qknw5XFoheoDY+c7EH9A2WUABdcGyfCmWIkkhVBFtPyiTb3Hfcyc0Gp&#10;g7+IHv4frPhw+ARENbgJyzkllhsc+ennj9OvP6ff38k8K9T7UGPivcfUOLxxA2Yn5ZI/oDMRH1ow&#10;6Y+UCMZni+X0ZlFRcmR0uShvqmqUWg6RiHS/qqbzEuMCE2ZVtUQbEYsrkIcQ30lnSDIYBRxlVpgf&#10;3oc4pj6mpLrW3Smt8zi1JT2ji3lV5guXCIJrizWubScrDtvhzGXrmiNSxMeBBTsH3yjpcTUYDV/3&#10;HCQl3Ap0Mxofzbdx3KW9B7Xr8FbWJVfAgWU+5+VKG/H3OfdxfVDr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DXvYXDXAAAABQEAAA8AAAAAAAAAAQAgAAAAOAAAAGRycy9kb3ducmV2LnhtbFBLAQIU&#10;ABQAAAAIAIdO4kA1VzL33gEAAJgDAAAOAAAAAAAAAAEAIAAAADwBAABkcnMvZTJvRG9jLnhtbFBL&#10;BQYAAAAABgAGAFkBAACMBQAAAAA=&#10;">
                        <v:fill on="f" focussize="0,0"/>
                        <v:stroke on="f" weight="0.5pt"/>
                        <v:imagedata o:title=""/>
                        <o:lock v:ext="edit" aspectratio="f"/>
                        <v:textbox>
                          <w:txbxContent>
                            <w:p>
                              <w:pPr>
                                <w:jc w:val="left"/>
                                <w:rPr>
                                  <w:rFonts w:hint="eastAsia" w:eastAsia="宋体"/>
                                  <w:sz w:val="20"/>
                                  <w:szCs w:val="20"/>
                                  <w:lang w:val="en-US" w:eastAsia="zh-CN"/>
                                </w:rPr>
                              </w:pPr>
                              <w:r>
                                <w:rPr>
                                  <w:sz w:val="20"/>
                                  <w:szCs w:val="20"/>
                                </w:rPr>
                                <w:t>N</w:t>
                              </w:r>
                              <w:r>
                                <w:rPr>
                                  <w:rFonts w:hint="eastAsia"/>
                                  <w:sz w:val="20"/>
                                  <w:szCs w:val="20"/>
                                  <w:lang w:val="en-US" w:eastAsia="zh-CN"/>
                                </w:rPr>
                                <w:t>噪声</w:t>
                              </w:r>
                            </w:p>
                          </w:txbxContent>
                        </v:textbox>
                      </v:shape>
                      <v:shape id="文本框 2" o:spid="_x0000_s1026" o:spt="202" type="#_x0000_t202" style="position:absolute;left:1584960;top:445770;height:270510;width:807085;"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tuYADWsCAADRBAAADgAA&#10;AGRycy9lMm9Eb2MueG1srVTNbtswDL4P2DsIuq92sqRJgzhF1iLDgGIt0A07K7IcC5NETVJidw+w&#10;vsFOu+y+5+pzjJKd9G+HHuaDTIr0R/Ij6flpqxXZCeclmIIOjnJKhOFQSrMp6OdPqzdTSnxgpmQK&#10;jCjojfD0dPH61byxMzGEGlQpHEEQ42eNLWgdgp1lmee10MwfgRUGjRU4zQKqbpOVjjWIrlU2zPPj&#10;rAFXWgdceI+3552R9ojuJYBQVZKLc+BbLUzoUJ1QLGBJvpbW00XKtqoED5dV5UUgqqBYaUgnBkF5&#10;Hc9sMWezjWO2lrxPgb0khSc1aSYNBj1AnbPAyNbJZ1BacgceqnDEQWddIYkRrGKQP+HmumZWpFqQ&#10;am8PpPv/B8s/7q4ckSVOwsmIEsM0tvzu5+3drz93v3+QYSSosX6GftcWPUP7Dlp03t97vIx1t5XT&#10;8Y0VkWgfT0cnx0jyTUFHo/Fk0jMt2kA42qf5JJ+OKeFoH07y8SDZs3sc63x4L0CTKBTUYSMTv2x3&#10;4QPmhK57lxjWg5LlSiqVFLdZnylHdgybvkpPTBc/eeSmDGkKevx2nCfkR7aIfYBYK8a/PkdAPGVi&#10;PJHmrM8rktWREqXQrtuewTWUN0igg24GveUriVEumA9XzOHQIVu4luESj0oBpga9REkN7vu/7qM/&#10;zgJaKWlwiAvqv22ZE5SoDwan5GQwGsWpTwq2YYiKe2hZP7SYrT4DpGyAPwDLkxj9g9qLlQP9Bbd3&#10;GaOiiRmOsQsa9uJZ6FYLt5+L5TI54ZxbFi7MteUROhJmYLkNUMnUyEhTxw22KCo46alZ/VbGVXqo&#10;J6/7P9H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Cb5iGbUAAAABQEAAA8AAAAAAAAAAQAgAAAA&#10;OAAAAGRycy9kb3ducmV2LnhtbFBLAQIUABQAAAAIAIdO4kC25gANawIAANEEAAAOAAAAAAAAAAEA&#10;IAAAADkBAABkcnMvZTJvRG9jLnhtbFBLBQYAAAAABgAGAFkBAAAWBg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切割</w:t>
                              </w:r>
                            </w:p>
                          </w:txbxContent>
                        </v:textbox>
                      </v:shape>
                      <v:line id="直线 224" o:spid="_x0000_s1026" o:spt="20" style="position:absolute;left:1993265;top:212090;height:248920;width:635;"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P8wuPUBAADjAwAA&#10;DgAAAGRycy9lMm9Eb2MueG1srVPNbhMxEL4j8Q6W72STbRs1q2x6aCgXBJWAB5jY3l1L/pPHzSbP&#10;wmtw4sLj9DUYe0MDRUg9sAfv2DP+Zr7PM+ubgzVsryJq71q+mM05U054qV3f8i+f795cc4YJnATj&#10;nWr5USG/2bx+tR5Do2o/eCNVZATisBlDy4eUQlNVKAZlAWc+KEfOzkcLibaxr2SEkdCtqer5fFmN&#10;PsoQvVCIdLqdnPyEGF8C6LtOC7X14sEqlybUqAwkooSDDsg3pdquUyJ97DpUiZmWE9NUVkpC9i6v&#10;1WYNTR8hDFqcSoCXlPCMkwXtKOkT1BYSsIeo/4KyWkSPvksz4W01ESmKEIvF/Jk2nwYIqnAhqTE8&#10;iY7/D1Z82N9HpiV1wuqKMweWnvzx67fH7z9YXV9mfcaADYXduvt42mG4j5nsoYs2/4kGO2SE1UW9&#10;JJRjy+tFPV+d5FWHxAT5lxfkE9l5eb2qi7M6g4SI6Z3ylmWj5Ua7TB0a2L/HRIkp9FdIPjaOjS1f&#10;XdUZE6gPO3p/Mm0gLuj6che90fJOG5NvYOx3tyayPeReKF+mR7h/hOUkW8BhiiuuqUsGBfKtkywd&#10;A2nkaDh4LsEqyZlRNEvZIkBoEmhzjkxRg+vNP6IpvXFURVZ50jVbOy+PRe5yTm9f6jz1aW6u3/fl&#10;9nk2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zE54dcAAAAFAQAADwAAAAAAAAABACAAAAA4&#10;AAAAZHJzL2Rvd25yZXYueG1sUEsBAhQAFAAAAAgAh07iQPj/MLj1AQAA4wMAAA4AAAAAAAAAAQAg&#10;AAAAPAEAAGRycy9lMm9Eb2MueG1sUEsFBgAAAAAGAAYAWQEAAKMFAAAAAA==&#10;">
                        <v:fill on="f" focussize="0,0"/>
                        <v:stroke color="#000000" joinstyle="round" endarrow="block"/>
                        <v:imagedata o:title=""/>
                        <o:lock v:ext="edit" aspectratio="f"/>
                      </v:line>
                      <v:shape id="直接箭头连接符 29" o:spid="_x0000_s1026" o:spt="32" type="#_x0000_t32" style="position:absolute;left:2394585;top:1093470;flip:y;height:3175;width:309245;" filled="f" stroked="t" coordsize="21600,21600" o:gfxdata="UEsFBgAAAAAAAAAAAAAAAAAAAAAAAFBLAwQKAAAAAACHTuJAAAAAAAAAAAAAAAAABAAAAGRycy9Q&#10;SwMEFAAAAAgAh07iQH4UIALTAAAABQEAAA8AAABkcnMvZG93bnJldi54bWxNj8FugzAQRO+V8g/W&#10;RsqtsWlUElFMDpV66DHABxi8wah4jWwnpP36OL20l5VGM5p5Wx5vdmJX9GF0JCHbCmBIvdMjDRLa&#10;5uP5ACxERVpNjlDCNwY4VqunUhXaLXTCax0HlkooFEqCiXEuOA+9QavC1s1IyTs7b1VM0g9ce7Wk&#10;cjvxFyFybtVIacGoGd8N9l/1xUrgnSH/c27afBGfc7vUet9YLeVmnYk3YBFv8S8MD/yEDlVi6tyF&#10;dGCThPRI/L3J27/mO2CdhMMuz4BXJf9PX90BUEsDBBQAAAAIAIdO4kCXiespHAIAAAoEAAAOAAAA&#10;ZHJzL2Uyb0RvYy54bWytU8uO0zAU3SPxD5b3NGnazkyiprNoGTYIKvHYu7aTWPJLtqdpf4IfQGIF&#10;rIDV7PkaGD6DayfMwCCkWZBFdG2fe+49x9fL84OSaM+dF0bXeDrJMeKaGiZ0W+NXLy8enWHkA9GM&#10;SKN5jY/c4/PVwwfL3la8MJ2RjDsEJNpXva1xF4KtsszTjiviJ8ZyDYeNcYoEWLo2Y470wK5kVuT5&#10;SdYbx6wzlHsPu5vhEI+M7j6EpmkE5RtDLxXXYWB1XJIAknwnrMer1G3TcBqeN43nAckag9KQ/lAE&#10;4l38Z6slqVpHbCfo2AK5Twt3NCkiNBS9odqQQNClE39RKUGd8aYJE2pUNghJjoCKaX7HmxcdsTxp&#10;Aau9vTHd/z9a+my/dUgwmITyBCNNFFz59dur728+XH/5/O391Y+v72L86SMqyuhWb30FSWu9dePK&#10;262L0g+NU6iRwr4GsmQGyEOHGhezcr44W2B0hIO8nM1PR9/5ISAKgFleFnM4pwCYTU8XsU42EEZi&#10;63x4wo1CMaixD46ItgtrozXcr3FDMbJ/6sOQ+CshJkuN+hqXiyLyE5jXBuYEQmVBs9dtatQbKdiF&#10;kDJmeNfu1tKhPYkzk76xoT9gsciG+G7AMYgiilQdJ+yxZigcLVip4Q3h2IHiDCPJ4cnFKCEDEfIW&#10;GZwgupX/QIMdUoMr0f7B8BjtDDume0j7MCLJt3Gc4wz+vk7Zt094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FCAC0wAAAAUBAAAPAAAAAAAAAAEAIAAAADgAAABkcnMvZG93bnJldi54bWxQSwEC&#10;FAAUAAAACACHTuJAl4nrKRwCAAAKBAAADgAAAAAAAAABACAAAAA4AQAAZHJzL2Uyb0RvYy54bWxQ&#10;SwUGAAAAAAYABgBZAQAAxgUAAAAA&#10;">
                        <v:fill on="f" focussize="0,0"/>
                        <v:stroke color="#000000" joinstyle="round" dashstyle="dash" endarrow="block"/>
                        <v:imagedata o:title=""/>
                        <o:lock v:ext="edit" aspectratio="f"/>
                      </v:shape>
                      <v:shape id="文本框 30" o:spid="_x0000_s1026" o:spt="202" type="#_x0000_t202" style="position:absolute;left:2638425;top:1529715;height:266700;width:889636;"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sM0pS+EBAACYAwAA&#10;DgAAAGRycy9lMm9Eb2MueG1srVNLbtswEN0XyB2I2deS5Vq2BcsBWiPdFG2BpAegKcoiwF9I2pJ7&#10;gPYGXXXTfc7lc2REOXaRbLLIRiLn82bem+HyulOS7LnzwugSxqMUCNfMVEJvS/hxd/N+DsQHqisq&#10;jeYlHLiH69XVu2VrC56ZxsiKO4Ig2hetLaEJwRZJ4lnDFfUjY7lGZ22cogGvbptUjraIrmSSpWme&#10;tMZV1hnGvUfrenDCCdG9BtDUtWB8bdhOcR0GVMclDUjJN8J6WMVu65qz8K2uPQ9EloBMQ/xiETxv&#10;+m+yWtJi66htBDu1QF/TwjNOigqNRc9Qaxoo2TnxAkoJ5ow3dRgxo5KBSFQEWYzTZ9rcNtTyyAWl&#10;9vYsun87WPZ1/90RUeEmLGZANFU48uOf38e/D8d/v8gkKtRaX2DgrcXQ0H00HUb3yvV2j8aeeFc7&#10;1f+REkF/lk/mH7IpkAPGTrPFbDwdtOZdIAwD5vNFPsmBMAzI8nyWxkrJBcg6Hz5zo0h/KMHhKKPC&#10;dP/FByyOoU8hfV1tboSUcZxSk7aEfDJNY8LZgxlSY+Kl7f4Uuk134rIx1QEp4uPAgo1xP4G0uBol&#10;+PsddRwI1QzNJYSn46cw7NLOOrFtMCvqEivgwGKTp+XqN+L/e+zj8qB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DXvYXDXAAAABQEAAA8AAAAAAAAAAQAgAAAAOAAAAGRycy9kb3ducmV2LnhtbFBL&#10;AQIUABQAAAAIAIdO4kCwzSlL4QEAAJgDAAAOAAAAAAAAAAEAIAAAADwBAABkcnMvZTJvRG9jLnht&#10;bFBLBQYAAAAABgAGAFkBAACPBQAAAAA=&#10;">
                        <v:fill on="f" focussize="0,0"/>
                        <v:stroke on="f" weight="0.5pt"/>
                        <v:imagedata o:title=""/>
                        <o:lock v:ext="edit" aspectratio="f"/>
                        <v:textbox>
                          <w:txbxContent>
                            <w:p>
                              <w:pPr>
                                <w:jc w:val="left"/>
                                <w:rPr>
                                  <w:szCs w:val="21"/>
                                </w:rPr>
                              </w:pPr>
                              <w:r>
                                <w:rPr>
                                  <w:rFonts w:hint="eastAsia"/>
                                  <w:szCs w:val="21"/>
                                </w:rPr>
                                <w:t xml:space="preserve"> </w:t>
                              </w:r>
                            </w:p>
                          </w:txbxContent>
                        </v:textbox>
                      </v:shape>
                      <v:shape id="文本框 2" o:spid="_x0000_s1026" o:spt="202" type="#_x0000_t202" style="position:absolute;left:1598930;top:4843780;height:254000;width:774700;" fillcolor="#FFFFFF" filled="t" stroked="f" coordsize="21600,21600" o:gfxdata="UEsFBgAAAAAAAAAAAAAAAAAAAAAAAFBLAwQKAAAAAACHTuJAAAAAAAAAAAAAAAAABAAAAGRycy9Q&#10;SwMEFAAAAAgAh07iQNzZwrXTAAAABQEAAA8AAABkcnMvZG93bnJldi54bWxNj0tPwzAQhO9I/Adr&#10;kXqjTiiEKmTTAxLXSn3QsxsvcYS9jmz3+etruMBlpdGMZr5tFmdnxZFCHDwjlNMCBHHn9cA9wnbz&#10;8TgHEZNiraxnQrhQhEV7f9eoWvsTr+i4Tr3IJRxrhWBSGmspY2fIqTj1I3H2vnxwKmUZeqmDOuVy&#10;Z+VTUVTSqYHzglEjvRvqvtcHh7Dr3XX3WY7BaGefeXm9bLZ+QJw8lMUbiETn9BeGH/yMDm1m2vsD&#10;6ygsQn4k/d7svb5UMxB7hPmsKkG2jfxP394AUEsDBBQAAAAIAIdO4kD18Z3Y8AEAAMADAAAOAAAA&#10;ZHJzL2Uyb0RvYy54bWytU0uS0zAQ3VPFHVTaE3vymXwqzlQxqbChgKqBAyiybKtKP1pK7HAAuAEr&#10;Nuw5V85BS3bmx2YWeCG3Wq3X/V631jedVuQowEtrCno1yikRhttSmrqgXz7v3iwo8YGZkilrREFP&#10;wtObzetX69atxNg2VpUCCIIYv2pdQZsQ3CrLPG+EZn5knTB4WFnQLOAW6qwE1iK6Vtk4z6+z1kLp&#10;wHLhPXq3/SEdEOElgLaqJBdbyw9amNCjglAsICXfSOfpJlVbVYKHj1XlRSCqoMg0pBWToL2Pa7ZZ&#10;s1UNzDWSDyWwl5TwjJNm0mDSe6gtC4wcQP4DpSUH620VRtzqrCeSFEEWV/kzbe4a5kTiglJ7dy+6&#10;/3+w/MPxExBZ4iQssfGGaWz5+eeP868/59/fyTgK1Dq/wrg7h5Ghe2s7DL74PToj764CHf/IiMTz&#10;2XKxnKDIp4JOF9PJfDFILbpAOAbM59N5juccA8azaY42ZsoegBz48E5YTaJRUMBOJoHZ8b0Pfegl&#10;JOb1VslyJ5VKG6j3twrIkWHXd+kb0J+EKUPagl5PZnlCNjbe76GVwWIi755ftEK37wYx9rY8oRb4&#10;iLCyxsI3SlocoYL6rwcGghJmOLoLGi7mbehn7uBA1g3eSgKmDNjYRHwYwjg5j/epjoeHt/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3NnCtdMAAAAFAQAADwAAAAAAAAABACAAAAA4AAAAZHJzL2Rv&#10;d25yZXYueG1sUEsBAhQAFAAAAAgAh07iQPXxndjwAQAAwAMAAA4AAAAAAAAAAQAgAAAAOAEAAGRy&#10;cy9lMm9Eb2MueG1sUEsFBgAAAAAGAAYAWQEAAJoFAAAAAA==&#10;">
                        <v:fill on="t" focussize="0,0"/>
                        <v:stroke on="f" weight="0.5pt"/>
                        <v:imagedata o:title=""/>
                        <o:lock v:ext="edit" aspectratio="f"/>
                        <v:textbox>
                          <w:txbxContent>
                            <w:p>
                              <w:pPr>
                                <w:jc w:val="center"/>
                                <w:rPr>
                                  <w:sz w:val="20"/>
                                  <w:szCs w:val="20"/>
                                </w:rPr>
                              </w:pPr>
                              <w:r>
                                <w:rPr>
                                  <w:rFonts w:hint="eastAsia"/>
                                  <w:sz w:val="20"/>
                                  <w:szCs w:val="20"/>
                                </w:rPr>
                                <w:t>成 品</w:t>
                              </w:r>
                            </w:p>
                          </w:txbxContent>
                        </v:textbox>
                      </v:shape>
                      <v:shape id="文本框 2" o:spid="_x0000_s1026" o:spt="202" type="#_x0000_t202" style="position:absolute;left:330200;top:2020570;height:254000;width:922020;" fillcolor="#FFFFFF" filled="t" stroked="f" coordsize="21600,21600" o:gfxdata="UEsFBgAAAAAAAAAAAAAAAAAAAAAAAFBLAwQKAAAAAACHTuJAAAAAAAAAAAAAAAAABAAAAGRycy9Q&#10;SwMEFAAAAAgAh07iQNzZwrXTAAAABQEAAA8AAABkcnMvZG93bnJldi54bWxNj0tPwzAQhO9I/Adr&#10;kXqjTiiEKmTTAxLXSn3QsxsvcYS9jmz3+etruMBlpdGMZr5tFmdnxZFCHDwjlNMCBHHn9cA9wnbz&#10;8TgHEZNiraxnQrhQhEV7f9eoWvsTr+i4Tr3IJRxrhWBSGmspY2fIqTj1I3H2vnxwKmUZeqmDOuVy&#10;Z+VTUVTSqYHzglEjvRvqvtcHh7Dr3XX3WY7BaGefeXm9bLZ+QJw8lMUbiETn9BeGH/yMDm1m2vsD&#10;6ygsQn4k/d7svb5UMxB7hPmsKkG2jfxP394AUEsDBBQAAAAIAIdO4kDCG3uu7AEAAL8DAAAOAAAA&#10;ZHJzL2Uyb0RvYy54bWytU82O0zAQviPxDpbvNNmULjRquhJblQsCpIUHcB0nseQ/xm6T8gDwBpy4&#10;cN/n6nMwdtL947IHcnDG4/E3830zXl0NWpGDAC+tqejFLKdEGG5radqKfv2yffWWEh+YqZmyRlT0&#10;KDy9Wr98sepdKQrbWVULIAhifNm7inYhuDLLPO+EZn5mnTB42FjQLOAW2qwG1iO6VlmR55dZb6F2&#10;YLnwHr2b8ZBOiPAcQNs0kouN5XstTBhRQSgWkJLvpPN0naptGsHDp6bxIhBVUWQa0opJ0N7FNVuv&#10;WNkCc53kUwnsOSU84aSZNJj0DmrDAiN7kP9AacnBetuEGbc6G4kkRZDFRf5Em5uOOZG4oNTe3Ynu&#10;/x8s/3j4DETWOAnLJSWGaWz56dfP0+/b058fpIgC9c6XGHfjMDIM7+yAwWe/R2fkPTSg4x8ZETyf&#10;z3PsNSXHihZoLd5MSoshEI7nyyK6KeExYPE6x1hMlN3jOPDhvbCaRKOigI1M+rLDBx/G0HNITOut&#10;kvVWKpU20O6uFZADw6Zv0zehPwpThvQVvZwv8oRsbLw/QiuDxUTaI71ohWE3TFrsbH1EKfANYWWd&#10;he+U9DhBFfXf9gwEJcxwdFc0nM3rMI7c3oFsO7yV9EsZsK+J+DSDcXAe7lMd9+9u/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c2cK10wAAAAUBAAAPAAAAAAAAAAEAIAAAADgAAABkcnMvZG93bnJl&#10;di54bWxQSwECFAAUAAAACACHTuJAwht7ruwBAAC/AwAADgAAAAAAAAABACAAAAA4AQAAZHJzL2Uy&#10;b0RvYy54bWxQSwUGAAAAAAYABgBZAQAAlgUAAAAA&#10;">
                        <v:fill on="t" focussize="0,0"/>
                        <v:stroke on="f" weight="0.5pt"/>
                        <v:imagedata o:title=""/>
                        <o:lock v:ext="edit" aspectratio="f"/>
                        <v:textbox>
                          <w:txbxContent>
                            <w:p>
                              <w:pPr>
                                <w:jc w:val="center"/>
                                <w:rPr>
                                  <w:sz w:val="20"/>
                                  <w:szCs w:val="20"/>
                                </w:rPr>
                              </w:pPr>
                              <w:r>
                                <w:rPr>
                                  <w:rFonts w:hint="eastAsia"/>
                                  <w:sz w:val="20"/>
                                  <w:szCs w:val="20"/>
                                </w:rPr>
                                <w:t xml:space="preserve"> </w:t>
                              </w:r>
                            </w:p>
                          </w:txbxContent>
                        </v:textbox>
                      </v:shape>
                      <v:shape id="文本框 30" o:spid="_x0000_s1026" o:spt="202" type="#_x0000_t202" style="position:absolute;left:2722245;top:2365375;height:462915;width:1661795;"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HYValeEBAACZAwAA&#10;DgAAAGRycy9lMm9Eb2MueG1srVPNjtMwEL4j8Q6W7zRpuk3ZqO5KUC0XBEgLD+A6dmPJf9huk/IA&#10;8AacuHDf5+pzMHa67Wr3sgcuyXg8881834yXN4NWaM99kNYQPJ2UGHHDbCvNluBvX2/fvMUoRGpa&#10;qqzhBB94wDer16+WvWt4ZTurWu4RgJjQ9I7gLkbXFEVgHdc0TKzjBi6F9ZpGOPpt0XraA7pWRVWW&#10;ddFb3zpvGQ8BvOvxEp8Q/UsArRCS8bVlO81NHFE9VzQCpdBJF/AqdysEZ/GzEIFHpAgGpjF/oQjY&#10;m/QtVkvabD11nWSnFuhLWnjCSVNpoOgZak0jRTsvn0FpybwNVsQJs7oYiWRFgMW0fKLNXUcdz1xA&#10;6uDOoof/B8s+7b94JFuCYTYYGaph5Mffv45/7o9/f6JZVqh3oYHAOwehcXhnB9ibpFzyB3Am4oPw&#10;Ov2BEoL7alFV1dUcowPYs3o+W8xHrfkQEUsAdT1dXEMAg4irurqe5oDiguR8iB+41SgZBHuYZZaY&#10;7j+GCNUh9CEkFTb2ViqV56kM6gmuZ/MyJ5xvIEMZSLz0naw4bIYTmY1tD8ARXgcU7Kz/gVEPu0Fw&#10;+L6jnmNEDQM3wfHBfB/HZdo5L7cdZGVhcgWYWG7ytF1pJR6fcx+XF7X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DXvYXDXAAAABQEAAA8AAAAAAAAAAQAgAAAAOAAAAGRycy9kb3ducmV2LnhtbFBL&#10;AQIUABQAAAAIAIdO4kAdhVqV4QEAAJkDAAAOAAAAAAAAAAEAIAAAADwBAABkcnMvZTJvRG9jLnht&#10;bFBLBQYAAAAABgAGAFkBAACPBQAAAAA=&#10;">
                        <v:fill on="f" focussize="0,0"/>
                        <v:stroke on="f" weight="0.5pt"/>
                        <v:imagedata o:title=""/>
                        <o:lock v:ext="edit" aspectratio="f"/>
                        <v:textbox>
                          <w:txbxContent>
                            <w:p>
                              <w:pPr>
                                <w:jc w:val="left"/>
                                <w:rPr>
                                  <w:rFonts w:hint="eastAsia"/>
                                  <w:sz w:val="20"/>
                                  <w:szCs w:val="20"/>
                                  <w:lang w:val="en-US" w:eastAsia="zh-CN"/>
                                </w:rPr>
                              </w:pPr>
                              <w:r>
                                <w:rPr>
                                  <w:rFonts w:hint="eastAsia"/>
                                  <w:sz w:val="20"/>
                                  <w:szCs w:val="20"/>
                                  <w:lang w:val="en-US" w:eastAsia="zh-CN"/>
                                </w:rPr>
                                <w:t>S3边角料、S4废切削液</w:t>
                              </w:r>
                            </w:p>
                            <w:p>
                              <w:pPr>
                                <w:pStyle w:val="7"/>
                                <w:rPr>
                                  <w:rFonts w:hint="default"/>
                                  <w:lang w:val="en-US" w:eastAsia="zh-CN"/>
                                </w:rPr>
                              </w:pPr>
                              <w:r>
                                <w:rPr>
                                  <w:rFonts w:hint="eastAsia"/>
                                  <w:lang w:val="en-US" w:eastAsia="zh-CN"/>
                                </w:rPr>
                                <w:t>N噪声</w:t>
                              </w:r>
                            </w:p>
                          </w:txbxContent>
                        </v:textbox>
                      </v:shape>
                      <v:line id="直线 224" o:spid="_x0000_s1026" o:spt="20" style="position:absolute;left:1995170;top:715645;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wXn9X/YBAADhAwAA&#10;DgAAAGRycy9lMm9Eb2MueG1srVPNjtMwEL4j8Q6W7zRpaHdp1HQPW5YLgkrAA0wdJ7HkP3m8Tfss&#10;vAYnLjzOvgZjp2xhEdIeyMEZe8bfzPd5Zn1zNJodZEDlbMPns5IzaYVrle0b/uXz3as3nGEE24J2&#10;Vjb8JJHfbF6+WI++lpUbnG5lYARisR59w4cYfV0UKAZpAGfOS0vOzgUDkbahL9oAI6EbXVRleVWM&#10;LrQ+OCER6XQ7OfkZMTwH0HWdEnLrxL2RNk6oQWqIRAkH5ZFvcrVdJ0X82HUoI9MNJ6Yxr5SE7H1a&#10;i80a6j6AH5Q4lwDPKeEJJwPKUtJHqC1EYPdB/QVllAgOXRdnwpliIpIVIRbz8ok2nwbwMnMhqdE/&#10;io7/D1Z8OOwCU23DKT9nFgw9+cPXbw/ff7CqWiR9Ro81hd3aXTjv0O9CInvsgkl/osGO1Eur1XJ+&#10;TcqeGn49X14tlpO88hiZID95BLmqxfx1mZUvLhA+YHwnnWHJaLhWNhGHGg7vMVJaCv0Vko61ZWPD&#10;V8tqSZhAXdjR65NpPDFB2+e76LRq75TW6QaGfn+rAztA6oT8peoI94+wlGQLOExx2TWRGCS0b23L&#10;4smTQpZGg6cSjGw505ImKVkECHUEpS+RMSiwvf5HNKXXlqpIGk+qJmvv2lMWO5/Ty+c6z12aWuv3&#10;fb59mcz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8xOeHXAAAABQEAAA8AAAAAAAAAAQAgAAAA&#10;OAAAAGRycy9kb3ducmV2LnhtbFBLAQIUABQAAAAIAIdO4kDBef1f9gEAAOEDAAAOAAAAAAAAAAEA&#10;IAAAADwBAABkcnMvZTJvRG9jLnhtbFBLBQYAAAAABgAGAFkBAACkBQAAAAA=&#10;">
                        <v:fill on="f" focussize="0,0"/>
                        <v:stroke color="#000000" joinstyle="round" endarrow="block"/>
                        <v:imagedata o:title=""/>
                        <o:lock v:ext="edit" aspectratio="f"/>
                      </v:line>
                      <v:line id="直线 224" o:spid="_x0000_s1026" o:spt="20" style="position:absolute;left:1994535;top:1207135;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LJtvQ/UBAADiAwAA&#10;DgAAAGRycy9lMm9Eb2MueG1srVPNjtMwEL4j8Q6W7zRptgUaNd3DluWCoNLCA0wdJ7HkP3m8Tfss&#10;vAYnLjzOvgZjp2xhEdIeyMEZ25+/me/zeH19NJodZEDlbMPns5IzaYVrle0b/uXz7au3nGEE24J2&#10;Vjb8JJFfb16+WI++lpUbnG5lYERisR59w4cYfV0UKAZpAGfOS0ubnQsGIk1DX7QBRmI3uqjK8nUx&#10;utD64IREpNXttMnPjOE5hK7rlJBbJ+6NtHFiDVJDJEk4KI98k6vtOinip65DGZluOCmNeaQkFO/T&#10;WGzWUPcB/KDEuQR4TglPNBlQlpI+Um0hArsP6i8qo0Rw6Lo4E84Uk5DsCKmYl0+8uRvAy6yFrEb/&#10;aDr+P1rx8bALTLUNr8qKMwuGrvzh67eH7z9YVS2SP6PHmmA3dhfOM/S7kMQeu2DSn2SwI/XSarVY&#10;Xi05O1FclW/mFGd/5TEyQQAyXdBetZhfldn64sLhA8b30hmWgoZrZZNyqOHwASOxEPQXJC1ry8aG&#10;r5YVpRNAbdjR9VNoPElB2+ez6LRqb5XW6QSGfn+jAztAaoX8peqI9w9YSrIFHCZc3ppEDBLad7Zl&#10;8eTJIktvg6cSjGw505KeUoqy3AhKX5AxKLC9/gea0mtLVSSTJ1tTtHftKbud1+nqc53nNk299fs8&#10;n748zc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zE54dcAAAAFAQAADwAAAAAAAAABACAAAAA4&#10;AAAAZHJzL2Rvd25yZXYueG1sUEsBAhQAFAAAAAgAh07iQCybb0P1AQAA4gMAAA4AAAAAAAAAAQAg&#10;AAAAPAEAAGRycy9lMm9Eb2MueG1sUEsFBgAAAAAGAAYAWQEAAKMFAAAAAA==&#10;">
                        <v:fill on="f" focussize="0,0"/>
                        <v:stroke color="#000000" joinstyle="round" endarrow="block"/>
                        <v:imagedata o:title=""/>
                        <o:lock v:ext="edit" aspectratio="f"/>
                      </v:line>
                      <v:line id="直线 224" o:spid="_x0000_s1026" o:spt="20" style="position:absolute;left:1991360;top:3190240;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XdnDL/cBAADiAwAA&#10;DgAAAGRycy9lMm9Eb2MueG1srVNLbtswEN0X6B0I7mvJshPUguUs4qabojXQ9ABjipII8AcOY9ln&#10;6TW66qbHyTU6pNy4TVEgi3ohDzmPb+Y9Dtc3R6PZQQZUzjZ8Pis5k1a4Vtm+4V/u79685Qwj2Ba0&#10;s7LhJ4n8ZvP61Xr0tazc4HQrAyMSi/XoGz7E6OuiQDFIAzhzXlpKdi4YiLQMfdEGGInd6KIqy+ti&#10;dKH1wQmJSLvbKcnPjOElhK7rlJBbJx6MtHFiDVJDJEk4KI98k7vtOinip65DGZluOCmN+UtFKN6n&#10;b7FZQ90H8IMS5xbgJS0802RAWSr6RLWFCOwhqL+ojBLBoeviTDhTTEKyI6RiXj7z5vMAXmYtZDX6&#10;J9Px/9GKj4ddYKpteFUuOLNg6Mofv357/P6DVdUy+TN6rAl2a3fhvEK/C0nssQsm/ZMMdqRZWq3m&#10;i2ty9tTwxXxVVsuzv/IYmSAApQTlquV8UeZUceHwAeN76QxLQcO1skk51HD4gJHqEvQXJG1ry8aG&#10;r66qK+IEGsOOrp9C40kK2j6fRadVe6e0Ticw9PtbHdgB0ijkX1JHvH/AUpEt4DDhcmoakkFC+862&#10;LJ48WWTpbfDUgpEtZ1rSU0oREUIdQekLMgYFttf/QFN5bamLZPJka4r2rj1lt/M+XX3u8zymabZ+&#10;X+fTl6e5+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fMTnh1wAAAAUBAAAPAAAAAAAAAAEAIAAA&#10;ADgAAABkcnMvZG93bnJldi54bWxQSwECFAAUAAAACACHTuJAXdnDL/cBAADiAwAADgAAAAAAAAAB&#10;ACAAAAA8AQAAZHJzL2Uyb0RvYy54bWxQSwUGAAAAAAYABgBZAQAApQUAAAAA&#10;">
                        <v:fill on="f" focussize="0,0"/>
                        <v:stroke color="#000000" joinstyle="round" endarrow="block"/>
                        <v:imagedata o:title=""/>
                        <o:lock v:ext="edit" aspectratio="f"/>
                      </v:line>
                      <v:line id="直线 224" o:spid="_x0000_s1026" o:spt="20" style="position:absolute;left:1991360;top:2692400;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MRK/I/UBAADiAwAA&#10;DgAAAGRycy9lMm9Eb2MueG1srVNLbtswEN0X6B0I7mvJimPUguUs4qabojXQ9ABjkpII8AcOY9ln&#10;6TW66qbHyTU6lNy4TVEgi3ohDzmPb+Y9Dtc3R2vYQUXU3jV8Pis5U054qV3X8C/3d2/ecoYJnATj&#10;nWr4SSG/2bx+tR5CrSrfeyNVZETisB5Cw/uUQl0UKHplAWc+KEfJ1kcLiZaxK2SEgditKaqyXBaD&#10;jzJELxQi7W6nJD8zxpcQ+rbVQm29eLDKpYk1KgOJJGGvA/LN2G3bKpE+tS2qxEzDSWkav1SE4n3+&#10;Fps11F2E0GtxbgFe0sIzTRa0o6JPVFtIwB6i/ovKahE9+jbNhLfFJGR0hFTMy2fefO4hqFELWY3h&#10;yXT8f7Ti42EXmZYNr8oFZw4sXfnj12+P33+wqlpkf4aANcFu3S6eVxh2MYs9ttHmf5LBjjRLq9X8&#10;aknOnohtuaoW5dlfdUxMEIBSIucW86spVVw4QsT0XnnLctBwo11WDjUcPmCiugT9BcnbxrGh4avr&#10;6po4gcawpeun0AaSgq4bz6I3Wt5pY/IJjN3+1kR2gDwK4y+rI94/YLnIFrCfcGNqGpJegXznJEun&#10;QBY5ehs8t2CV5Mwoeko5IkKoE2hzQaaowXXmH2gqbxx1kU2ebM3R3svT6Pa4T1c/9nke0zxbv6/H&#10;05enuf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zE54dcAAAAFAQAADwAAAAAAAAABACAAAAA4&#10;AAAAZHJzL2Rvd25yZXYueG1sUEsBAhQAFAAAAAgAh07iQDESvyP1AQAA4gMAAA4AAAAAAAAAAQAg&#10;AAAAPAEAAGRycy9lMm9Eb2MueG1sUEsFBgAAAAAGAAYAWQEAAKMFAAAAAA==&#10;">
                        <v:fill on="f" focussize="0,0"/>
                        <v:stroke color="#000000" joinstyle="round" endarrow="block"/>
                        <v:imagedata o:title=""/>
                        <o:lock v:ext="edit" aspectratio="f"/>
                      </v:line>
                      <v:line id="直线 224" o:spid="_x0000_s1026" o:spt="20" style="position:absolute;left:1994535;top:2193925;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gzeUbfYBAADiAwAA&#10;DgAAAGRycy9lMm9Eb2MueG1srVPNjtMwEL4j8Q6W7zRp2iIaNd3DluWCoBLwAFPHSSz5Tx5v0z4L&#10;r8GJC4+zr8HYKVtYhLQHcnDG9udv5vs83tycjGZHGVA52/D5rORMWuFaZfuGf/l89+oNZxjBtqCd&#10;lQ0/S+Q325cvNqOvZeUGp1sZGJFYrEff8CFGXxcFikEawJnz0tJm54KBSNPQF22AkdiNLqqyfF2M&#10;LrQ+OCERaXU3bfILY3gOoes6JeTOiXsjbZxYg9QQSRIOyiPf5mq7Tor4setQRqYbTkpjHikJxYc0&#10;FtsN1H0APyhxKQGeU8ITTQaUpaSPVDuIwO6D+ovKKBEcui7OhDPFJCQ7Qirm5RNvPg3gZdZCVqN/&#10;NB3/H634cNwHptqGV+WKMwuGrvzh67eH7z9YVS2TP6PHmmC3dh8uM/T7kMSeumDSn2SwE/XSer1c&#10;LYjlTGzz9WJdrSZ/5SkyQQAyXaS95XxRZuuLK4cPGN9JZ1gKGq6VTcqhhuN7jJSXoL8gaVlbNjZ8&#10;vaIUTAC1YUfXT6HxJAVtn8+i06q9U1qnExj6w60O7AipFfKXqiPeP2ApyQ5wmHB5axIxSGjf2pbF&#10;syeLLL0NnkowsuVMS3pKKSJCqCMofUXGoMD2+h9oSq8tVZFMnmxN0cG15+x2Xqerz3Ve2jT11u/z&#10;fPr6N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8xOeHXAAAABQEAAA8AAAAAAAAAAQAgAAAA&#10;OAAAAGRycy9kb3ducmV2LnhtbFBLAQIUABQAAAAIAIdO4kCDN5Rt9gEAAOIDAAAOAAAAAAAAAAEA&#10;IAAAADwBAABkcnMvZTJvRG9jLnhtbFBLBQYAAAAABgAGAFkBAACkBQAAAAA=&#10;">
                        <v:fill on="f" focussize="0,0"/>
                        <v:stroke color="#000000" joinstyle="round" endarrow="block"/>
                        <v:imagedata o:title=""/>
                        <o:lock v:ext="edit" aspectratio="f"/>
                      </v:line>
                      <v:line id="直线 224" o:spid="_x0000_s1026" o:spt="20" style="position:absolute;left:1991360;top:1696720;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btJtYPYBAADiAwAA&#10;DgAAAGRycy9lMm9Eb2MueG1srVNLbtswEN0X6B0I7mvJSuLWguUs4qabojXQ9gBjipII8AcOY9ln&#10;6TW66qbHyTU6pNy4SVAgi3ohDzmPb+Y9DlfXB6PZXgZUzjZ8Pis5k1a4Vtm+4d++3r55xxlGsC1o&#10;Z2XDjxL59fr1q9Xoa1m5welWBkYkFuvRN3yI0ddFgWKQBnDmvLSU7FwwEGkZ+qINMBK70UVVloti&#10;dKH1wQmJSLubKclPjOElhK7rlJAbJ+6MtHFiDVJDJEk4KI98nbvtOini565DGZluOCmN+UtFKN6l&#10;b7FeQd0H8IMSpxbgJS080WRAWSr6QLWBCOwuqGdURong0HVxJpwpJiHZEVIxL59482UAL7MWshr9&#10;g+n4/2jFp/02MNU2vCoXnFkwdOX333/c//zFquoy+TN6rAl2Y7fhtEK/DUnsoQsm/ZMMdqBZWi7n&#10;Fwty9kjxYrl4W538lYfIBAEoJShXXc4vypwqzhw+YPwgnWEpaLhWNimHGvYfMVJdgv6BpG1t2djw&#10;5VV1RZxAY9jR9VNoPElB2+ez6LRqb5XW6QSGfnejA9tDGoX8S+qI9xEsFdkADhMup6YhGSS0723L&#10;4tGTRZbeBk8tGNlypiU9pRQRIdQRlD4jY1Bge/0PNJXXlrpIJk+2pmjn2mN2O+/T1ec+T2OaZuvv&#10;dT59fpr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8xOeHXAAAABQEAAA8AAAAAAAAAAQAgAAAA&#10;OAAAAGRycy9kb3ducmV2LnhtbFBLAQIUABQAAAAIAIdO4kBu0m1g9gEAAOIDAAAOAAAAAAAAAAEA&#10;IAAAADwBAABkcnMvZTJvRG9jLnhtbFBLBQYAAAAABgAGAFkBAACkBQAAAAA=&#10;">
                        <v:fill on="f" focussize="0,0"/>
                        <v:stroke color="#000000" joinstyle="round" endarrow="block"/>
                        <v:imagedata o:title=""/>
                        <o:lock v:ext="edit" aspectratio="f"/>
                      </v:line>
                      <v:shape id="直接箭头连接符 29" o:spid="_x0000_s1026" o:spt="32" type="#_x0000_t32" style="position:absolute;left:2408555;top:2075180;flip:y;height:0;width:292100;" filled="f" stroked="t" coordsize="21600,21600" o:gfxdata="UEsFBgAAAAAAAAAAAAAAAAAAAAAAAFBLAwQKAAAAAACHTuJAAAAAAAAAAAAAAAAABAAAAGRycy9Q&#10;SwMEFAAAAAgAh07iQH4UIALTAAAABQEAAA8AAABkcnMvZG93bnJldi54bWxNj8FugzAQRO+V8g/W&#10;RsqtsWlUElFMDpV66DHABxi8wah4jWwnpP36OL20l5VGM5p5Wx5vdmJX9GF0JCHbCmBIvdMjDRLa&#10;5uP5ACxERVpNjlDCNwY4VqunUhXaLXTCax0HlkooFEqCiXEuOA+9QavC1s1IyTs7b1VM0g9ce7Wk&#10;cjvxFyFybtVIacGoGd8N9l/1xUrgnSH/c27afBGfc7vUet9YLeVmnYk3YBFv8S8MD/yEDlVi6tyF&#10;dGCThPRI/L3J27/mO2CdhMMuz4BXJf9PX90BUEsDBBQAAAAIAIdO4kDGy/Q0GQIAAAcEAAAOAAAA&#10;ZHJzL2Uyb0RvYy54bWytU82O0zAQviPxDpbvNGlEYRs13UPLckFQiZ/71HYSS/6T7W3al+AFkDgB&#10;J5bT3nkaWB6DsVN2YRHSHsghGtsz38z3+fPidK8V2QkfpDUNnU5KSoRhlkvTNfT1q7MHJ5SECIaD&#10;skY09CACPV3ev7cYXC0q21vFhScIYkI9uIb2Mbq6KALrhYYwsU4YPGyt1xBx6buCexgQXauiKstH&#10;xWA9d94yEQLursdDekT0dwG0bSuZWFt2roWJI6oXCiJSCr10gS7ztG0rWHzRtkFEohqKTGP+YxOM&#10;t+lfLBdQdx5cL9lxBLjLCLc4aZAGm15DrSECOffyLygtmbfBtnHCrC5GIlkRZDEtb2nzsgcnMheU&#10;Orhr0cP/g2XPdxtPJG9oVT6mxIDGK796d/n97cerLxffPlz++Po+xZ8/kWqe1BpcqLFoZTb+uApu&#10;4xP1fes1aZV0b9BWWQykR/aI/LA8mc1mlBxyl9n05Ki72EfCUsK8mpZ4IwwT8lExoiVU50N8Kqwm&#10;KWhoiB5k18eVNQYv1/qxE+yehYjzYOGvglSsDBkaOp9V2JwBmrVFk2CoHRIOpstTBqskP5NKpYrg&#10;u+1KebKDZJj8JdaI+0daarKG0I95HKPRSb0A/sRwEg8OdTT4gGiaQAtOiRL43lKEeFBHkOomM3oJ&#10;plP/yMbuyuAQSftR7RRtLT/kS8j76I885tHLyYC/r3P1zftd/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FCAC0wAAAAUBAAAPAAAAAAAAAAEAIAAAADgAAABkcnMvZG93bnJldi54bWxQSwECFAAU&#10;AAAACACHTuJAxsv0NBkCAAAHBAAADgAAAAAAAAABACAAAAA4AQAAZHJzL2Uyb0RvYy54bWxQSwUG&#10;AAAAAAYABgBZAQAAwwUAAAAA&#10;">
                        <v:fill on="f" focussize="0,0"/>
                        <v:stroke color="#000000" joinstyle="round" dashstyle="dash" endarrow="block"/>
                        <v:imagedata o:title=""/>
                        <o:lock v:ext="edit" aspectratio="f"/>
                      </v:shape>
                      <v:shape id="直接箭头连接符 29" o:spid="_x0000_s1026" o:spt="32" type="#_x0000_t32" style="position:absolute;left:2406650;top:2570480;flip:y;height:0;width:292100;" filled="f" stroked="t" coordsize="21600,21600" o:gfxdata="UEsFBgAAAAAAAAAAAAAAAAAAAAAAAFBLAwQKAAAAAACHTuJAAAAAAAAAAAAAAAAABAAAAGRycy9Q&#10;SwMEFAAAAAgAh07iQH4UIALTAAAABQEAAA8AAABkcnMvZG93bnJldi54bWxNj8FugzAQRO+V8g/W&#10;RsqtsWlUElFMDpV66DHABxi8wah4jWwnpP36OL20l5VGM5p5Wx5vdmJX9GF0JCHbCmBIvdMjDRLa&#10;5uP5ACxERVpNjlDCNwY4VqunUhXaLXTCax0HlkooFEqCiXEuOA+9QavC1s1IyTs7b1VM0g9ce7Wk&#10;cjvxFyFybtVIacGoGd8N9l/1xUrgnSH/c27afBGfc7vUet9YLeVmnYk3YBFv8S8MD/yEDlVi6tyF&#10;dGCThPRI/L3J27/mO2CdhMMuz4BXJf9PX90BUEsDBBQAAAAIAIdO4kCg1lBWGgIAAAcEAAAOAAAA&#10;ZHJzL2Uyb0RvYy54bWytU81uEzEQviPxDpbvZDerJjRRNj0klAuCSPzcJ7Z315L/ZLvZ5CV4ASRO&#10;wIly6p2ngfIYjL2hhSKkHtjDauyZ+Wa+b8aLs71WZCd8kNbUdDwqKRGGWS5NW9PXr84fnVISIhgO&#10;yhpR04MI9Gz58MGid3NR2c4qLjxBEBPmvatpF6ObF0VgndAQRtYJg87Geg0Rj74tuIce0bUqqrKc&#10;Fr313HnLRAh4ux6c9Ijo7wNom0YysbbsQgsTB1QvFESkFDrpAl3mbptGsPiiaYKIRNUUmcb8xyJo&#10;b9O/WC5g3npwnWTHFuA+LdzhpEEaLHoDtYYI5MLLv6C0ZN4G28QRs7oYiGRFkMW4vKPNyw6cyFxQ&#10;6uBuRA//D5Y93208kbymVYmDN6Bx5Nfvrr6//Xj95fLbh6sfX98n+/MnUs2SWr0Lc0xamY0/noLb&#10;+ER933hNGiXdG1yrLAbSI3tEPimn0wkqfkB78rg8OT3qLvaRsBQwq8Yl+hkGZFcxoCVU50N8Kqwm&#10;yahpiB5k28WVNQaHa/1QCXbPQsR+MPFXQkpWhvQ1nU2qCYIDLmuDS4Kmdkg4mDZ3GayS/FwqlTKC&#10;b7cr5ckO0sLkL7FG3D/CUpE1hG6I42gNm9QJ4E8MJ/HgUEeDD4imDrTglCiB7y1ZiAfzCFLdRkYv&#10;wbTqH9FYXRlsImk/qJ2sreWHPIR8j/uR2zzuclrA3885+/b9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fhQgAtMAAAAFAQAADwAAAAAAAAABACAAAAA4AAAAZHJzL2Rvd25yZXYueG1sUEsBAhQA&#10;FAAAAAgAh07iQKDWUFYaAgAABwQAAA4AAAAAAAAAAQAgAAAAOAEAAGRycy9lMm9Eb2MueG1sUEsF&#10;BgAAAAAGAAYAWQEAAMQFAAAAAA==&#10;">
                        <v:fill on="f" focussize="0,0"/>
                        <v:stroke color="#000000" joinstyle="round" dashstyle="dash" endarrow="block"/>
                        <v:imagedata o:title=""/>
                        <o:lock v:ext="edit" aspectratio="f"/>
                      </v:shape>
                      <v:shape id="直接箭头连接符 29" o:spid="_x0000_s1026" o:spt="32" type="#_x0000_t32" style="position:absolute;left:2418080;top:583565;flip:y;height:0;width:304800;" filled="f" stroked="t" coordsize="21600,21600" o:gfxdata="UEsFBgAAAAAAAAAAAAAAAAAAAAAAAFBLAwQKAAAAAACHTuJAAAAAAAAAAAAAAAAABAAAAGRycy9Q&#10;SwMEFAAAAAgAh07iQH4UIALTAAAABQEAAA8AAABkcnMvZG93bnJldi54bWxNj8FugzAQRO+V8g/W&#10;RsqtsWlUElFMDpV66DHABxi8wah4jWwnpP36OL20l5VGM5p5Wx5vdmJX9GF0JCHbCmBIvdMjDRLa&#10;5uP5ACxERVpNjlDCNwY4VqunUhXaLXTCax0HlkooFEqCiXEuOA+9QavC1s1IyTs7b1VM0g9ce7Wk&#10;cjvxFyFybtVIacGoGd8N9l/1xUrgnSH/c27afBGfc7vUet9YLeVmnYk3YBFv8S8MD/yEDlVi6tyF&#10;dGCThPRI/L3J27/mO2CdhMMuz4BXJf9PX90BUEsDBBQAAAAIAIdO4kBzbuT2HAIAAAYEAAAOAAAA&#10;ZHJzL2Uyb0RvYy54bWytU81uEzEQviPxDpbvZDdpUyWrbHpIKBcEkfi5T2zvriX/yXazyUvwAkic&#10;gBNw6p2ngfIYjL2hhSKkHtjDauzxfPN9n8eL871WZCd8kNbUdDwqKRGGWS5NW9NXLy8ezSgJEQwH&#10;ZY2o6UEEer58+GDRu0pMbGcVF54giAlV72raxeiqogisExrCyDphMNlYryHi0rcF99AjulbFpCzP&#10;it567rxlIgTcXQ9JekT09wG0TSOZWFt2qYWJA6oXCiJKCp10gS4z26YRLD5vmiAiUTVFpTH/sQnG&#10;2/QvlguoWg+uk+xIAe5D4Y4mDdJg0xuoNUQgl17+BaUl8zbYJo6Y1cUgJDuCKsblHW9edOBE1oJW&#10;B3djevh/sOzZbuOJ5DWdlHNKDGi88uu3V9/ffLj+8vnb+6sfX9+l+NNHMpknt3oXKixamY0/roLb&#10;+CR933hNGiXdaxyrbAbKI3tEPh3Pyhk6fqjpdHYyPZsOtot9JAzzJ+XprMQ0w3y+kWIAS6DOh/hE&#10;WE1SUNMQPci2iytrDN6t9UMj2D0NEelg4a+CVKwM6Ws6n06mCA44qw3OCIbaod5g2kwyWCX5hVQq&#10;VQTfblfKkx2keclf4oq4fxxLTdYQuuEcx2hQ1Angjw0n8eDQRoPvhyYGWnBKlMDnliLEgyqCVLcn&#10;o5dgWvWP09hdGSSRrB/MTtHW8kO+g7yP45FpHkc5zd/v61x9+3y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FCAC0wAAAAUBAAAPAAAAAAAAAAEAIAAAADgAAABkcnMvZG93bnJldi54bWxQSwEC&#10;FAAUAAAACACHTuJAc27k9hwCAAAGBAAADgAAAAAAAAABACAAAAA4AQAAZHJzL2Uyb0RvYy54bWxQ&#10;SwUGAAAAAAYABgBZAQAAxgUAAAAA&#10;">
                        <v:fill on="f" focussize="0,0"/>
                        <v:stroke color="#000000" joinstyle="round" dashstyle="dash" endarrow="block"/>
                        <v:imagedata o:title=""/>
                        <o:lock v:ext="edit" aspectratio="f"/>
                      </v:shape>
                      <v:shape id="文本框 30" o:spid="_x0000_s1026" o:spt="202" type="#_x0000_t202" style="position:absolute;left:2728595;top:346710;height:451485;width:1625600;"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YKMM0dcBAACKAwAA&#10;DgAAAGRycy9lMm9Eb2MueG1srVNLbtswEN0X6B0I7mvJsqU4gukAjZFsirZAmgPQFGUR4A8kbck9&#10;QHuDrrrpvufyOTqkHDtINll0Iw05w/fmPQ6XN4OSaM+dF0YTPJ3kGHHNTCP0luDHb3cfFhj5QHVD&#10;pdGc4AP3+Gb1/t2ytzUvTGdkwx0CEO3r3hLchWDrLPOs44r6ibFcQ7I1TtEAS7fNGkd7QFcyK/K8&#10;ynrjGusM497D7npM4hOiewugaVvB+NqwneI6jKiOSxpAku+E9XiVum1bzsKXtvU8IEkwKA3pCyQQ&#10;b+I3Wy1pvXXUdoKdWqBvaeGFJkWFBtIz1JoGinZOvIJSgjnjTRsmzKhsFJIcARXT/IU3Dx21PGkB&#10;q709m+7/Hyz7vP/qkGgILqbgiaYKrvz46+fx99/jnx9olhzqra+h8MFCaRg+mgHmJjoX9z1sRuFD&#10;61T8gyQE+eKqWJTXJUYHgmfz6grAk9V8CIjF81VRVjkwMiiYl9P5oowF2QXIOh/uuVEoBgQ7uMrk&#10;MN1/8mEsfSqJvNrcCSkTh9SoJ7ialXk6cM4AuNTAcWk7RmHYDHAshhvTHEAiPA4g7Iz7jhHVDAKC&#10;w1N4G8bp2Vknth3UJScSJlxRUnAapzgDz9eJ+fKEV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Ne9hcNcAAAAFAQAADwAAAAAAAAABACAAAAA4AAAAZHJzL2Rvd25yZXYueG1sUEsBAhQAFAAAAAgA&#10;h07iQGCjDNHXAQAAigMAAA4AAAAAAAAAAQAgAAAAPAEAAGRycy9lMm9Eb2MueG1sUEsFBgAAAAAG&#10;AAYAWQEAAIUFAAAAAA==&#10;">
                        <v:fill on="f" focussize="0,0"/>
                        <v:stroke on="f" weight="0.5pt"/>
                        <v:imagedata o:title=""/>
                        <o:lock v:ext="edit" aspectratio="f"/>
                        <v:textbox>
                          <w:txbxContent>
                            <w:p>
                              <w:pPr>
                                <w:jc w:val="left"/>
                                <w:rPr>
                                  <w:rFonts w:hint="eastAsia"/>
                                  <w:sz w:val="20"/>
                                  <w:szCs w:val="20"/>
                                  <w:lang w:val="en-US" w:eastAsia="zh-CN"/>
                                </w:rPr>
                              </w:pPr>
                              <w:r>
                                <w:rPr>
                                  <w:rFonts w:hint="eastAsia"/>
                                  <w:sz w:val="20"/>
                                  <w:szCs w:val="20"/>
                                  <w:lang w:val="en-US" w:eastAsia="zh-CN"/>
                                </w:rPr>
                                <w:t>G1切割粉尘、S1边角料</w:t>
                              </w:r>
                            </w:p>
                            <w:p>
                              <w:pPr>
                                <w:pStyle w:val="7"/>
                                <w:rPr>
                                  <w:rFonts w:hint="default"/>
                                  <w:lang w:val="en-US" w:eastAsia="zh-CN"/>
                                </w:rPr>
                              </w:pPr>
                              <w:r>
                                <w:rPr>
                                  <w:rFonts w:hint="eastAsia"/>
                                  <w:sz w:val="20"/>
                                  <w:szCs w:val="20"/>
                                  <w:lang w:val="en-US" w:eastAsia="zh-CN"/>
                                </w:rPr>
                                <w:t>N噪声</w:t>
                              </w:r>
                            </w:p>
                          </w:txbxContent>
                        </v:textbox>
                      </v:shape>
                      <v:shape id="文本框 2" o:spid="_x0000_s1026" o:spt="202" type="#_x0000_t202" style="position:absolute;left:1584960;top:974090;height:270510;width:807085;"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gcLTBWsCAADRBAAADgAA&#10;AGRycy9lMm9Eb2MueG1srVTNbhMxEL4j8Q6W73Q3IWl+1E0VWgUhVbRSQJwdrzdrYXuM7WS3PAB9&#10;A05cuPNcfQ7G3k1/OfRADs6MZ/LNzOdvcnLaakX2wnkJpqCDo5wSYTiU0mwL+vnT6s2UEh+YKZkC&#10;Iwp6LTw9Xbx+ddLYuRhCDaoUjiCI8fPGFrQOwc6zzPNaaOaPwAqDwQqcZgFdt81KxxpE1yob5vlx&#10;1oArrQMuvMfb8y5Ie0T3EkCoKsnFOfCdFiZ0qE4oFnAkX0vr6SJ1W1WCh8uq8iIQVVCcNKQTi6C9&#10;iWe2OGHzrWO2lrxvgb2khSczaSYNFr2DOmeBkZ2Tz6C05A48VOGIg866QRIjOMUgf8LNumZWpFmQ&#10;am/vSPf/D5Z/3F85IsuCDgcDSgzT+OS3P29uf/25/f2DDCNBjfVzzFtbzAztO2hRNod7j5dx7rZy&#10;On7jRCTGx9PR7BhJvi7obDLKZz3Tog2EY3yaT/LpmBKO8eEkHw9SPLvHsc6H9wI0iUZBHT5k4pft&#10;L3zAnjD1kBLLelCyXEmlkuO2mzPlyJ7ho6/SJ7aLP3mUpgxpCnr8dpwn5EexiH0HsVGMf32OgHjK&#10;xHoi6azvK5LVkRKt0G7ansENlNdIoINOg97ylcQqF8yHK+ZQdMgWrmW4xKNSgK1Bb1FSg/v+r/uY&#10;j1rAKCUNirig/tuOOUGJ+mBQJbPBaBRVn5zReDJExz2MbB5GzE6fAVKGOsDukhnzgzqYlQP9Bbd3&#10;GatiiBmOtQsaDuZZ6FYLt5+L5TIloc4tCxdmbXmEjoQZWO4CVDI9ZKSp4wafKDqo9PRY/VbGVXro&#10;p6z7f6L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Cb5iGbUAAAABQEAAA8AAAAAAAAAAQAgAAAA&#10;OAAAAGRycy9kb3ducmV2LnhtbFBLAQIUABQAAAAIAIdO4kCBwtMFawIAANEEAAAOAAAAAAAAAAEA&#10;IAAAADkBAABkcnMvZTJvRG9jLnhtbFBLBQYAAAAABgAGAFkBAAAWBg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冷加工</w:t>
                              </w:r>
                            </w:p>
                          </w:txbxContent>
                        </v:textbox>
                      </v:shape>
                      <v:shape id="文本框 2" o:spid="_x0000_s1026" o:spt="202" type="#_x0000_t202" style="position:absolute;left:1584960;top:1450340;height:270510;width:807085;"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Y9ELj2wCAADSBAAADgAA&#10;AGRycy9lMm9Eb2MueG1srVTNbtswDL4P2DsIuq923KRNgzpF1iLDgGIt0A07K7IcC5NETVJidw+w&#10;vcFOu+y+58pzjJKd/u7Qw3yQSZH+SH4kfXrWaUW2wnkJpqSjg5wSYThU0qxL+unj8s2UEh+YqZgC&#10;I0p6Kzw9m79+ddramSigAVUJRxDE+FlrS9qEYGdZ5nkjNPMHYIVBYw1Os4CqW2eVYy2ia5UVeX6U&#10;teAq64AL7/H2ojfSAdG9BBDqWnJxAXyjhQk9qhOKBSzJN9J6Ok/Z1rXg4aquvQhElRQrDenEICiv&#10;4pnNT9ls7ZhtJB9SYC9J4UlNmkmDQe+gLlhgZOPkMygtuQMPdTjgoLO+kMQIVjHKn3Bz0zArUi1I&#10;tbd3pPv/B8s/bK8dkVVJi1FBiWEaW777+WP368/u93dSRIJa62fod2PRM3RvocOx2d97vIx1d7XT&#10;8Y0VkWifTMcnR0jyLcrjSX44HqgWXSAcHab5cT6dUMLRoTjOJ6Nkz+6BrPPhnQBNolBSh51MBLPt&#10;pQ+YFLruXWJcD0pWS6lUUtx6da4c2TLs+jI9MV/85JGbMqQt6dHhJE/Ij2wR+w5ipRj/8hwB8ZSJ&#10;8UQatCGvyFbPSpRCt+oGCldQ3SKDDvoh9JYvJUa5ZD5cM4dTh3ThXoYrPGoFmBoMEiUNuG//uo/+&#10;OAxopaTFKS6p/7phTlCi3hsck5PRGJknISnjyXGBintoWT20mI0+B6RshH8Ay5MY/YPai7UD/RnX&#10;dxGjookZjrFLGvbieeh3C9efi8UiOeGgWxYuzY3lEToSZmCxCVDL1MhIU88NtigqOOqpWcNaxl16&#10;qCev+1/R/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m+Yhm1AAAAAUBAAAPAAAAAAAAAAEAIAAA&#10;ADgAAABkcnMvZG93bnJldi54bWxQSwECFAAUAAAACACHTuJAY9ELj2wCAADSBAAADgAAAAAAAAAB&#10;ACAAAAA5AQAAZHJzL2Uyb0RvYy54bWxQSwUGAAAAAAYABgBZAQAAFwY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装配成型</w:t>
                              </w:r>
                            </w:p>
                          </w:txbxContent>
                        </v:textbox>
                      </v:shape>
                      <v:shape id="文本框 2" o:spid="_x0000_s1026" o:spt="202" type="#_x0000_t202" style="position:absolute;left:1584960;top:1945640;height:270510;width:807085;"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rpy7O20CAADSBAAADgAA&#10;AGRycy9lMm9Eb2MueG1srVTNbtswDL4P2DsIuq920iRNgzhF1iLDgGIt0A07K7IcC5NETVJidw+w&#10;vcFOu+y+5+pzjJKd9G+HHuaDTIr0R/Ij6flZqxXZCeclmIIOjnJKhOFQSrMp6KePqzdTSnxgpmQK&#10;jCjorfD0bPH61byxMzGEGlQpHEEQ42eNLWgdgp1lmee10MwfgRUGjRU4zQKqbpOVjjWIrlU2zPNJ&#10;1oArrQMuvMfbi85Ie0T3EkCoKsnFBfCtFiZ0qE4oFrAkX0vr6SJlW1WCh6uq8iIQVVCsNKQTg6C8&#10;jme2mLPZxjFbS96nwF6SwpOaNJMGgx6gLlhgZOvkMygtuQMPVTjioLOukMQIVjHIn3BzUzMrUi1I&#10;tbcH0v3/g+UfdteOyLKgw8ExJYZpbPndzx93v/7c/f5OhpGgxvoZ+t1Y9AztW2hxbPb3Hi9j3W3l&#10;dHxjRSTax9PR6QRJvkX5dDSejHqqRRsIR4dpfpJPx5RwdBie5ONBsmf3QNb58E6AJlEoqMNOJoLZ&#10;7tIHTApd9y4xrgcly5VUKilusz5XjuwYdn2VnpgvfvLITRnSFHRyPM4T8iNbxD5ArBXjX54jIJ4y&#10;MZ5Ig9bnFdnqWIlSaNdtT+Eayltk0EE3hN7ylcQol8yHa+Zw6pAu3MtwhUelAFODXqKkBvftX/fR&#10;H4cBrZQ0OMUF9V+3zAlK1HuDY3I6GCHzJCRlND4ZouIeWtYPLWarzwEpG+AfwPIkRv+g9mLlQH/G&#10;9V3GqGhihmPsgoa9eB663cL152K5TE446JaFS3NjeYSOhBlYbgNUMjUy0tRxgy2KCo56ala/lnGX&#10;HurJ6/5Xt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JvmIZtQAAAAFAQAADwAAAAAAAAABACAA&#10;AAA4AAAAZHJzL2Rvd25yZXYueG1sUEsBAhQAFAAAAAgAh07iQK6cuzttAgAA0gQAAA4AAAAAAAAA&#10;AQAgAAAAOQEAAGRycy9lMm9Eb2MueG1sUEsFBgAAAAAGAAYAWQEAABgGA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焊接</w:t>
                              </w:r>
                            </w:p>
                          </w:txbxContent>
                        </v:textbox>
                      </v:shape>
                      <v:shape id="文本框 2" o:spid="_x0000_s1026" o:spt="202" type="#_x0000_t202" style="position:absolute;left:1584960;top:2450465;height:270510;width:807085;"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7/mTTG0CAADSBAAADgAA&#10;AGRycy9lMm9Eb2MueG1srVTNbtswDL4P2DsIuq92MjtNgzpF1iLDgGIt0A07K7IcC5NETVJidw+w&#10;vsFOu+y+5+pzjJKT/u7Qw3yQSZH+SH4kfXzSa0W2wnkJpqKjg5wSYTjU0qwr+vnT8s2UEh+YqZkC&#10;Iyp6LTw9mb9+ddzZmRhDC6oWjiCI8bPOVrQNwc6yzPNWaOYPwAqDxgacZgFVt85qxzpE1yob5/kk&#10;68DV1gEX3uPt2WCkO0T3EkBoGsnFGfCNFiYMqE4oFrAk30rr6Txl2zSCh4um8SIQVVGsNKQTg6C8&#10;imc2P2aztWO2lXyXAntJCk9q0kwaDHoHdcYCIxsnn0FpyR14aMIBB50NhSRGsIpR/oSbq5ZZkWpB&#10;qr29I93/P1j+cXvpiKwrOh4VlBimseW3P29uf/25/f2DjCNBnfUz9Luy6Bn6d9Dj2OzvPV7GuvvG&#10;6fjGiki0l9PiaIIkXyNwUebFpByoFn0gHB2m+WE+LSnh0eEwL0epFdk9kHU+vBegSRQq6rCTiWC2&#10;PfcBk0LXvUuM60HJeimVSopbr06VI1uGXV+mJ0bHTx65KUO6ik7elnlCfmSL2HcQK8X41+cIiKdM&#10;jCfSoO3yimwNrEQp9Kt+R+EK6mtk0MEwhN7ypcQo58yHS+Zw6pAu3MtwgUejAFODnURJC+77v+6j&#10;Pw4DWinpcIor6r9tmBOUqA8Gx+RoVBRx7JNSlIdjVNxDy+qhxWz0KSBlI/wDWJ7E6B/UXmwc6C+4&#10;vosYFU3McIxd0bAXT8OwW7j+XCwWyQkH3bJwbq4sj9CRMAOLTYBGpkZGmgZusEVRwVFPzdqtZdyl&#10;h3ryuv8V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JvmIZtQAAAAFAQAADwAAAAAAAAABACAA&#10;AAA4AAAAZHJzL2Rvd25yZXYueG1sUEsBAhQAFAAAAAgAh07iQO/5k0xtAgAA0gQAAA4AAAAAAAAA&#10;AQAgAAAAOQEAAGRycy9lMm9Eb2MueG1sUEsFBgAAAAAGAAYAWQEAABgGA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机加工</w:t>
                              </w:r>
                            </w:p>
                          </w:txbxContent>
                        </v:textbox>
                      </v:shape>
                      <v:shape id="文本框 2" o:spid="_x0000_s1026" o:spt="202" type="#_x0000_t202" style="position:absolute;left:1570990;top:2926715;height:270510;width:857250;"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gNrrc2oCAADSBAAADgAA&#10;AGRycy9lMm9Eb2MueG1srVTNbhMxEL4j8Q6W73ST0DRN1E0VWgUhVbRSQZwdrzdr4T9sJ7vlAeAN&#10;OHHhznP1OfjsTdrScuiBPXhnPLPfzHwzsyennVZkK3yQ1pR0eDCgRBhuK2nWJf34YfnqmJIQmamY&#10;skaU9EYEejp/+eKkdTMxso1VlfAEICbMWlfSJkY3K4rAG6FZOLBOGBhr6zWLUP26qDxrga5VMRoM&#10;jorW+sp5y0UIuD3vjXSH6J8DaOtacnFu+UYLE3tULxSLKCk00gU6z9nWteDxsq6DiESVFJXGfCII&#10;5FU6i/kJm609c43kuxTYc1J4VJNm0iDoHdQ5i4xsvHwCpSX3Ntg6HnCri76QzAiqGA4ecXPdMCdy&#10;LaA6uDvSw/+D5e+3V57IqqSj4ZgSwzRafvvj++3P37e/vpFRIqh1YQa/awfP2L2xHcZmfx9wmeru&#10;aq/TGxWRZB9PBtMpSL4B8HR0NAF4plp0kXA4HI8nozHsPDlMBuNhbkVxD+R8iG+F1SQJJfXoZCaY&#10;bS9CBBRc9y4pbrBKVkupVFb8enWmPNkydH2ZnxQdn/zlpgxpS3r0Gnk8gUjYdxArxfjnpwjAUyZ9&#10;KfKg7fJKbPWsJCl2q25H4cpWN2DQ234Ig+NLiSgXLMQr5jF1oAN7GS9x1MoiNbuTKGms//qv++SP&#10;YYCVkhZTXNLwZcO8oES9MxiT6fDwELAxK4fgHIp/aFk9tJiNPrOgbIg/gONZTP5R7cXaW/0J67tI&#10;UWFihiN2SeNePIv9bmH9uVgsshMG3bF4Ya4dT9CJMGMXm2hrmRuZaOq5QYuSglHPzdqtZdqlh3r2&#10;uv8Vz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JvmIZtQAAAAFAQAADwAAAAAAAAABACAAAAA4&#10;AAAAZHJzL2Rvd25yZXYueG1sUEsBAhQAFAAAAAgAh07iQIDa63NqAgAA0gQAAA4AAAAAAAAAAQAg&#10;AAAAOQEAAGRycy9lMm9Eb2MueG1sUEsFBgAAAAAGAAYAWQEAABUGAAAAAA==&#10;">
                        <v:fill on="t" focussize="0,0"/>
                        <v:stroke weight="0.5pt" color="#000000" joinstyle="round"/>
                        <v:imagedata o:title=""/>
                        <o:lock v:ext="edit" aspectratio="f"/>
                        <v:textbox>
                          <w:txbxContent>
                            <w:p>
                              <w:pPr>
                                <w:jc w:val="center"/>
                                <w:rPr>
                                  <w:rFonts w:hint="eastAsia" w:eastAsia="宋体"/>
                                  <w:sz w:val="20"/>
                                  <w:szCs w:val="20"/>
                                  <w:lang w:val="en-US" w:eastAsia="zh-CN"/>
                                </w:rPr>
                              </w:pPr>
                              <w:r>
                                <w:rPr>
                                  <w:rFonts w:hint="eastAsia"/>
                                  <w:sz w:val="20"/>
                                  <w:szCs w:val="20"/>
                                  <w:lang w:val="en-US" w:eastAsia="zh-CN"/>
                                </w:rPr>
                                <w:t>淬火（外协）</w:t>
                              </w:r>
                            </w:p>
                          </w:txbxContent>
                        </v:textbox>
                      </v:shape>
                      <v:shape id="文本框 30" o:spid="_x0000_s1026" o:spt="202" type="#_x0000_t202" style="position:absolute;left:2677795;top:1861185;height:452755;width:1590040;"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3p+WdOIBAACZAwAA&#10;DgAAAGRycy9lMm9Eb2MueG1srVNLbtswEN0X6B0I7mt9EsmOYDpAa6Sboi2Q9gA0RVkE+CtJW3IP&#10;0N6gq26677l8jg4pxw6STRbdSOR83sx7M1zejkqiPXdeGE1wMcsx4pqZVugtwV+/3L1ZYOQD1S2V&#10;RnOCD9zj29XrV8vBNrw0vZEtdwhAtG8GS3Afgm2yzLOeK+pnxnINzs44RQNc3TZrHR0AXcmszPM6&#10;G4xrrTOMew/W9eTEJ0T3EkDTdYLxtWE7xXWYUB2XNAAl3wvr8Sp123WchU9d53lAkmBgGtIXisB5&#10;E7/ZakmbraO2F+zUAn1JC084KSo0FD1DrWmgaOfEMyglmDPedGHGjMomIkkRYFHkT7S576nliQtI&#10;7e1ZdP//YNnH/WeHREtwWdQYaapg5MdfP4+//x7//EBXSaHB+gYC7y2EhvGtGWFvonLR7sEYiY+d&#10;U/EPlBD4y3o+n99UGB0gdlEXxaKatOZjQCwCVDd5fg1jYBBxXZXzKgVkFyTrfHjPjULxQLCDWSaJ&#10;6f6DD1AdQh9CYmFt7oSUaZ5So4Hg+qrKU8LZAxlSQ+Kl73gK42Y8kdmY9gAc4XVAwd647xgNsBsE&#10;+2876jhGVDMwExweju/CtEw768S2h6wkTKoAE0tNnrYrrsTje+rj8qJ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172Fw1wAAAAUBAAAPAAAAAAAAAAEAIAAAADgAAABkcnMvZG93bnJldi54bWxQ&#10;SwECFAAUAAAACACHTuJA3p+WdOIBAACZAwAADgAAAAAAAAABACAAAAA8AQAAZHJzL2Uyb0RvYy54&#10;bWxQSwUGAAAAAAYABgBZAQAAkAUAAAAA&#10;">
                        <v:fill on="f" focussize="0,0"/>
                        <v:stroke on="f" weight="0.5pt"/>
                        <v:imagedata o:title=""/>
                        <o:lock v:ext="edit" aspectratio="f"/>
                        <v:textbox>
                          <w:txbxContent>
                            <w:p>
                              <w:pPr>
                                <w:jc w:val="left"/>
                                <w:rPr>
                                  <w:rFonts w:hint="eastAsia"/>
                                  <w:sz w:val="20"/>
                                  <w:szCs w:val="20"/>
                                  <w:lang w:val="en-US" w:eastAsia="zh-CN"/>
                                </w:rPr>
                              </w:pPr>
                              <w:r>
                                <w:rPr>
                                  <w:rFonts w:hint="eastAsia"/>
                                  <w:sz w:val="20"/>
                                  <w:szCs w:val="20"/>
                                  <w:lang w:val="en-US" w:eastAsia="zh-CN"/>
                                </w:rPr>
                                <w:t>G2焊接烟尘、S2焊渣</w:t>
                              </w:r>
                            </w:p>
                            <w:p>
                              <w:pPr>
                                <w:pStyle w:val="7"/>
                                <w:rPr>
                                  <w:rFonts w:hint="default"/>
                                  <w:lang w:val="en-US" w:eastAsia="zh-CN"/>
                                </w:rPr>
                              </w:pPr>
                              <w:r>
                                <w:rPr>
                                  <w:rFonts w:hint="eastAsia"/>
                                  <w:lang w:val="en-US" w:eastAsia="zh-CN"/>
                                </w:rPr>
                                <w:t>N噪声</w:t>
                              </w:r>
                            </w:p>
                          </w:txbxContent>
                        </v:textbox>
                      </v:shape>
                      <v:shape id="文本框 2" o:spid="_x0000_s1026" o:spt="202" type="#_x0000_t202" style="position:absolute;left:1637030;top:3938270;height:241935;width:740410;"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0ltk9WsCAADSBAAADgAA&#10;AGRycy9lMm9Eb2MueG1srVTNbhMxEL4j8Q6W73R/kjZtlE0VWgUhVbRSQJwdrze7wvYY28lueQB4&#10;A05cuPNcfQ7G3k2bthx6IAdnxjP6ZubzNzs775QkO2FdA7qg2VFKidAcykZvCvrp4/LNKSXOM10y&#10;CVoU9FY4ej5//WrWmqnIoQZZCksQRLtpawpae2+mSeJ4LRRzR2CExmAFVjGPrt0kpWUtoiuZ5Gl6&#10;krRgS2OBC+fw9rIP0gHRvgQQqqrh4hL4Vgnte1QrJPM4kqsb4+g8dltVgvvrqnLCE1lQnNTHE4ug&#10;vQ5nMp+x6cYyUzd8aIG9pIUnMynWaCx6D3XJPCNb2zyDUg234KDyRxxU0g8SGcEpsvQJN6uaGRFn&#10;QaqduSfd/T9Y/mF3Y0lTFjTPJpRopvDJ737+uPv15+73d5IHglrjppi3Mpjpu7fQoWz29w4vw9xd&#10;ZVX4x4lIiJ+MJukISb4t6OhsdJpPBqpF5wnHhMk4HWcY55iQj7Oz0XFATB6AjHX+nQBFglFQiy8Z&#10;CWa7K+f71H1KqOtANuWykTI6drO+kJbsGL76Mv4G9EdpUpO2oCej4zQiP4oF7HuItWT8y3ME7Fbq&#10;UE9EoQ19BbZ6VoLlu3U3ULiG8hYZtNCL0Bm+bLDKFXP+hllUHdKBe+mv8agkYGswWJTUYL/96z7k&#10;oxgwSkmLKi6o+7plVlAi32uUyVk2HiOsj874eJKjYw8j68OI3qoLQMoy/AIYHs2Q7+XerCyoz7i+&#10;i1AVQ0xzrF1QvzcvfL9buP5cLBYxCYVumL/SK8MDdCBMw2LroWriQwaaem5QAMFBqUcpDGsZdunQ&#10;j1kPn6L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Cb5iGbUAAAABQEAAA8AAAAAAAAAAQAgAAAA&#10;OAAAAGRycy9kb3ducmV2LnhtbFBLAQIUABQAAAAIAIdO4kDSW2T1awIAANIEAAAOAAAAAAAAAAEA&#10;IAAAADkBAABkcnMvZTJvRG9jLnhtbFBLBQYAAAAABgAGAFkBAAAWBg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机电装配</w:t>
                              </w:r>
                            </w:p>
                          </w:txbxContent>
                        </v:textbox>
                      </v:shape>
                      <v:shape id="文本框 2" o:spid="_x0000_s1026" o:spt="202" type="#_x0000_t202" style="position:absolute;left:252095;top:1969135;height:254000;width:1044575;"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5YradtcBAACJAwAA&#10;DgAAAGRycy9lMm9Eb2MueG1srVPBbtswDL0P2D8Iui923DhrjDgFtqC7FNuAdh+gyHIsQBIFSYmd&#10;fUD3Bzvtsvu+K99RSk7Sobv0sItNiY+PfCS1vBm0InvhvART0+kkp0QYDo0025p+e7h9d02JD8w0&#10;TIERNT0IT29Wb98se1uJAjpQjXAESYyvelvTLgRbZZnnndDMT8AKg84WnGYBj26bNY71yK5VVuT5&#10;POvBNdYBF97j7Xp00hOjew0htK3kYg18p4UJI6sTigWU5DtpPV2lattW8PClbb0IRNUUlYb0xSRo&#10;b+I3Wy1ZtXXMdpKfSmCvKeGFJs2kwaQXqjULjOyc/IdKS+7AQxsmHHQ2CkkdQRXT/EVv7jtmRdKC&#10;rfb20nT//2j55/1XR2RT02KKgzdM48iPP38cf/05/n4kRWxQb32FuHuLyDB8gAHX5nzv8TLqHlqn&#10;4x8VEfQXZZEvSkoOCF3MF9Orcuy0GALhMT6fzcr3COCIKMpZnqdRZM9E1vnwSYAm0aipw0mmBrP9&#10;nQ9YFELPkJjXwK1UKk1TGdLXdH5V5ing4sEIZTAwyhnLjlYYNsNJ4waaA0rEt4EJO3DfKWGGo1HT&#10;cDY/hnF5dtbJbYe41InEiRNKZZ22Ka7A3+eU+fkFrZ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Ne9hcNcAAAAFAQAADwAAAAAAAAABACAAAAA4AAAAZHJzL2Rvd25yZXYueG1sUEsBAhQAFAAAAAgA&#10;h07iQOWK2nbXAQAAiQMAAA4AAAAAAAAAAQAgAAAAPAEAAGRycy9lMm9Eb2MueG1sUEsFBgAAAAAG&#10;AAYAWQEAAIUFAAAAAA==&#10;">
                        <v:fill on="f"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焊丝、氧气</w:t>
                              </w:r>
                            </w:p>
                          </w:txbxContent>
                        </v:textbox>
                      </v:shape>
                      <v:shape id="直接箭头连接符 29" o:spid="_x0000_s1026" o:spt="32" type="#_x0000_t32" style="position:absolute;left:2376805;top:3573780;flip:y;height:0;width:279400;" filled="f" stroked="t" coordsize="21600,21600" o:gfxdata="UEsFBgAAAAAAAAAAAAAAAAAAAAAAAFBLAwQKAAAAAACHTuJAAAAAAAAAAAAAAAAABAAAAGRycy9Q&#10;SwMEFAAAAAgAh07iQH4UIALTAAAABQEAAA8AAABkcnMvZG93bnJldi54bWxNj8FugzAQRO+V8g/W&#10;RsqtsWlUElFMDpV66DHABxi8wah4jWwnpP36OL20l5VGM5p5Wx5vdmJX9GF0JCHbCmBIvdMjDRLa&#10;5uP5ACxERVpNjlDCNwY4VqunUhXaLXTCax0HlkooFEqCiXEuOA+9QavC1s1IyTs7b1VM0g9ce7Wk&#10;cjvxFyFybtVIacGoGd8N9l/1xUrgnSH/c27afBGfc7vUet9YLeVmnYk3YBFv8S8MD/yEDlVi6tyF&#10;dGCThPRI/L3J27/mO2CdhMMuz4BXJf9PX90BUEsDBBQAAAAIAIdO4kBj0vweHAIAAAcEAAAOAAAA&#10;ZHJzL2Uyb0RvYy54bWytU0uOEzEQ3SNxB8t70p2ETJJWOrNIGDYIRuKzr9jubkv+yfbkcwkugMQK&#10;WA2sZs9pYDgGZXeYgUFIs6AXrbJd9are8/PidK8V2QofpDU1HQ5KSoRhlkvT1vT1q7NHM0pCBMNB&#10;WSNqehCBni4fPljsXCVGtrOKC08QxIRq52raxeiqogisExrCwDph8LCxXkPEpW8L7mGH6FoVo7I8&#10;KXbWc+ctEyHg7ro/pEdEfx9A2zSSibVlF1qY2KN6oSAipdBJF+gyT9s0gsUXTRNEJKqmyDTmPzbB&#10;eJP+xXIBVevBdZIdR4D7jHCHkwZpsOkN1BoikAsv/4LSknkbbBMHzOqiJ5IVQRbD8o42LztwInNB&#10;qYO7ET38P1j2fHvuieQ1HQ3nlBjQeOXX766+v/14/eXztw9XP76+T/HlJzKaJ7V2LlRYtDLn/rgK&#10;7twn6vvGa9Io6d6grbIYSI/sEXk8PZmVE0oONR1PpuPp7Ki72EfCUsJ0/rjEG2GYkI+KHi2hOh/i&#10;U2E1SUFNQ/Qg2y6urDF4udb3nWD7LEScBwt/FaRiZciupvPJCJszQLM2aBIMtUPCwbR5ymCV5GdS&#10;qVQRfLtZKU+2kAyTv8Qacf9IS03WELo+j2PUO6kTwJ8YTuLBoY4GHxBNE2jBKVEC31uKEA+qCFLd&#10;ZkYvwbTqH9nYXRkcImnfq52ijeWHfAl5H/2Rxzx6ORnw93Wuvn2/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FCAC0wAAAAUBAAAPAAAAAAAAAAEAIAAAADgAAABkcnMvZG93bnJldi54bWxQSwEC&#10;FAAUAAAACACHTuJAY9L8HhwCAAAHBAAADgAAAAAAAAABACAAAAA4AQAAZHJzL2Uyb0RvYy54bWxQ&#10;SwUGAAAAAAYABgBZAQAAxgUAAAAA&#10;">
                        <v:fill on="f" focussize="0,0"/>
                        <v:stroke color="#000000" joinstyle="round" dashstyle="dash" endarrow="block"/>
                        <v:imagedata o:title=""/>
                        <o:lock v:ext="edit" aspectratio="f"/>
                      </v:shape>
                      <v:shape id="文本框 2" o:spid="_x0000_s1026" o:spt="202" type="#_x0000_t202" style="position:absolute;left:1630680;top:4411345;height:241935;width:740410;"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QE9WlGwCAADSBAAADgAA&#10;AGRycy9lMm9Eb2MueG1srVTNbtswDL4P2DsIuq+2EzdtgzpF1iLDgGIt0A07K7IcC5NETVJidw+w&#10;vcFOu+y+58pzjJKT/u7Qw3JwKPHzR/Ij6dOzXiuyEc5LMBUtDnJKhOFQS7Oq6KePizfHlPjATM0U&#10;GFHRW+Hp2ez1q9POTsUIWlC1cARJjJ92tqJtCHaaZZ63QjN/AFYYdDbgNAt4dKusdqxDdq2yUZ5P&#10;sg5cbR1w4T3eXgxOumN0LyGEppFcXABfa2HCwOqEYgFL8q20ns5Stk0jeLhqGi8CURXFSkN6YhC0&#10;l/GZzU7ZdOWYbSXfpcBeksKTmjSTBoPeUV2wwMjayWdUWnIHHppwwEFnQyFJEayiyJ9oc9MyK1It&#10;KLW3d6L7/0fLP2yuHZF1RUcj1MQwjS3f/vyx/fVn+/s7GUWBOuuniLuxiAz9W+hxbPb3Hi9j3X3j&#10;dPzHikj0T8b55BgJbytalkUxLg8HqUUfCEfAUZmXBfo5AkZlcTJO/uyeyDof3gnQJBoVddjJJDDb&#10;XPqASSF0D4lxPShZL6RS6eBWy3PlyIZh1xfpF6PjK49gypCuopPxYZ6YH/ki9x3FUjH+5TkD8ikT&#10;44k0aLu8olqDKtEK/bLfSbiE+hYVdDAMobd8ITHKJfPhmjmcOpQD9zJc4aNRgKnBzqKkBfftX/cR&#10;j8OAXko6nOKK+q9r5gQl6r3BMTkpyhJpQzqUh0exx+6hZ/nQY9b6HFCyAr8Alicz4oPam40D/RnX&#10;dx6joosZjrErGvbmeRh2C9efi/k8gXDQLQuX5sbySB0FMzBfB2hkamSUadAGWxQPOOqpWbu1jLv0&#10;8JxQ95+i2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m+Yhm1AAAAAUBAAAPAAAAAAAAAAEAIAAA&#10;ADgAAABkcnMvZG93bnJldi54bWxQSwECFAAUAAAACACHTuJAQE9WlGwCAADSBAAADgAAAAAAAAAB&#10;ACAAAAA5AQAAZHJzL2Uyb0RvYy54bWxQSwUGAAAAAAYABgBZAQAAFwY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机电调试</w:t>
                              </w:r>
                            </w:p>
                          </w:txbxContent>
                        </v:textbox>
                      </v:shape>
                      <v:line id="直线 224" o:spid="_x0000_s1026" o:spt="20" style="position:absolute;left:1974215;top:4184650;flip:x;height:205105;width:3810;" filled="f" stroked="t" coordsize="21600,21600" o:gfxdata="UEsFBgAAAAAAAAAAAAAAAAAAAAAAAFBLAwQKAAAAAACHTuJAAAAAAAAAAAAAAAAABAAAAGRycy9Q&#10;SwMEFAAAAAgAh07iQBdZrLLXAAAABQEAAA8AAABkcnMvZG93bnJldi54bWxNj8FOwzAQRO9I/Qdr&#10;K3GjTloaSojTQwUSJwQtqtSbGy9JaLwO9rYpfD2GC1xWGs1o5m2xPNtOnNCH1pGCdJKAQKqcaalW&#10;8Lp5uFqACKzJ6M4RKvjEAMtydFHo3LiBXvC05lrEEgq5VtAw97mUoWrQ6jBxPVL03py3mqP0tTRe&#10;D7HcdnKaJJm0uqW40OgeVw1Wh/XRKrjdDHP37A/b67T92H3dv3P/+MRKXY7T5A4E45n/wvCDH9Gh&#10;jEx7dyQTRKcgPsK/N3o382wGYq9gMctSkGUh/9OX31BLAwQUAAAACACHTuJAWBxySAACAADvAwAA&#10;DgAAAGRycy9lMm9Eb2MueG1srVNLjhMxEN0jcQfLe9IfkiHTSmcWEwYWCCINHKDitrst+Sfbk07O&#10;wjVYseE4cw3K7mYGBiHNgl5YZdfzq3qvy5urk1bkyH2Q1rS0WpSUcMNsJ03f0i+fb16tKQkRTAfK&#10;Gt7SMw/0avvyxWZ0Da/tYFXHPUESE5rRtXSI0TVFEdjANYSFddxgUlivIeLW90XnYUR2rYq6LC+K&#10;0frOect4CHi6m5J0ZvTPIbRCSMZ3lt1pbuLE6rmCiJLCIF2g29ytEJzFT0IEHolqKSqNecUiGB/S&#10;Wmw30PQe3CDZ3AI8p4UnmjRIg0UfqHYQgdx5+ReVlszbYEVcMKuLSUh2BFVU5RNvbgdwPGtBq4N7&#10;MD38P1r28bj3RHYtreuaEgMaf/n912/333+Qul4mf0YXGoRdm72fd8HtfRJ7El4ToaR7j4OU5aMg&#10;csLN5ZtlXa0oObd0Wa2XF6vZaX6KhCHg9brCP8AwXZerqlylOsVEmIidD/Edt5qkoKVKmmQDNHD8&#10;EOIE/QVJx8qQsaWXqxorMsCZFDgLGGqHuoLp891glexupFLpRvD94Vp5coQ0F/mbW/gDlorsIAwT&#10;LqcSDJqBQ/fWdCSeHfpl8KHQ1ILmHSWK47tKUUZGkOoRGb0E06t/oNEBZdCI5PjkcYoOtjtn6/M5&#10;zkG2ap7ZNGi/7/Ptx3e6/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XWayy1wAAAAUBAAAPAAAA&#10;AAAAAAEAIAAAADgAAABkcnMvZG93bnJldi54bWxQSwECFAAUAAAACACHTuJAWBxySAACAADvAwAA&#10;DgAAAAAAAAABACAAAAA8AQAAZHJzL2Uyb0RvYy54bWxQSwUGAAAAAAYABgBZAQAArgUAAAAA&#10;">
                        <v:fill on="f" focussize="0,0"/>
                        <v:stroke color="#000000" joinstyle="round" endarrow="block"/>
                        <v:imagedata o:title=""/>
                        <o:lock v:ext="edit" aspectratio="f"/>
                      </v:line>
                      <v:line id="直线 224" o:spid="_x0000_s1026" o:spt="20" style="position:absolute;left:1978025;top:4656455;flip:x;height:205105;width:3810;" filled="f" stroked="t" coordsize="21600,21600" o:gfxdata="UEsFBgAAAAAAAAAAAAAAAAAAAAAAAFBLAwQKAAAAAACHTuJAAAAAAAAAAAAAAAAABAAAAGRycy9Q&#10;SwMEFAAAAAgAh07iQBdZrLLXAAAABQEAAA8AAABkcnMvZG93bnJldi54bWxNj8FOwzAQRO9I/Qdr&#10;K3GjTloaSojTQwUSJwQtqtSbGy9JaLwO9rYpfD2GC1xWGs1o5m2xPNtOnNCH1pGCdJKAQKqcaalW&#10;8Lp5uFqACKzJ6M4RKvjEAMtydFHo3LiBXvC05lrEEgq5VtAw97mUoWrQ6jBxPVL03py3mqP0tTRe&#10;D7HcdnKaJJm0uqW40OgeVw1Wh/XRKrjdDHP37A/b67T92H3dv3P/+MRKXY7T5A4E45n/wvCDH9Gh&#10;jEx7dyQTRKcgPsK/N3o382wGYq9gMctSkGUh/9OX31BLAwQUAAAACACHTuJAvJZwEwMCAADvAwAA&#10;DgAAAGRycy9lMm9Eb2MueG1srVNLbtswEN0X6B0I7mvJiuU6guUs4qZdFK2BtgcYU6REgD+QjGWf&#10;pdfoqpseJ9fokHKTJkGBLKoFMeQM37z3NFxfHbUiB+6DtKal81lJCTfMdtL0Lf329ebNipIQwXSg&#10;rOEtPfFArzavX61H1/DKDlZ13BMEMaEZXUuHGF1TFIENXEOYWccNJoX1GiJufV90HkZE16qoynJZ&#10;jNZ3zlvGQ8DT7ZSkZ0T/EkArhGR8a9mt5iZOqJ4riCgpDNIFuslsheAsfhYi8EhUS1FpzCs2wXif&#10;1mKzhqb34AbJzhTgJRSeaNIgDTa9h9pCBHLr5TMoLZm3wYo4Y1YXk5DsCKqYl0+8+TKA41kLWh3c&#10;venh/8GyT4edJ7JraVVdUGJA4y+/+/7j7ucvUlWL5M/oQoNl12bnz7vgdj6JPQqviVDSfcBByvJR&#10;EDni5vLtqqxqSk4tXSzr5aKuJ6f5MRKGBRerOf4BhumqrOdlzhYTYAJ2PsT33GqSgpYqaZIN0MDh&#10;Y4hIAkv/lKRjZcjY0ss6dWSAMylwFjDUDnUF0+e7wSrZ3Uil0o3g+/218uQAaS7ylwgi7qOy1GQL&#10;YZjqcmrSMXDo3pmOxJNDvww+FJooaN5Roji+qxQhIDQRpHqojF6C6dU/qrG9MsgiOT55nKK97U7Z&#10;+nyOc5B5nmc2Ddrf+3z74Z1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XWayy1wAAAAUBAAAP&#10;AAAAAAAAAAEAIAAAADgAAABkcnMvZG93bnJldi54bWxQSwECFAAUAAAACACHTuJAvJZwEwMCAADv&#10;AwAADgAAAAAAAAABACAAAAA8AQAAZHJzL2Uyb0RvYy54bWxQSwUGAAAAAAYABgBZAQAAsQUAAAAA&#10;">
                        <v:fill on="f" focussize="0,0"/>
                        <v:stroke color="#000000" joinstyle="round" endarrow="block"/>
                        <v:imagedata o:title=""/>
                        <o:lock v:ext="edit" aspectratio="f"/>
                      </v:line>
                      <v:line id="直线 224" o:spid="_x0000_s1026" o:spt="20" style="position:absolute;left:1309370;top:2085340;flip:y;height:6350;width:274955;" filled="f" stroked="t" coordsize="21600,21600" o:gfxdata="UEsFBgAAAAAAAAAAAAAAAAAAAAAAAFBLAwQKAAAAAACHTuJAAAAAAAAAAAAAAAAABAAAAGRycy9Q&#10;SwMEFAAAAAgAh07iQBdZrLLXAAAABQEAAA8AAABkcnMvZG93bnJldi54bWxNj8FOwzAQRO9I/Qdr&#10;K3GjTloaSojTQwUSJwQtqtSbGy9JaLwO9rYpfD2GC1xWGs1o5m2xPNtOnNCH1pGCdJKAQKqcaalW&#10;8Lp5uFqACKzJ6M4RKvjEAMtydFHo3LiBXvC05lrEEgq5VtAw97mUoWrQ6jBxPVL03py3mqP0tTRe&#10;D7HcdnKaJJm0uqW40OgeVw1Wh/XRKrjdDHP37A/b67T92H3dv3P/+MRKXY7T5A4E45n/wvCDH9Gh&#10;jEx7dyQTRKcgPsK/N3o382wGYq9gMctSkGUh/9OX31BLAwQUAAAACACHTuJAh9iNJgECAADvAwAA&#10;DgAAAGRycy9lMm9Eb2MueG1srVNLbtswEN0X6B0I7mspsh3HguUs4qabojWQtvsxRUoE+APJWPZZ&#10;eo2uuulxco0OKTVpUxTIoloQQ87jm3lPw831SSty5D5Iaxp6MSsp4YbZVpquoZ8/3b65oiREMC0o&#10;a3hDzzzQ6+3rV5vB1byyvVUt9wRJTKgH19A+RlcXRWA91xBm1nGDSWG9hohb3xWthwHZtSqqsrws&#10;Butb5y3jIeDpbkzSidG/hNAKIRnfWXavuYkjq+cKIkoKvXSBbnO3QnAWPwoReCSqoag05hWLYHxI&#10;a7HdQN15cL1kUwvwkhaeadIgDRZ9pNpBBHLv5V9UWjJvgxVxxqwuRiHZEVRxUT7z5q4Hx7MWtDq4&#10;R9PD/6NlH457T2Tb0KpaUWJA4y9/+Prt4fsPUlWL5M/gQo2wG7P30y64vU9iT8JrIpR0X3CQsnwU&#10;RE64mZfr+Qo9PiNvebWcLyan+SkShoBqtVgvl5QwBFzOlzlbjISJ2PkQ33GrSQoaqqRJNkANx/ch&#10;YhMI/QVJx8qQoaHrZZUYAWdS4CxgqB3qCqbLd4NVsr2VSqUbwXeHG+XJEdJc5C9JRd4/YKnIDkI/&#10;4nJqnJieQ/vWtCSeHfpl8KHQ1ILmLSWK47tKERJCHUGqJ2T0Ekyn/oHG8spgF8nx0eMUHWx7ztbn&#10;c5yD3Oc0s2nQft/n20/vdP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1msstcAAAAFAQAADwAA&#10;AAAAAAABACAAAAA4AAAAZHJzL2Rvd25yZXYueG1sUEsBAhQAFAAAAAgAh07iQIfYjSYBAgAA7wMA&#10;AA4AAAAAAAAAAQAgAAAAPAEAAGRycy9lMm9Eb2MueG1sUEsFBgAAAAAGAAYAWQEAAK8FAAAAAA==&#10;">
                        <v:fill on="f" focussize="0,0"/>
                        <v:stroke color="#000000" joinstyle="round" endarrow="block"/>
                        <v:imagedata o:title=""/>
                        <o:lock v:ext="edit" aspectratio="f"/>
                      </v:line>
                      <v:shape id="文本框 83" o:spid="_x0000_s1026" o:spt="202" type="#_x0000_t202" style="position:absolute;left:2686050;top:3447415;height:259715;width:1413510;"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Jnstb+EBAACZAwAA&#10;DgAAAGRycy9lMm9Eb2MueG1srVNLbtswEN0X6B0I7mv9bMcRTAdojHRTtAWSHICmKIsAfyFpS+4B&#10;2ht01U33PZfP0SFlJ2m6yaIbaTgzfDPvzXB5NSiJ9tx5YTTBxSTHiGtmGqG3BN/f3bxbYOQD1Q2V&#10;RnOCD9zjq9XbN8ve1rw0nZENdwhAtK97S3AXgq2zzLOOK+onxnINwdY4RQMc3TZrHO0BXcmszPN5&#10;1hvXWGcY9x686zGIT4juNYCmbQXja8N2iuswojouaQBKvhPW41Xqtm05C5/b1vOAJMHANKQvFAF7&#10;E7/ZaknrraO2E+zUAn1NCy84KSo0FH2EWtNA0c6Jf6CUYM5404YJMyobiSRFgEWRv9DmtqOWJy4g&#10;tbePovv/B8s+7b84JBqCy6rESFMFIz/++H78+fv46xtaVFGh3voaEm8tpIbhvRlgb85+D85IfGid&#10;in+ghCBezhfzfAYqHwiuptOLaTEbteZDQCwCTItqVkACg4xydnkxJmRPSNb58IEbhaJBsINZJonp&#10;/qMP0BWknlNiYW1uhJRpnlKjnuB5BfX/isANqeFi5DP2Ha0wbIYTyY1pDsARXgcU7Iz7ilEPu0Gw&#10;f9hRxzGimoGb4HA2r8O4TDvrxLaDW0mYVAEmlpo8bVdciefn1MfTi1r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DXvYXDXAAAABQEAAA8AAAAAAAAAAQAgAAAAOAAAAGRycy9kb3ducmV2LnhtbFBL&#10;AQIUABQAAAAIAIdO4kAmey1v4QEAAJkDAAAOAAAAAAAAAAEAIAAAADwBAABkcnMvZTJvRG9jLnht&#10;bFBLBQYAAAAABgAGAFkBAACPBQAAAAA=&#10;">
                        <v:fill on="f" focussize="0,0"/>
                        <v:stroke on="f" weight="0.5pt"/>
                        <v:imagedata o:title=""/>
                        <o:lock v:ext="edit" aspectratio="f"/>
                        <v:textbox>
                          <w:txbxContent>
                            <w:p>
                              <w:pPr>
                                <w:jc w:val="left"/>
                                <w:rPr>
                                  <w:rFonts w:hint="default" w:eastAsia="宋体"/>
                                  <w:sz w:val="20"/>
                                  <w:szCs w:val="20"/>
                                  <w:lang w:val="en-US" w:eastAsia="zh-CN"/>
                                </w:rPr>
                              </w:pPr>
                              <w:r>
                                <w:rPr>
                                  <w:rFonts w:hint="eastAsia"/>
                                  <w:sz w:val="20"/>
                                  <w:szCs w:val="20"/>
                                  <w:lang w:val="en-US" w:eastAsia="zh-CN"/>
                                </w:rPr>
                                <w:t>G5打磨粉尘</w:t>
                              </w:r>
                            </w:p>
                          </w:txbxContent>
                        </v:textbox>
                      </v:shape>
                      <v:line id="直线 224" o:spid="_x0000_s1026" o:spt="20" style="position:absolute;left:1292225;top:2580005;flip:y;height:6350;width:274955;" filled="f" stroked="t" coordsize="21600,21600" o:gfxdata="UEsFBgAAAAAAAAAAAAAAAAAAAAAAAFBLAwQKAAAAAACHTuJAAAAAAAAAAAAAAAAABAAAAGRycy9Q&#10;SwMEFAAAAAgAh07iQBdZrLLXAAAABQEAAA8AAABkcnMvZG93bnJldi54bWxNj8FOwzAQRO9I/Qdr&#10;K3GjTloaSojTQwUSJwQtqtSbGy9JaLwO9rYpfD2GC1xWGs1o5m2xPNtOnNCH1pGCdJKAQKqcaalW&#10;8Lp5uFqACKzJ6M4RKvjEAMtydFHo3LiBXvC05lrEEgq5VtAw97mUoWrQ6jBxPVL03py3mqP0tTRe&#10;D7HcdnKaJJm0uqW40OgeVw1Wh/XRKrjdDHP37A/b67T92H3dv3P/+MRKXY7T5A4E45n/wvCDH9Gh&#10;jEx7dyQTRKcgPsK/N3o382wGYq9gMctSkGUh/9OX31BLAwQUAAAACACHTuJAM+UY6QACAADvAwAA&#10;DgAAAGRycy9lMm9Eb2MueG1srVNLbtswEN0X6B0I7mspSpTGguUs4qabojXQz37Mj0SAP5CMZZ+l&#10;1+iqmx4n1+iQcpM2RYEsqgUx5Dy+mfc0XF0fjCZ7EaJytqdni5oSYZnjyg49/fzp9tUVJTGB5aCd&#10;FT09ikiv1y9frCbficaNTnMRCJLY2E2+p2NKvquqyEZhIC6cFxaT0gUDCbdhqHiACdmNrpq6vqwm&#10;F7gPjokY8XQzJ+mJMTyH0EmpmNg4dmeETTNrEBoSSoqj8pGuS7dSCpY+SBlFIrqnqDSVFYtgvMtr&#10;tV5BNwTwo2KnFuA5LTzRZEBZLPpAtYEE5C6ov6iMYsFFJ9OCOVPNQoojqOKsfuLNxxG8KFrQ6ugf&#10;TI//j5a9328DUbynzXlLiQWDv/z+67f77z9I01xkfyYfO4Td2G047aLfhiz2IIMhUiv/BQepyEdB&#10;5ICbZtk0DfIdkbe9quu6nZ0Wh0QYAprXF8sW8wwBl+dt+Q/VTJiJfYjprXCG5KCnWtlsA3SwfxcT&#10;NoHQX5B8rC2Zerpsc0UGOJMSZwFD41FXtEO5G51W/FZpnW/EMOxudCB7yHNRvtwg8v4By0U2EMcZ&#10;V1KzjlEAf2M5SUePfll8KDS3YASnRAt8VzlCQugSKP2ITEGBHfQ/0FheW+wiOz57nKOd48difTnH&#10;OSh9nmY2D9rv+3L78Z2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XWayy1wAAAAUBAAAPAAAA&#10;AAAAAAEAIAAAADgAAABkcnMvZG93bnJldi54bWxQSwECFAAUAAAACACHTuJAM+UY6QACAADvAwAA&#10;DgAAAAAAAAABACAAAAA8AQAAZHJzL2Uyb0RvYy54bWxQSwUGAAAAAAYABgBZAQAArgUAAAAA&#10;">
                        <v:fill on="f" focussize="0,0"/>
                        <v:stroke color="#000000" joinstyle="round" endarrow="block"/>
                        <v:imagedata o:title=""/>
                        <o:lock v:ext="edit" aspectratio="f"/>
                      </v:line>
                      <v:shape id="文本框 2" o:spid="_x0000_s1026" o:spt="202" type="#_x0000_t202" style="position:absolute;left:469265;top:2488565;height:254000;width:824230;" filled="f" stroked="f" coordsize="21600,21600" o:gfxdata="UEsFBgAAAAAAAAAAAAAAAAAAAAAAAFBLAwQKAAAAAACHTuJAAAAAAAAAAAAAAAAABAAAAGRycy9Q&#10;SwMEFAAAAAgAh07iQDXvYXDXAAAABQEAAA8AAABkcnMvZG93bnJldi54bWxNj09Lw0AQxe+C32EZ&#10;wZvdpKUxxGyKBIogemjtxdskO02Cu7Mxu/2jn97VS70MPN7jvd+Uq7M14kiTHxwrSGcJCOLW6YE7&#10;Bbu39V0OwgdkjcYxKfgiD6vq+qrEQrsTb+i4DZ2IJewLVNCHMBZS+rYni37mRuLo7d1kMUQ5dVJP&#10;eIrl1sh5kmTS4sBxoceR6p7aj+3BKniu16+4aeY2/zb108v+cfzcvS+Vur1JkwcQgc7hEoZf/IgO&#10;VWRq3IG1F0ZBfCT83ejdL7MFiEZBvshSkFUp/9NXP1BLAwQUAAAACACHTuJA6zfaxdUBAACIAwAA&#10;DgAAAGRycy9lMm9Eb2MueG1srVNLjhMxEN0jcQfLe9I9nQ+hFWckiIYNAqSBAzhud9qS7bJsJ93h&#10;AHADVmzYc66cY8ruJIOGzSzY2GVX+VW9V+XV7WA0OUgfFFhGbyYlJdIKaJTdMfr1y92rJSUhcttw&#10;DVYyepSB3q5fvlj1rpYVdKAb6QmC2FD3jtEuRlcXRRCdNDxMwEmLzha84RGPflc0nveIbnRRleWi&#10;6ME3zoOQIeDtZnTSM6J/DiC0rRJyA2JvpI0jqpeaR6QUOuUCXedq21aK+Kltg4xEM4pMY14xCdrb&#10;tBbrFa93nrtOiXMJ/DklPOFkuLKY9Aq14ZGTvVf/QBklPARo40SAKUYiWRFkcVM+0ea+405mLih1&#10;cFfRw/+DFR8Pnz1RDaPV9DUllhts+ennj9OvP6ff30mVBOpdqDHu3mFkHN7CgGNzuQ94mXgPrTdp&#10;R0YE/bPFm2oxp+SIuLPlco52VloOkQj0L6tZNcUeiBQwn5Vl7kTxiON8iO8lGJIMRj02MuvLDx9C&#10;RCgMvYSktBbulNY5hbakZ3QxnZf5wdWDL7TFh4nNWHWy4rAdzhS30ByRIX4NTNiB/0YJtwINRuPF&#10;fBfH2dk7r3YdxmUhMiY2KJd1HqY0AX+fc+bHD7R+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DXv&#10;YXDXAAAABQEAAA8AAAAAAAAAAQAgAAAAOAAAAGRycy9kb3ducmV2LnhtbFBLAQIUABQAAAAIAIdO&#10;4kDrN9rF1QEAAIgDAAAOAAAAAAAAAAEAIAAAADwBAABkcnMvZTJvRG9jLnhtbFBLBQYAAAAABgAG&#10;AFkBAACDBQAAAAA=&#10;">
                        <v:fill on="f" focussize="0,0"/>
                        <v:stroke on="f" weight="0.5pt"/>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切削液</w:t>
                              </w:r>
                            </w:p>
                          </w:txbxContent>
                        </v:textbox>
                      </v:shape>
                      <v:shape id="文本框 2" o:spid="_x0000_s1026" o:spt="202" type="#_x0000_t202" style="position:absolute;left:1609090;top:3423285;height:270510;width:807085;" fillcolor="#FFFFFF" filled="t" stroked="t" coordsize="21600,21600" o:gfxdata="UEsFBgAAAAAAAAAAAAAAAAAAAAAAAFBLAwQKAAAAAACHTuJAAAAAAAAAAAAAAAAABAAAAGRycy9Q&#10;SwMEFAAAAAgAh07iQCb5iGbUAAAABQEAAA8AAABkcnMvZG93bnJldi54bWxNj8FqwzAQRO+F/IPY&#10;Qm+N7Jg6wbEcSKFQemvqS26KtbFNpZWRlDj9+257aS8Lwwwzb+vdzVlxxRBHTwryZQYCqfNmpF5B&#10;+/HyuAERkyajrSdU8IURds3irtaV8TO94/WQesElFCutYEhpqqSM3YBOx6WfkNg7++B0Yhl6aYKe&#10;udxZucqyUjo9Ei8MesLnAbvPw8UpeC336YiteTPFqvBzK7twtlGph/s824JIeEt/YfjBZ3RomOnk&#10;L2SisAr4kfR72Vs/lQWIk4JNUeYgm1r+p2++AVBLAwQUAAAACACHTuJAaszBym0CAADRBAAADgAA&#10;AGRycy9lMm9Eb2MueG1srVTNbtswDL4P2DsIuq92nKQ/QZwia5FhQLEW6IadFVmOhUmiJimxuwfY&#10;3mCnXXbfc/U5RslJmrY79DAbUEiR+Uh+JD0977QiG+G8BFPSwVFOiTAcKmlWJf30cfHmlBIfmKmY&#10;AiNKeic8PZ+9fjVt7UQU0ICqhCMIYvyktSVtQrCTLPO8EZr5I7DCoLEGp1lA1a2yyrEW0bXKijw/&#10;zlpwlXXAhfd4e9kb6RbRvQQQ6lpycQl8rYUJPaoTigUsyTfSejpL2da14OG6rr0IRJUUKw3pxCAo&#10;L+OZzaZssnLMNpJvU2AvSeFJTZpJg0H3UJcsMLJ28hmUltyBhzoccdBZX0hiBKsY5E+4uW2YFakW&#10;pNrbPen+/8HyD5sbR2RV0mJEiWEaO37/88f9rz/3v7+TIvLTWj9Bt1uLjqF7Cx1Oze7e42Usu6ud&#10;jr9YEIn24/wMX0ruSjocFcPidNwzLbpAODqc5ic53hGODsVJPh6kTmQPQNb58E6AJlEoqcNGJn7Z&#10;5soHTApddy4xrgclq4VUKilutbxQjmwYNn2Rnhgd//LITRnSlvR4OM4T8iNbxN5DLBXjX54jIJ4y&#10;MZ5Ic7bNK7LVsxKl0C27LYVLqO6QQQf9DHrLFxKjXDEfbpjDoUO6cC3DNR61AkwNthIlDbhv/7qP&#10;/jgLaKWkxSEuqf+6Zk5Qot4bnJKzwWgUpz4po/FJgYo7tCwPLWatLwApG+AHwPIkRv+gdmLtQH/G&#10;7Z3HqGhihmPskoadeBH61cLt52I+T04455aFK3NreYSOhBmYrwPUMjUy0tRzgy2KCk56atZ2K+Mq&#10;HerJ6+FLN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JvmIZtQAAAAFAQAADwAAAAAAAAABACAA&#10;AAA4AAAAZHJzL2Rvd25yZXYueG1sUEsBAhQAFAAAAAgAh07iQGrMwcptAgAA0QQAAA4AAAAAAAAA&#10;AQAgAAAAOQEAAGRycy9lMm9Eb2MueG1sUEsFBgAAAAAGAAYAWQEAABgGAAAAAA==&#10;">
                        <v:fill on="t" focussize="0,0"/>
                        <v:stroke weight="0.5pt" color="#000000" joinstyle="round"/>
                        <v:imagedata o:title=""/>
                        <o:lock v:ext="edit" aspectratio="f"/>
                        <v:textbox>
                          <w:txbxContent>
                            <w:p>
                              <w:pPr>
                                <w:jc w:val="center"/>
                                <w:rPr>
                                  <w:rFonts w:hint="default" w:eastAsia="宋体"/>
                                  <w:sz w:val="20"/>
                                  <w:szCs w:val="20"/>
                                  <w:lang w:val="en-US" w:eastAsia="zh-CN"/>
                                </w:rPr>
                              </w:pPr>
                              <w:r>
                                <w:rPr>
                                  <w:rFonts w:hint="eastAsia"/>
                                  <w:sz w:val="20"/>
                                  <w:szCs w:val="20"/>
                                  <w:lang w:val="en-US" w:eastAsia="zh-CN"/>
                                </w:rPr>
                                <w:t>打磨</w:t>
                              </w:r>
                            </w:p>
                          </w:txbxContent>
                        </v:textbox>
                      </v:shape>
                      <v:line id="直线 224" o:spid="_x0000_s1026" o:spt="20" style="position:absolute;left:2001520;top:3707130;height:241300;width:0;" filled="f" stroked="t" coordsize="21600,21600" o:gfxdata="UEsFBgAAAAAAAAAAAAAAAAAAAAAAAFBLAwQKAAAAAACHTuJAAAAAAAAAAAAAAAAABAAAAGRycy9Q&#10;SwMEFAAAAAgAh07iQN8xOeHXAAAABQEAAA8AAABkcnMvZG93bnJldi54bWxNj8FOwzAQRO9I/IO1&#10;SNyoEypClGbTA1K5tIDaIkRvbrwkEfE6sp02/D2GC1xWGs1o5m25nEwvTuR8ZxkhnSUgiGurO24Q&#10;XvermxyED4q16i0Twhd5WFaXF6UqtD3zlk670IhYwr5QCG0IQyGlr1syys/sQBy9D+uMClG6Rmqn&#10;zrHc9PI2STJpVMdxoVUDPbRUf+5Gg7DdrNb523qcand4TJ/3L5und58jXl+lyQJEoCn8heEHP6JD&#10;FZmOdmTtRY8QHwm/N3r3d9kcxBEhn2cpyKqU/+mrb1BLAwQUAAAACACHTuJANV1fRfQBAADhAwAA&#10;DgAAAGRycy9lMm9Eb2MueG1srVPNjtMwEL4j8Q6W7zRpdstC1HQPW5YLgkoLDzB1nMSS/+TxNu2z&#10;8BqcuPA4+xqMnbCFRUh7oId07Pn8zXyfx+vro9HsIAMqZxu+XJScSStcq2zf8C+fb1+94Qwj2Ba0&#10;s7LhJ4n8evPyxXr0tazc4HQrAyMSi/XoGz7E6OuiQDFIA7hwXlpKdi4YiLQMfdEGGInd6KIqy9fF&#10;6ELrgxMSkXa3U5LPjOE5hK7rlJBbJ+6NtHFiDVJDJEk4KI98k7vtOinip65DGZluOCmN+UtFKN6n&#10;b7FZQ90H8IMScwvwnBaeaDKgLBV9pNpCBHYf1F9URong0HVxIZwpJiHZEVKxLJ94czeAl1kLWY3+&#10;0XT8f7Ti42EXmGobXq04s2Doxh++fnv4/oNV1WWyZ/RYE+rG7sK8Qr8LSeuxCyb9kwp2JIKyXK4q&#10;MvbU8Iur8mp5Mdsrj5EJAlBKUK66pExOFWcOHzC+l86wFDRcK5uEQw2HDxipLkF/QdK2tmxs+NtV&#10;aloATWFHt0+h8aQEbZ/PotOqvVVapxMY+v2NDuwAaRLyL6kj3j9gqcgWcJhwOTXNyCChfWdbFk+e&#10;LLL0NHhqwciWMy3pJaWICKGOoPQZGYMC2+t/oKm8ttRFMnmyNUV7156y23mfbj73OU9pGq3f1/n0&#10;+WV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fMTnh1wAAAAUBAAAPAAAAAAAAAAEAIAAAADgA&#10;AABkcnMvZG93bnJldi54bWxQSwECFAAUAAAACACHTuJANV1fRfQBAADhAwAADgAAAAAAAAABACAA&#10;AAA8AQAAZHJzL2Uyb0RvYy54bWxQSwUGAAAAAAYABgBZAQAAogUAAAAA&#10;">
                        <v:fill on="f" focussize="0,0"/>
                        <v:stroke color="#000000" joinstyle="round" endarrow="block"/>
                        <v:imagedata o:title=""/>
                        <o:lock v:ext="edit" aspectratio="f"/>
                      </v:line>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图2-</w:t>
            </w:r>
            <w:r>
              <w:rPr>
                <w:rFonts w:hint="eastAsia"/>
                <w:b/>
                <w:bCs/>
                <w:color w:val="auto"/>
                <w:sz w:val="24"/>
                <w:szCs w:val="24"/>
                <w:lang w:val="en-US" w:eastAsia="zh-CN"/>
              </w:rPr>
              <w:t>6</w:t>
            </w:r>
            <w:r>
              <w:rPr>
                <w:rFonts w:hint="eastAsia" w:ascii="Times New Roman" w:hAnsi="Times New Roman" w:eastAsia="宋体"/>
                <w:b/>
                <w:bCs/>
                <w:color w:val="auto"/>
                <w:sz w:val="24"/>
                <w:szCs w:val="24"/>
                <w:lang w:val="en-US" w:eastAsia="zh-CN"/>
              </w:rPr>
              <w:t xml:space="preserve"> 现有项目工艺流程及产物节点</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①</w:t>
            </w:r>
            <w:r>
              <w:rPr>
                <w:rFonts w:hint="eastAsia" w:ascii="Times New Roman" w:hAnsi="Times New Roman" w:eastAsia="宋体"/>
                <w:color w:val="auto"/>
                <w:sz w:val="24"/>
              </w:rPr>
              <w:t>切割钢板：将外购的钢材下料，通过等离子火焰切割机加工成工艺所需的尺寸。切割过程中将产生一定量的切割粉尘。</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产污环节：此工序产生G1切割粉尘、S</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rPr>
              <w:t>边角料。</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②</w:t>
            </w:r>
            <w:r>
              <w:rPr>
                <w:rFonts w:hint="eastAsia" w:ascii="Times New Roman" w:hAnsi="Times New Roman" w:eastAsia="宋体"/>
                <w:color w:val="auto"/>
                <w:sz w:val="24"/>
              </w:rPr>
              <w:t>冷加工：将切割后的原料，根据来料尺寸大小、需加工的形状、加工部位的大小，进行折弯成型。项目机加工工序只进行折弯工序。</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产污环节：此工序产生N噪声。</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③</w:t>
            </w:r>
            <w:r>
              <w:rPr>
                <w:rFonts w:hint="eastAsia" w:ascii="Times New Roman" w:hAnsi="Times New Roman" w:eastAsia="宋体"/>
                <w:color w:val="auto"/>
                <w:sz w:val="24"/>
              </w:rPr>
              <w:t>装配成型：将折弯成型的配件根据图纸进行产品装配。</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产污环节：此工序不产生污染物。</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④</w:t>
            </w:r>
            <w:r>
              <w:rPr>
                <w:rFonts w:hint="eastAsia" w:ascii="Times New Roman" w:hAnsi="Times New Roman" w:eastAsia="宋体"/>
                <w:color w:val="auto"/>
                <w:sz w:val="24"/>
              </w:rPr>
              <w:t>焊接：焊接前必须熟悉图纸和工艺文件，待确认无误后再对装配成型后的工件利用焊机进行焊接。</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产污环节：此工序产生G2焊接粉尘、S</w:t>
            </w:r>
            <w:r>
              <w:rPr>
                <w:rFonts w:hint="eastAsia" w:ascii="Times New Roman" w:hAnsi="Times New Roman" w:eastAsia="宋体"/>
                <w:color w:val="auto"/>
                <w:sz w:val="24"/>
                <w:lang w:val="en-US" w:eastAsia="zh-CN"/>
              </w:rPr>
              <w:t>2</w:t>
            </w:r>
            <w:r>
              <w:rPr>
                <w:rFonts w:hint="eastAsia" w:ascii="Times New Roman" w:hAnsi="Times New Roman" w:eastAsia="宋体"/>
                <w:color w:val="auto"/>
                <w:sz w:val="24"/>
              </w:rPr>
              <w:t>焊渣、N噪</w:t>
            </w:r>
            <w:r>
              <w:rPr>
                <w:rFonts w:hint="eastAsia"/>
                <w:color w:val="auto"/>
                <w:sz w:val="24"/>
                <w:lang w:val="en-US" w:eastAsia="zh-CN"/>
              </w:rPr>
              <w:t>声</w:t>
            </w:r>
            <w:r>
              <w:rPr>
                <w:rFonts w:hint="eastAsia" w:ascii="Times New Roman" w:hAnsi="Times New Roman" w:eastAsia="宋体"/>
                <w:color w:val="auto"/>
                <w:sz w:val="24"/>
              </w:rPr>
              <w:t>。</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⑤</w:t>
            </w:r>
            <w:r>
              <w:rPr>
                <w:rFonts w:hint="eastAsia" w:ascii="Times New Roman" w:hAnsi="Times New Roman" w:eastAsia="宋体"/>
                <w:color w:val="auto"/>
                <w:sz w:val="24"/>
              </w:rPr>
              <w:t>机械加工：利用卧式镗铣床对焊接的配件进行精加工。</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产污环节：此工序产生S</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rPr>
              <w:t>边角料及N噪声。</w:t>
            </w:r>
          </w:p>
          <w:p>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eastAsia="宋体"/>
                <w:color w:val="auto"/>
                <w:sz w:val="24"/>
                <w:lang w:val="en-US" w:eastAsia="zh-CN"/>
              </w:rPr>
              <w:t>⑥</w:t>
            </w:r>
            <w:r>
              <w:rPr>
                <w:rFonts w:hint="eastAsia" w:ascii="Times New Roman" w:hAnsi="Times New Roman" w:eastAsia="宋体"/>
                <w:color w:val="auto"/>
                <w:sz w:val="24"/>
              </w:rPr>
              <w:t>表面淬火处理：因本项目设备和加工工艺等原因，本项目表面淬火无法在公司内处理，因此本项目特此委托外单位进行处理。</w:t>
            </w:r>
          </w:p>
          <w:p>
            <w:pPr>
              <w:spacing w:line="360" w:lineRule="auto"/>
              <w:ind w:firstLine="480" w:firstLineChars="200"/>
              <w:rPr>
                <w:rFonts w:hint="default" w:ascii="Times New Roman" w:hAnsi="Times New Roman" w:eastAsia="宋体"/>
                <w:color w:val="auto"/>
                <w:sz w:val="24"/>
                <w:lang w:val="en-US" w:eastAsia="zh-CN"/>
              </w:rPr>
            </w:pPr>
            <w:r>
              <w:rPr>
                <w:rFonts w:hint="eastAsia"/>
                <w:color w:val="auto"/>
                <w:sz w:val="24"/>
                <w:lang w:val="en-US" w:eastAsia="zh-CN"/>
              </w:rPr>
              <w:t>⑦工件完成淬火后，再根据客户要求，对相应机械零配件打磨</w:t>
            </w:r>
          </w:p>
          <w:p>
            <w:pPr>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rPr>
              <w:t>产污环节：此工序产生G3打磨粉尘、N噪</w:t>
            </w:r>
            <w:r>
              <w:rPr>
                <w:rFonts w:hint="eastAsia"/>
                <w:color w:val="auto"/>
                <w:sz w:val="24"/>
                <w:lang w:val="en-US" w:eastAsia="zh-CN"/>
              </w:rPr>
              <w:t>声</w:t>
            </w:r>
            <w:r>
              <w:rPr>
                <w:rFonts w:hint="eastAsia" w:ascii="Times New Roman" w:hAnsi="Times New Roman" w:eastAsia="宋体"/>
                <w:color w:val="auto"/>
                <w:sz w:val="24"/>
              </w:rPr>
              <w:t>。</w:t>
            </w:r>
          </w:p>
          <w:p>
            <w:pPr>
              <w:spacing w:line="360" w:lineRule="auto"/>
              <w:ind w:firstLine="480" w:firstLineChars="200"/>
              <w:rPr>
                <w:rFonts w:hint="eastAsia" w:ascii="Times New Roman" w:hAnsi="Times New Roman" w:eastAsia="宋体"/>
                <w:color w:val="auto"/>
                <w:sz w:val="24"/>
              </w:rPr>
            </w:pPr>
            <w:r>
              <w:rPr>
                <w:rFonts w:hint="eastAsia"/>
                <w:color w:val="auto"/>
                <w:sz w:val="24"/>
                <w:lang w:val="en-US" w:eastAsia="zh-CN"/>
              </w:rPr>
              <w:t>⑧</w:t>
            </w:r>
            <w:r>
              <w:rPr>
                <w:rFonts w:hint="eastAsia" w:ascii="Times New Roman" w:hAnsi="Times New Roman" w:eastAsia="宋体"/>
                <w:color w:val="auto"/>
                <w:sz w:val="24"/>
              </w:rPr>
              <w:t>机电装配：工件</w:t>
            </w:r>
            <w:r>
              <w:rPr>
                <w:rFonts w:hint="eastAsia" w:ascii="Times New Roman" w:hAnsi="Times New Roman" w:eastAsia="宋体"/>
                <w:color w:val="auto"/>
                <w:sz w:val="24"/>
                <w:lang w:val="en-US" w:eastAsia="zh-CN"/>
              </w:rPr>
              <w:t>完成</w:t>
            </w:r>
            <w:r>
              <w:rPr>
                <w:rFonts w:hint="eastAsia"/>
                <w:color w:val="auto"/>
                <w:sz w:val="24"/>
                <w:lang w:val="en-US" w:eastAsia="zh-CN"/>
              </w:rPr>
              <w:t>打磨</w:t>
            </w:r>
            <w:r>
              <w:rPr>
                <w:rFonts w:hint="eastAsia" w:ascii="Times New Roman" w:hAnsi="Times New Roman" w:eastAsia="宋体"/>
                <w:color w:val="auto"/>
                <w:sz w:val="24"/>
                <w:lang w:val="en-US" w:eastAsia="zh-CN"/>
              </w:rPr>
              <w:t>后</w:t>
            </w:r>
            <w:r>
              <w:rPr>
                <w:rFonts w:hint="eastAsia" w:ascii="Times New Roman" w:hAnsi="Times New Roman" w:eastAsia="宋体"/>
                <w:color w:val="auto"/>
                <w:sz w:val="24"/>
              </w:rPr>
              <w:t>，然后根据图纸进行组装。</w:t>
            </w:r>
          </w:p>
          <w:p>
            <w:pPr>
              <w:spacing w:line="360" w:lineRule="auto"/>
              <w:ind w:firstLine="480" w:firstLineChars="200"/>
              <w:rPr>
                <w:rFonts w:hint="eastAsia" w:ascii="Times New Roman" w:hAnsi="Times New Roman" w:eastAsia="宋体"/>
                <w:color w:val="auto"/>
                <w:sz w:val="24"/>
              </w:rPr>
            </w:pPr>
            <w:r>
              <w:rPr>
                <w:rFonts w:hint="eastAsia"/>
                <w:color w:val="auto"/>
                <w:sz w:val="24"/>
                <w:lang w:val="en-US" w:eastAsia="zh-CN"/>
              </w:rPr>
              <w:t>⑨</w:t>
            </w:r>
            <w:r>
              <w:rPr>
                <w:rFonts w:hint="eastAsia" w:ascii="Times New Roman" w:hAnsi="Times New Roman" w:eastAsia="宋体"/>
                <w:color w:val="auto"/>
                <w:sz w:val="24"/>
              </w:rPr>
              <w:t>机电检验：对生产好的产品进行检验，检测产品外观、尺寸进行检测，不合格产品再返工进行加工。</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产污环节：此工序不产生污染物。</w:t>
            </w:r>
          </w:p>
          <w:p>
            <w:pPr>
              <w:adjustRightInd w:val="0"/>
              <w:snapToGrid w:val="0"/>
              <w:spacing w:line="360" w:lineRule="auto"/>
              <w:ind w:firstLine="480" w:firstLineChars="200"/>
              <w:jc w:val="both"/>
              <w:rPr>
                <w:rFonts w:hint="eastAsia" w:ascii="Times New Roman" w:hAnsi="Times New Roman" w:eastAsia="宋体"/>
                <w:b/>
                <w:color w:val="auto"/>
                <w:sz w:val="24"/>
              </w:rPr>
            </w:pPr>
            <w:r>
              <w:rPr>
                <w:rFonts w:hint="eastAsia"/>
                <w:color w:val="auto"/>
                <w:sz w:val="24"/>
                <w:lang w:val="en-US" w:eastAsia="zh-CN"/>
              </w:rPr>
              <w:t>⑩</w:t>
            </w:r>
            <w:r>
              <w:rPr>
                <w:rFonts w:hint="eastAsia" w:ascii="Times New Roman" w:hAnsi="Times New Roman" w:eastAsia="宋体"/>
                <w:color w:val="auto"/>
                <w:sz w:val="24"/>
              </w:rPr>
              <w:t>检验入库：检测好的成品检测没问题，将合格品包装存入库房。</w:t>
            </w:r>
          </w:p>
          <w:p>
            <w:pPr>
              <w:spacing w:line="360" w:lineRule="auto"/>
              <w:ind w:firstLine="480" w:firstLineChars="200"/>
              <w:rPr>
                <w:rFonts w:ascii="Times New Roman" w:hAnsi="Times New Roman" w:eastAsia="宋体"/>
                <w:color w:val="auto"/>
                <w:kern w:val="0"/>
                <w:szCs w:val="21"/>
              </w:rPr>
            </w:pPr>
            <w:r>
              <w:rPr>
                <w:rFonts w:hint="eastAsia" w:ascii="Times New Roman" w:hAnsi="Times New Roman" w:eastAsia="宋体"/>
                <w:color w:val="auto"/>
                <w:kern w:val="0"/>
                <w:sz w:val="24"/>
                <w:szCs w:val="24"/>
              </w:rPr>
              <w:t>现有项目主要污染工序见下表：</w:t>
            </w:r>
          </w:p>
          <w:p>
            <w:pPr>
              <w:ind w:firstLine="465"/>
              <w:jc w:val="center"/>
              <w:rPr>
                <w:rFonts w:hint="eastAsia" w:ascii="Times New Roman" w:hAnsi="Times New Roman" w:eastAsia="宋体"/>
                <w:b/>
                <w:bCs/>
                <w:color w:val="auto"/>
              </w:rPr>
            </w:pPr>
            <w:r>
              <w:rPr>
                <w:rFonts w:ascii="Times New Roman" w:hAnsi="Times New Roman" w:eastAsia="宋体"/>
                <w:b/>
                <w:bCs/>
                <w:color w:val="auto"/>
              </w:rPr>
              <w:t>表</w:t>
            </w:r>
            <w:r>
              <w:rPr>
                <w:rFonts w:hint="eastAsia" w:ascii="Times New Roman" w:hAnsi="Times New Roman" w:eastAsia="宋体"/>
                <w:b/>
                <w:bCs/>
                <w:color w:val="auto"/>
              </w:rPr>
              <w:t>2</w:t>
            </w:r>
            <w:r>
              <w:rPr>
                <w:rFonts w:ascii="Times New Roman" w:hAnsi="Times New Roman" w:eastAsia="宋体"/>
                <w:b/>
                <w:bCs/>
                <w:color w:val="auto"/>
              </w:rPr>
              <w:t>-</w:t>
            </w:r>
            <w:r>
              <w:rPr>
                <w:rFonts w:hint="eastAsia" w:ascii="Times New Roman" w:hAnsi="Times New Roman" w:eastAsia="宋体"/>
                <w:b/>
                <w:bCs/>
                <w:color w:val="auto"/>
                <w:lang w:val="en-US" w:eastAsia="zh-CN"/>
              </w:rPr>
              <w:t>1</w:t>
            </w:r>
            <w:r>
              <w:rPr>
                <w:rFonts w:hint="eastAsia"/>
                <w:b/>
                <w:bCs/>
                <w:color w:val="auto"/>
                <w:lang w:val="en-US" w:eastAsia="zh-CN"/>
              </w:rPr>
              <w:t>4</w:t>
            </w:r>
            <w:r>
              <w:rPr>
                <w:rFonts w:hint="eastAsia" w:ascii="Times New Roman" w:hAnsi="Times New Roman" w:eastAsia="宋体"/>
                <w:b/>
                <w:bCs/>
                <w:color w:val="auto"/>
              </w:rPr>
              <w:t>现有项目主要污染工序</w:t>
            </w:r>
          </w:p>
          <w:tbl>
            <w:tblPr>
              <w:tblStyle w:val="21"/>
              <w:tblW w:w="498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
            <w:tblGrid>
              <w:gridCol w:w="1056"/>
              <w:gridCol w:w="585"/>
              <w:gridCol w:w="1662"/>
              <w:gridCol w:w="2039"/>
              <w:gridCol w:w="1516"/>
              <w:gridCol w:w="14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tcBorders>
                    <w:tl2br w:val="nil"/>
                    <w:tr2bl w:val="nil"/>
                  </w:tcBorders>
                  <w:vAlign w:val="center"/>
                </w:tcPr>
                <w:p>
                  <w:pPr>
                    <w:pStyle w:val="9"/>
                    <w:spacing w:line="240" w:lineRule="auto"/>
                    <w:ind w:firstLine="0" w:firstLineChars="0"/>
                    <w:jc w:val="center"/>
                    <w:rPr>
                      <w:rFonts w:ascii="Times New Roman" w:hAnsi="Times New Roman" w:eastAsia="宋体"/>
                      <w:b/>
                      <w:bCs/>
                    </w:rPr>
                  </w:pPr>
                  <w:r>
                    <w:rPr>
                      <w:rFonts w:hint="eastAsia" w:ascii="Times New Roman" w:hAnsi="Times New Roman" w:eastAsia="宋体"/>
                      <w:b/>
                      <w:bCs/>
                    </w:rPr>
                    <w:t>污染类别</w:t>
                  </w:r>
                </w:p>
              </w:tc>
              <w:tc>
                <w:tcPr>
                  <w:tcW w:w="354" w:type="pct"/>
                  <w:tcBorders>
                    <w:tl2br w:val="nil"/>
                    <w:tr2bl w:val="nil"/>
                  </w:tcBorders>
                  <w:vAlign w:val="center"/>
                </w:tcPr>
                <w:p>
                  <w:pPr>
                    <w:pStyle w:val="9"/>
                    <w:spacing w:line="240" w:lineRule="auto"/>
                    <w:ind w:firstLine="0" w:firstLineChars="0"/>
                    <w:jc w:val="center"/>
                    <w:rPr>
                      <w:rFonts w:ascii="Times New Roman" w:hAnsi="Times New Roman" w:eastAsia="宋体"/>
                      <w:b/>
                      <w:bCs/>
                    </w:rPr>
                  </w:pPr>
                  <w:r>
                    <w:rPr>
                      <w:rFonts w:hint="eastAsia" w:ascii="Times New Roman" w:hAnsi="Times New Roman" w:eastAsia="宋体"/>
                      <w:b/>
                      <w:bCs/>
                    </w:rPr>
                    <w:t>编号</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b/>
                      <w:bCs/>
                    </w:rPr>
                  </w:pPr>
                  <w:r>
                    <w:rPr>
                      <w:rFonts w:hint="eastAsia" w:ascii="Times New Roman" w:hAnsi="Times New Roman" w:eastAsia="宋体"/>
                      <w:b/>
                      <w:bCs/>
                    </w:rPr>
                    <w:t>名称</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b/>
                      <w:bCs/>
                    </w:rPr>
                  </w:pPr>
                  <w:r>
                    <w:rPr>
                      <w:rFonts w:hint="eastAsia" w:ascii="Times New Roman" w:hAnsi="Times New Roman" w:eastAsia="宋体"/>
                      <w:b/>
                      <w:bCs/>
                    </w:rPr>
                    <w:t>产污环节</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b/>
                      <w:bCs/>
                    </w:rPr>
                  </w:pPr>
                  <w:r>
                    <w:rPr>
                      <w:rFonts w:hint="eastAsia" w:ascii="Times New Roman" w:hAnsi="Times New Roman" w:eastAsia="宋体"/>
                      <w:b/>
                      <w:bCs/>
                    </w:rPr>
                    <w:t>主要污染物</w:t>
                  </w:r>
                </w:p>
              </w:tc>
              <w:tc>
                <w:tcPr>
                  <w:tcW w:w="849" w:type="pct"/>
                  <w:tcBorders>
                    <w:tl2br w:val="nil"/>
                    <w:tr2bl w:val="nil"/>
                  </w:tcBorders>
                  <w:vAlign w:val="center"/>
                </w:tcPr>
                <w:p>
                  <w:pPr>
                    <w:pStyle w:val="9"/>
                    <w:spacing w:line="240" w:lineRule="auto"/>
                    <w:ind w:firstLine="0" w:firstLineChars="0"/>
                    <w:jc w:val="center"/>
                    <w:rPr>
                      <w:rFonts w:ascii="Times New Roman" w:hAnsi="Times New Roman" w:eastAsia="宋体"/>
                      <w:b/>
                      <w:bCs/>
                    </w:rPr>
                  </w:pPr>
                  <w:r>
                    <w:rPr>
                      <w:rFonts w:hint="eastAsia" w:ascii="Times New Roman" w:hAnsi="Times New Roman" w:eastAsia="宋体"/>
                      <w:b/>
                      <w:bCs/>
                    </w:rPr>
                    <w:t>排放特征/特性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restart"/>
                  <w:tcBorders>
                    <w:tl2br w:val="nil"/>
                    <w:tr2bl w:val="nil"/>
                  </w:tcBorders>
                  <w:vAlign w:val="center"/>
                </w:tcPr>
                <w:p>
                  <w:pPr>
                    <w:pStyle w:val="9"/>
                    <w:ind w:firstLine="0" w:firstLineChars="0"/>
                    <w:jc w:val="center"/>
                    <w:rPr>
                      <w:rFonts w:ascii="Times New Roman" w:hAnsi="Times New Roman" w:eastAsia="宋体"/>
                    </w:rPr>
                  </w:pPr>
                  <w:r>
                    <w:rPr>
                      <w:rFonts w:hint="eastAsia" w:ascii="Times New Roman" w:hAnsi="Times New Roman" w:eastAsia="宋体"/>
                    </w:rPr>
                    <w:t>废气</w:t>
                  </w: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G1</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切割粉尘</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切割</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颗粒物</w:t>
                  </w:r>
                </w:p>
              </w:tc>
              <w:tc>
                <w:tcPr>
                  <w:tcW w:w="849"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continue"/>
                  <w:tcBorders>
                    <w:tl2br w:val="nil"/>
                    <w:tr2bl w:val="nil"/>
                  </w:tcBorders>
                  <w:vAlign w:val="center"/>
                </w:tcPr>
                <w:p>
                  <w:pPr>
                    <w:pStyle w:val="9"/>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G2</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焊接粉尘</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焊接</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颗粒物</w:t>
                  </w:r>
                </w:p>
              </w:tc>
              <w:tc>
                <w:tcPr>
                  <w:tcW w:w="849"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continue"/>
                  <w:tcBorders>
                    <w:tl2br w:val="nil"/>
                    <w:tr2bl w:val="nil"/>
                  </w:tcBorders>
                  <w:vAlign w:val="center"/>
                </w:tcPr>
                <w:p>
                  <w:pPr>
                    <w:pStyle w:val="9"/>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hint="eastAsia" w:ascii="Times New Roman" w:hAnsi="Times New Roman" w:eastAsia="宋体"/>
                    </w:rPr>
                    <w:t>G3</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打磨粉尘</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打磨</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颗粒物</w:t>
                  </w:r>
                </w:p>
              </w:tc>
              <w:tc>
                <w:tcPr>
                  <w:tcW w:w="849"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废水</w:t>
                  </w: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W1</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职工生活用水</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职工生活用水</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ascii="Times New Roman" w:hAnsi="Times New Roman" w:eastAsia="宋体"/>
                    </w:rPr>
                    <w:t>COD</w:t>
                  </w:r>
                  <w:r>
                    <w:rPr>
                      <w:rFonts w:hint="eastAsia" w:ascii="Times New Roman" w:hAnsi="Times New Roman" w:eastAsia="宋体"/>
                    </w:rPr>
                    <w:t>、氨氮等</w:t>
                  </w:r>
                </w:p>
              </w:tc>
              <w:tc>
                <w:tcPr>
                  <w:tcW w:w="849"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间歇排放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restart"/>
                  <w:tcBorders>
                    <w:tl2br w:val="nil"/>
                    <w:tr2bl w:val="nil"/>
                  </w:tcBorders>
                  <w:vAlign w:val="center"/>
                </w:tcPr>
                <w:p>
                  <w:pPr>
                    <w:pStyle w:val="9"/>
                    <w:ind w:firstLine="0" w:firstLineChars="0"/>
                    <w:jc w:val="center"/>
                    <w:rPr>
                      <w:rFonts w:ascii="Times New Roman" w:hAnsi="Times New Roman" w:eastAsia="宋体"/>
                    </w:rPr>
                  </w:pPr>
                  <w:r>
                    <w:rPr>
                      <w:rFonts w:hint="eastAsia" w:ascii="Times New Roman" w:hAnsi="Times New Roman" w:eastAsia="宋体"/>
                    </w:rPr>
                    <w:t>固废</w:t>
                  </w: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S1</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边角料</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切割、机械加工</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边角料</w:t>
                  </w:r>
                </w:p>
              </w:tc>
              <w:tc>
                <w:tcPr>
                  <w:tcW w:w="849" w:type="pct"/>
                  <w:tcBorders>
                    <w:tl2br w:val="nil"/>
                    <w:tr2bl w:val="nil"/>
                  </w:tcBorders>
                  <w:vAlign w:val="center"/>
                </w:tcPr>
                <w:p>
                  <w:pPr>
                    <w:pStyle w:val="9"/>
                    <w:ind w:firstLine="0" w:firstLineChars="0"/>
                    <w:jc w:val="center"/>
                    <w:rPr>
                      <w:rFonts w:hint="default" w:ascii="Times New Roman" w:hAnsi="Times New Roman" w:eastAsia="宋体"/>
                      <w:lang w:val="en-US" w:eastAsia="zh-CN"/>
                    </w:rPr>
                  </w:pPr>
                  <w:r>
                    <w:rPr>
                      <w:rFonts w:hint="eastAsia" w:ascii="Times New Roman" w:hAnsi="Times New Roman" w:eastAsia="宋体"/>
                      <w:lang w:val="en-US" w:eastAsia="zh-CN"/>
                    </w:rPr>
                    <w:t>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90" w:hRule="atLeast"/>
                <w:jc w:val="center"/>
              </w:trPr>
              <w:tc>
                <w:tcPr>
                  <w:tcW w:w="639" w:type="pct"/>
                  <w:vMerge w:val="continue"/>
                  <w:tcBorders>
                    <w:tl2br w:val="nil"/>
                    <w:tr2bl w:val="nil"/>
                  </w:tcBorders>
                  <w:vAlign w:val="center"/>
                </w:tcPr>
                <w:p>
                  <w:pPr>
                    <w:pStyle w:val="9"/>
                    <w:spacing w:line="240" w:lineRule="auto"/>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S2</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焊渣</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焊接</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焊渣</w:t>
                  </w:r>
                </w:p>
              </w:tc>
              <w:tc>
                <w:tcPr>
                  <w:tcW w:w="849" w:type="pct"/>
                  <w:tcBorders>
                    <w:tl2br w:val="nil"/>
                    <w:tr2bl w:val="nil"/>
                  </w:tcBorders>
                  <w:vAlign w:val="center"/>
                </w:tcPr>
                <w:p>
                  <w:pPr>
                    <w:pStyle w:val="9"/>
                    <w:spacing w:line="240" w:lineRule="auto"/>
                    <w:ind w:firstLine="0" w:firstLineChars="0"/>
                    <w:jc w:val="center"/>
                    <w:rPr>
                      <w:rFonts w:hint="default" w:ascii="Times New Roman" w:hAnsi="Times New Roman" w:eastAsia="宋体"/>
                      <w:lang w:val="en-US" w:eastAsia="zh-CN"/>
                    </w:rPr>
                  </w:pPr>
                  <w:r>
                    <w:rPr>
                      <w:rFonts w:hint="eastAsia" w:ascii="Times New Roman" w:hAnsi="Times New Roman" w:eastAsia="宋体"/>
                      <w:lang w:val="en-US" w:eastAsia="zh-CN"/>
                    </w:rPr>
                    <w:t>环卫清运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continue"/>
                  <w:tcBorders>
                    <w:tl2br w:val="nil"/>
                    <w:tr2bl w:val="nil"/>
                  </w:tcBorders>
                  <w:vAlign w:val="center"/>
                </w:tcPr>
                <w:p>
                  <w:pPr>
                    <w:pStyle w:val="9"/>
                    <w:spacing w:line="240" w:lineRule="auto"/>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S</w:t>
                  </w:r>
                  <w:r>
                    <w:rPr>
                      <w:rFonts w:hint="eastAsia" w:ascii="Times New Roman" w:hAnsi="Times New Roman" w:eastAsia="宋体"/>
                    </w:rPr>
                    <w:t>3</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除尘灰</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废气收集装置</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除尘灰</w:t>
                  </w:r>
                </w:p>
              </w:tc>
              <w:tc>
                <w:tcPr>
                  <w:tcW w:w="849" w:type="pct"/>
                  <w:tcBorders>
                    <w:tl2br w:val="nil"/>
                    <w:tr2bl w:val="nil"/>
                  </w:tcBorders>
                  <w:vAlign w:val="center"/>
                </w:tcPr>
                <w:p>
                  <w:pPr>
                    <w:spacing w:line="240" w:lineRule="auto"/>
                    <w:ind w:firstLine="0" w:firstLineChars="0"/>
                    <w:jc w:val="center"/>
                    <w:rPr>
                      <w:rFonts w:ascii="Times New Roman" w:hAnsi="Times New Roman" w:eastAsia="宋体"/>
                    </w:rPr>
                  </w:pPr>
                  <w:r>
                    <w:rPr>
                      <w:rFonts w:hint="eastAsia" w:ascii="Times New Roman" w:hAnsi="Times New Roman" w:eastAsia="宋体"/>
                      <w:lang w:val="en-US" w:eastAsia="zh-CN"/>
                    </w:rPr>
                    <w:t>环卫清运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continue"/>
                  <w:tcBorders>
                    <w:tl2br w:val="nil"/>
                    <w:tr2bl w:val="nil"/>
                  </w:tcBorders>
                  <w:vAlign w:val="center"/>
                </w:tcPr>
                <w:p>
                  <w:pPr>
                    <w:pStyle w:val="9"/>
                    <w:spacing w:line="240" w:lineRule="auto"/>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S</w:t>
                  </w:r>
                  <w:r>
                    <w:rPr>
                      <w:rFonts w:hint="eastAsia" w:ascii="Times New Roman" w:hAnsi="Times New Roman" w:eastAsia="宋体"/>
                    </w:rPr>
                    <w:t>4</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职工生活</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职工生活</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生活垃圾</w:t>
                  </w:r>
                </w:p>
              </w:tc>
              <w:tc>
                <w:tcPr>
                  <w:tcW w:w="849" w:type="pct"/>
                  <w:tcBorders>
                    <w:tl2br w:val="nil"/>
                    <w:tr2bl w:val="nil"/>
                  </w:tcBorders>
                  <w:vAlign w:val="center"/>
                </w:tcPr>
                <w:p>
                  <w:pPr>
                    <w:spacing w:line="240" w:lineRule="auto"/>
                    <w:ind w:firstLine="0" w:firstLineChars="0"/>
                    <w:jc w:val="center"/>
                    <w:rPr>
                      <w:rFonts w:ascii="Times New Roman" w:hAnsi="Times New Roman" w:eastAsia="宋体"/>
                    </w:rPr>
                  </w:pPr>
                  <w:r>
                    <w:rPr>
                      <w:rFonts w:hint="eastAsia" w:ascii="Times New Roman" w:hAnsi="Times New Roman" w:eastAsia="宋体"/>
                      <w:lang w:val="en-US" w:eastAsia="zh-CN"/>
                    </w:rPr>
                    <w:t>环卫清运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continue"/>
                  <w:tcBorders>
                    <w:tl2br w:val="nil"/>
                    <w:tr2bl w:val="nil"/>
                  </w:tcBorders>
                  <w:vAlign w:val="center"/>
                </w:tcPr>
                <w:p>
                  <w:pPr>
                    <w:pStyle w:val="9"/>
                    <w:spacing w:line="240" w:lineRule="auto"/>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ascii="Times New Roman" w:hAnsi="Times New Roman" w:eastAsia="宋体"/>
                    </w:rPr>
                    <w:t>S</w:t>
                  </w:r>
                  <w:r>
                    <w:rPr>
                      <w:rFonts w:hint="eastAsia" w:ascii="Times New Roman" w:hAnsi="Times New Roman" w:eastAsia="宋体"/>
                    </w:rPr>
                    <w:t>5</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废切削液</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机器润滑</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切削液</w:t>
                  </w:r>
                </w:p>
              </w:tc>
              <w:tc>
                <w:tcPr>
                  <w:tcW w:w="849" w:type="pct"/>
                  <w:tcBorders>
                    <w:tl2br w:val="nil"/>
                    <w:tr2bl w:val="nil"/>
                  </w:tcBorders>
                  <w:vAlign w:val="center"/>
                </w:tcPr>
                <w:p>
                  <w:pPr>
                    <w:pStyle w:val="9"/>
                    <w:spacing w:line="240" w:lineRule="auto"/>
                    <w:ind w:firstLine="0" w:firstLineChars="0"/>
                    <w:jc w:val="center"/>
                    <w:rPr>
                      <w:rFonts w:hint="default" w:ascii="Times New Roman" w:hAnsi="Times New Roman" w:eastAsia="宋体"/>
                      <w:lang w:val="en-US" w:eastAsia="zh-CN"/>
                    </w:rPr>
                  </w:pPr>
                  <w:bookmarkStart w:id="16" w:name="OLE_LINK3"/>
                  <w:r>
                    <w:rPr>
                      <w:rFonts w:hint="eastAsia" w:ascii="Times New Roman" w:hAnsi="Times New Roman" w:eastAsia="宋体"/>
                      <w:lang w:val="en-US" w:eastAsia="zh-CN"/>
                    </w:rPr>
                    <w:t>委托处置</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17" w:hRule="atLeast"/>
                <w:jc w:val="center"/>
              </w:trPr>
              <w:tc>
                <w:tcPr>
                  <w:tcW w:w="639" w:type="pct"/>
                  <w:vMerge w:val="continue"/>
                  <w:tcBorders>
                    <w:tl2br w:val="nil"/>
                    <w:tr2bl w:val="nil"/>
                  </w:tcBorders>
                  <w:vAlign w:val="center"/>
                </w:tcPr>
                <w:p>
                  <w:pPr>
                    <w:pStyle w:val="9"/>
                    <w:spacing w:line="240" w:lineRule="auto"/>
                    <w:ind w:firstLine="0" w:firstLineChars="0"/>
                    <w:jc w:val="center"/>
                    <w:rPr>
                      <w:rFonts w:ascii="Times New Roman" w:hAnsi="Times New Roman" w:eastAsia="宋体"/>
                    </w:rPr>
                  </w:pPr>
                </w:p>
              </w:tc>
              <w:tc>
                <w:tcPr>
                  <w:tcW w:w="354" w:type="pct"/>
                  <w:tcBorders>
                    <w:tl2br w:val="nil"/>
                    <w:tr2bl w:val="nil"/>
                  </w:tcBorders>
                  <w:vAlign w:val="center"/>
                </w:tcPr>
                <w:p>
                  <w:pPr>
                    <w:pStyle w:val="9"/>
                    <w:ind w:firstLine="0" w:firstLineChars="0"/>
                    <w:jc w:val="center"/>
                    <w:rPr>
                      <w:rFonts w:ascii="Times New Roman" w:hAnsi="Times New Roman" w:eastAsia="宋体"/>
                    </w:rPr>
                  </w:pPr>
                  <w:r>
                    <w:rPr>
                      <w:rFonts w:hint="eastAsia" w:ascii="Times New Roman" w:hAnsi="Times New Roman" w:eastAsia="宋体"/>
                    </w:rPr>
                    <w:t>S6</w:t>
                  </w:r>
                </w:p>
              </w:tc>
              <w:tc>
                <w:tcPr>
                  <w:tcW w:w="1005"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废润滑油</w:t>
                  </w:r>
                </w:p>
              </w:tc>
              <w:tc>
                <w:tcPr>
                  <w:tcW w:w="1233"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机器检修</w:t>
                  </w:r>
                </w:p>
              </w:tc>
              <w:tc>
                <w:tcPr>
                  <w:tcW w:w="917"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rPr>
                    <w:t>润滑油</w:t>
                  </w:r>
                </w:p>
              </w:tc>
              <w:tc>
                <w:tcPr>
                  <w:tcW w:w="849" w:type="pct"/>
                  <w:tcBorders>
                    <w:tl2br w:val="nil"/>
                    <w:tr2bl w:val="nil"/>
                  </w:tcBorders>
                  <w:vAlign w:val="center"/>
                </w:tcPr>
                <w:p>
                  <w:pPr>
                    <w:pStyle w:val="9"/>
                    <w:spacing w:line="240" w:lineRule="auto"/>
                    <w:ind w:firstLine="0" w:firstLineChars="0"/>
                    <w:jc w:val="center"/>
                    <w:rPr>
                      <w:rFonts w:ascii="Times New Roman" w:hAnsi="Times New Roman" w:eastAsia="宋体"/>
                    </w:rPr>
                  </w:pPr>
                  <w:r>
                    <w:rPr>
                      <w:rFonts w:hint="eastAsia" w:ascii="Times New Roman" w:hAnsi="Times New Roman" w:eastAsia="宋体"/>
                      <w:lang w:val="en-US" w:eastAsia="zh-CN"/>
                    </w:rPr>
                    <w:t>委托处置</w:t>
                  </w:r>
                </w:p>
              </w:tc>
            </w:tr>
          </w:tbl>
          <w:p>
            <w:pPr>
              <w:tabs>
                <w:tab w:val="left" w:pos="720"/>
              </w:tabs>
              <w:adjustRightInd w:val="0"/>
              <w:snapToGrid w:val="0"/>
              <w:spacing w:line="360" w:lineRule="auto"/>
              <w:ind w:firstLine="420" w:firstLineChars="200"/>
              <w:rPr>
                <w:rFonts w:ascii="Times New Roman" w:hAnsi="Times New Roman" w:eastAsia="宋体"/>
                <w:color w:val="auto"/>
                <w:sz w:val="24"/>
              </w:rPr>
            </w:pPr>
            <w:r>
              <w:rPr>
                <w:rFonts w:hint="eastAsia" w:ascii="Times New Roman" w:hAnsi="Times New Roman" w:eastAsia="宋体"/>
                <w:color w:val="auto"/>
              </w:rPr>
              <w:t xml:space="preserve"> </w:t>
            </w:r>
            <w:r>
              <w:rPr>
                <w:rFonts w:hint="eastAsia" w:ascii="Times New Roman" w:hAnsi="Times New Roman" w:eastAsia="宋体"/>
                <w:b/>
                <w:bCs/>
                <w:color w:val="auto"/>
                <w:sz w:val="24"/>
                <w:shd w:val="clear" w:color="auto" w:fill="FFFFFF"/>
              </w:rPr>
              <w:t>（四）</w:t>
            </w:r>
            <w:r>
              <w:rPr>
                <w:rFonts w:ascii="Times New Roman" w:hAnsi="Times New Roman" w:eastAsia="宋体"/>
                <w:b/>
                <w:bCs/>
                <w:color w:val="auto"/>
                <w:sz w:val="24"/>
                <w:shd w:val="clear" w:color="auto" w:fill="FFFFFF"/>
              </w:rPr>
              <w:t>现有项目污染防治措施</w:t>
            </w:r>
          </w:p>
          <w:p>
            <w:pPr>
              <w:spacing w:line="360" w:lineRule="auto"/>
              <w:ind w:firstLine="480" w:firstLineChars="200"/>
              <w:rPr>
                <w:rFonts w:hint="eastAsia" w:ascii="Times New Roman" w:hAnsi="Times New Roman" w:eastAsia="宋体"/>
                <w:bCs/>
                <w:color w:val="auto"/>
                <w:kern w:val="0"/>
                <w:sz w:val="24"/>
              </w:rPr>
            </w:pPr>
            <w:r>
              <w:rPr>
                <w:rFonts w:hint="eastAsia" w:ascii="Times New Roman" w:hAnsi="Times New Roman" w:eastAsia="宋体"/>
                <w:bCs/>
                <w:color w:val="auto"/>
                <w:kern w:val="0"/>
                <w:sz w:val="24"/>
              </w:rPr>
              <w:t>1、废水</w:t>
            </w:r>
          </w:p>
          <w:p>
            <w:pPr>
              <w:spacing w:line="360" w:lineRule="auto"/>
              <w:ind w:firstLine="480" w:firstLineChars="200"/>
              <w:rPr>
                <w:rFonts w:hint="eastAsia" w:ascii="Times New Roman" w:hAnsi="Times New Roman" w:eastAsia="宋体"/>
                <w:bCs/>
                <w:color w:val="auto"/>
                <w:kern w:val="0"/>
                <w:sz w:val="24"/>
              </w:rPr>
            </w:pPr>
            <w:r>
              <w:rPr>
                <w:rFonts w:hint="eastAsia" w:ascii="Times New Roman" w:hAnsi="Times New Roman" w:eastAsia="宋体"/>
                <w:bCs/>
                <w:color w:val="auto"/>
                <w:kern w:val="0"/>
                <w:sz w:val="24"/>
              </w:rPr>
              <w:t>现有项目实行“雨污分流”制，雨水经收集后排入雨水管网；无生产废水产生，生活污水经化粪池预处理后接管排入</w:t>
            </w:r>
            <w:r>
              <w:rPr>
                <w:rFonts w:hint="eastAsia" w:ascii="Times New Roman" w:hAnsi="Times New Roman" w:eastAsia="宋体"/>
                <w:bCs/>
                <w:color w:val="auto"/>
                <w:kern w:val="0"/>
                <w:sz w:val="24"/>
                <w:lang w:eastAsia="zh-CN"/>
              </w:rPr>
              <w:t>如皋市下原镇污水处理厂</w:t>
            </w:r>
            <w:r>
              <w:rPr>
                <w:rFonts w:hint="eastAsia" w:ascii="Times New Roman" w:hAnsi="Times New Roman" w:eastAsia="宋体"/>
                <w:bCs/>
                <w:color w:val="auto"/>
                <w:kern w:val="0"/>
                <w:sz w:val="24"/>
              </w:rPr>
              <w:t>。企业于</w:t>
            </w:r>
            <w:r>
              <w:rPr>
                <w:rFonts w:hint="eastAsia" w:ascii="Times New Roman" w:hAnsi="Times New Roman" w:eastAsia="宋体"/>
                <w:bCs/>
                <w:color w:val="auto"/>
                <w:kern w:val="0"/>
                <w:sz w:val="24"/>
                <w:lang w:val="en-US" w:eastAsia="zh-CN"/>
              </w:rPr>
              <w:t>2021年1月16日-17日</w:t>
            </w:r>
            <w:r>
              <w:rPr>
                <w:rFonts w:hint="eastAsia" w:ascii="Times New Roman" w:hAnsi="Times New Roman" w:eastAsia="宋体"/>
                <w:bCs/>
                <w:color w:val="auto"/>
                <w:kern w:val="0"/>
                <w:sz w:val="24"/>
              </w:rPr>
              <w:t>委托</w:t>
            </w:r>
            <w:r>
              <w:rPr>
                <w:rFonts w:hint="eastAsia" w:ascii="Times New Roman" w:hAnsi="Times New Roman" w:eastAsia="宋体"/>
                <w:bCs/>
                <w:color w:val="auto"/>
                <w:kern w:val="0"/>
                <w:sz w:val="24"/>
                <w:lang w:val="en-US" w:eastAsia="zh-CN"/>
              </w:rPr>
              <w:t>江苏恒远环境科技有限公司</w:t>
            </w:r>
            <w:r>
              <w:rPr>
                <w:rFonts w:hint="eastAsia" w:ascii="Times New Roman" w:hAnsi="Times New Roman" w:eastAsia="宋体"/>
                <w:bCs/>
                <w:color w:val="auto"/>
                <w:kern w:val="0"/>
                <w:sz w:val="24"/>
              </w:rPr>
              <w:t>对现有项目废水总排口进行了检测，具体检测结果如下表2-1</w:t>
            </w:r>
            <w:r>
              <w:rPr>
                <w:rFonts w:hint="eastAsia"/>
                <w:bCs/>
                <w:color w:val="auto"/>
                <w:kern w:val="0"/>
                <w:sz w:val="24"/>
                <w:lang w:val="en-US" w:eastAsia="zh-CN"/>
              </w:rPr>
              <w:t>5</w:t>
            </w:r>
            <w:r>
              <w:rPr>
                <w:rFonts w:hint="eastAsia" w:ascii="Times New Roman" w:hAnsi="Times New Roman" w:eastAsia="宋体"/>
                <w:bCs/>
                <w:color w:val="auto"/>
                <w:kern w:val="0"/>
                <w:sz w:val="24"/>
              </w:rPr>
              <w:t>。</w:t>
            </w:r>
          </w:p>
          <w:p>
            <w:pPr>
              <w:jc w:val="center"/>
              <w:rPr>
                <w:rFonts w:ascii="Times New Roman" w:hAnsi="Times New Roman" w:eastAsia="宋体"/>
                <w:b/>
                <w:bCs/>
                <w:color w:val="auto"/>
                <w:szCs w:val="21"/>
              </w:rPr>
            </w:pPr>
            <w:r>
              <w:rPr>
                <w:rFonts w:hint="eastAsia" w:ascii="Times New Roman" w:hAnsi="Times New Roman" w:eastAsia="宋体"/>
                <w:b/>
                <w:bCs/>
                <w:color w:val="auto"/>
                <w:szCs w:val="21"/>
              </w:rPr>
              <w:t>表2-1</w:t>
            </w:r>
            <w:r>
              <w:rPr>
                <w:rFonts w:hint="eastAsia"/>
                <w:b/>
                <w:bCs/>
                <w:color w:val="auto"/>
                <w:szCs w:val="21"/>
                <w:lang w:val="en-US" w:eastAsia="zh-CN"/>
              </w:rPr>
              <w:t>5</w:t>
            </w:r>
            <w:r>
              <w:rPr>
                <w:rFonts w:hint="eastAsia" w:ascii="Times New Roman" w:hAnsi="Times New Roman" w:eastAsia="宋体"/>
                <w:b/>
                <w:bCs/>
                <w:color w:val="auto"/>
                <w:szCs w:val="21"/>
              </w:rPr>
              <w:t xml:space="preserve"> 废水验收检测结果一览表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1121"/>
              <w:gridCol w:w="1329"/>
              <w:gridCol w:w="1329"/>
              <w:gridCol w:w="829"/>
              <w:gridCol w:w="708"/>
              <w:gridCol w:w="757"/>
              <w:gridCol w:w="792"/>
              <w:gridCol w:w="694"/>
              <w:gridCol w:w="7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8" w:hRule="atLeast"/>
                <w:jc w:val="center"/>
              </w:trPr>
              <w:tc>
                <w:tcPr>
                  <w:tcW w:w="677" w:type="pct"/>
                  <w:vMerge w:val="restart"/>
                  <w:tcBorders>
                    <w:tl2br w:val="nil"/>
                    <w:tr2bl w:val="nil"/>
                  </w:tcBorders>
                  <w:vAlign w:val="center"/>
                </w:tcPr>
                <w:p>
                  <w:pPr>
                    <w:pStyle w:val="31"/>
                    <w:rPr>
                      <w:rFonts w:ascii="Times New Roman" w:hAnsi="Times New Roman" w:eastAsia="宋体"/>
                      <w:b/>
                      <w:bCs/>
                      <w:color w:val="auto"/>
                      <w:szCs w:val="21"/>
                      <w:lang w:val="en-US"/>
                    </w:rPr>
                  </w:pPr>
                  <w:r>
                    <w:rPr>
                      <w:rFonts w:hint="eastAsia" w:ascii="Times New Roman" w:hAnsi="Times New Roman" w:eastAsia="宋体"/>
                      <w:b/>
                      <w:bCs/>
                      <w:color w:val="auto"/>
                      <w:szCs w:val="21"/>
                      <w:lang w:val="en-US"/>
                    </w:rPr>
                    <w:t>监测点位</w:t>
                  </w:r>
                </w:p>
              </w:tc>
              <w:tc>
                <w:tcPr>
                  <w:tcW w:w="802" w:type="pct"/>
                  <w:vMerge w:val="restart"/>
                  <w:tcBorders>
                    <w:tl2br w:val="nil"/>
                    <w:tr2bl w:val="nil"/>
                  </w:tcBorders>
                  <w:vAlign w:val="center"/>
                </w:tcPr>
                <w:p>
                  <w:pPr>
                    <w:pStyle w:val="31"/>
                    <w:rPr>
                      <w:rFonts w:ascii="Times New Roman" w:hAnsi="Times New Roman" w:eastAsia="宋体"/>
                      <w:b/>
                      <w:bCs/>
                      <w:color w:val="auto"/>
                      <w:szCs w:val="21"/>
                    </w:rPr>
                  </w:pPr>
                  <w:r>
                    <w:rPr>
                      <w:rFonts w:ascii="Times New Roman" w:hAnsi="Times New Roman" w:eastAsia="宋体"/>
                      <w:b/>
                      <w:bCs/>
                      <w:color w:val="auto"/>
                      <w:szCs w:val="21"/>
                    </w:rPr>
                    <w:t>采样日期</w:t>
                  </w:r>
                </w:p>
              </w:tc>
              <w:tc>
                <w:tcPr>
                  <w:tcW w:w="802" w:type="pct"/>
                  <w:vMerge w:val="restar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监测</w:t>
                  </w:r>
                </w:p>
                <w:p>
                  <w:pPr>
                    <w:pStyle w:val="31"/>
                    <w:rPr>
                      <w:rFonts w:ascii="Times New Roman" w:hAnsi="Times New Roman" w:eastAsia="宋体"/>
                      <w:b/>
                      <w:bCs/>
                      <w:color w:val="auto"/>
                      <w:szCs w:val="21"/>
                    </w:rPr>
                  </w:pPr>
                  <w:r>
                    <w:rPr>
                      <w:rFonts w:hint="eastAsia" w:ascii="Times New Roman" w:hAnsi="Times New Roman" w:eastAsia="宋体"/>
                      <w:b/>
                      <w:bCs/>
                      <w:color w:val="auto"/>
                      <w:szCs w:val="21"/>
                    </w:rPr>
                    <w:t>项目</w:t>
                  </w:r>
                </w:p>
              </w:tc>
              <w:tc>
                <w:tcPr>
                  <w:tcW w:w="500" w:type="pct"/>
                  <w:vMerge w:val="restar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单位</w:t>
                  </w:r>
                </w:p>
              </w:tc>
              <w:tc>
                <w:tcPr>
                  <w:tcW w:w="1362" w:type="pct"/>
                  <w:gridSpan w:val="3"/>
                  <w:tcBorders>
                    <w:tl2br w:val="nil"/>
                    <w:tr2bl w:val="nil"/>
                  </w:tcBorders>
                  <w:vAlign w:val="center"/>
                </w:tcPr>
                <w:p>
                  <w:pPr>
                    <w:pStyle w:val="31"/>
                    <w:rPr>
                      <w:rFonts w:hint="eastAsia" w:ascii="Times New Roman" w:hAnsi="Times New Roman" w:eastAsia="宋体"/>
                      <w:b/>
                      <w:bCs/>
                      <w:color w:val="auto"/>
                      <w:szCs w:val="21"/>
                    </w:rPr>
                  </w:pPr>
                  <w:r>
                    <w:rPr>
                      <w:rFonts w:hint="eastAsia" w:ascii="Times New Roman" w:hAnsi="Times New Roman" w:eastAsia="宋体"/>
                      <w:b/>
                      <w:bCs/>
                      <w:color w:val="auto"/>
                      <w:szCs w:val="21"/>
                    </w:rPr>
                    <w:t>监测结果</w:t>
                  </w:r>
                </w:p>
              </w:tc>
              <w:tc>
                <w:tcPr>
                  <w:tcW w:w="419" w:type="pct"/>
                  <w:vMerge w:val="restar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执行</w:t>
                  </w:r>
                </w:p>
                <w:p>
                  <w:pPr>
                    <w:pStyle w:val="31"/>
                    <w:rPr>
                      <w:rFonts w:ascii="Times New Roman" w:hAnsi="Times New Roman" w:eastAsia="宋体"/>
                      <w:b/>
                      <w:bCs/>
                      <w:color w:val="auto"/>
                      <w:szCs w:val="21"/>
                    </w:rPr>
                  </w:pPr>
                  <w:r>
                    <w:rPr>
                      <w:rFonts w:hint="eastAsia" w:ascii="Times New Roman" w:hAnsi="Times New Roman" w:eastAsia="宋体"/>
                      <w:b/>
                      <w:bCs/>
                      <w:color w:val="auto"/>
                      <w:szCs w:val="21"/>
                    </w:rPr>
                    <w:t>标准</w:t>
                  </w:r>
                </w:p>
              </w:tc>
              <w:tc>
                <w:tcPr>
                  <w:tcW w:w="435" w:type="pct"/>
                  <w:vMerge w:val="restar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结果</w:t>
                  </w:r>
                </w:p>
                <w:p>
                  <w:pPr>
                    <w:pStyle w:val="31"/>
                    <w:rPr>
                      <w:rFonts w:ascii="Times New Roman" w:hAnsi="Times New Roman" w:eastAsia="宋体"/>
                      <w:b/>
                      <w:bCs/>
                      <w:color w:val="auto"/>
                      <w:szCs w:val="21"/>
                    </w:rPr>
                  </w:pPr>
                  <w:r>
                    <w:rPr>
                      <w:rFonts w:hint="eastAsia" w:ascii="Times New Roman" w:hAnsi="Times New Roman" w:eastAsia="宋体"/>
                      <w:b/>
                      <w:bCs/>
                      <w:color w:val="auto"/>
                      <w:szCs w:val="21"/>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14"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500"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427" w:type="pc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1</w:t>
                  </w:r>
                </w:p>
              </w:tc>
              <w:tc>
                <w:tcPr>
                  <w:tcW w:w="457" w:type="pc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2</w:t>
                  </w:r>
                </w:p>
              </w:tc>
              <w:tc>
                <w:tcPr>
                  <w:tcW w:w="478" w:type="pct"/>
                  <w:tcBorders>
                    <w:tl2br w:val="nil"/>
                    <w:tr2bl w:val="nil"/>
                  </w:tcBorders>
                  <w:vAlign w:val="center"/>
                </w:tcPr>
                <w:p>
                  <w:pPr>
                    <w:pStyle w:val="31"/>
                    <w:rPr>
                      <w:rFonts w:ascii="Times New Roman" w:hAnsi="Times New Roman" w:eastAsia="宋体"/>
                      <w:b/>
                      <w:bCs/>
                      <w:color w:val="auto"/>
                      <w:szCs w:val="21"/>
                    </w:rPr>
                  </w:pPr>
                  <w:r>
                    <w:rPr>
                      <w:rFonts w:hint="eastAsia" w:ascii="Times New Roman" w:hAnsi="Times New Roman" w:eastAsia="宋体"/>
                      <w:b/>
                      <w:bCs/>
                      <w:color w:val="auto"/>
                      <w:szCs w:val="21"/>
                    </w:rPr>
                    <w:t>3</w:t>
                  </w:r>
                </w:p>
              </w:tc>
              <w:tc>
                <w:tcPr>
                  <w:tcW w:w="419"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435" w:type="pct"/>
                  <w:vMerge w:val="continue"/>
                  <w:tcBorders>
                    <w:tl2br w:val="nil"/>
                    <w:tr2bl w:val="nil"/>
                  </w:tcBorders>
                  <w:vAlign w:val="center"/>
                </w:tcPr>
                <w:p>
                  <w:pPr>
                    <w:pStyle w:val="31"/>
                    <w:rPr>
                      <w:rFonts w:ascii="Times New Roman" w:hAnsi="Times New Roman" w:eastAsia="宋体"/>
                      <w:b w:val="0"/>
                      <w:bC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53" w:hRule="atLeast"/>
                <w:jc w:val="center"/>
              </w:trPr>
              <w:tc>
                <w:tcPr>
                  <w:tcW w:w="677" w:type="pct"/>
                  <w:vMerge w:val="restar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废水总排口</w:t>
                  </w:r>
                </w:p>
              </w:tc>
              <w:tc>
                <w:tcPr>
                  <w:tcW w:w="802" w:type="pct"/>
                  <w:vMerge w:val="restar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20</w:t>
                  </w:r>
                  <w:r>
                    <w:rPr>
                      <w:rFonts w:hint="eastAsia" w:ascii="Times New Roman" w:hAnsi="Times New Roman" w:eastAsia="宋体"/>
                      <w:b w:val="0"/>
                      <w:bCs w:val="0"/>
                      <w:color w:val="auto"/>
                      <w:szCs w:val="21"/>
                      <w:lang w:val="en-US" w:eastAsia="zh-CN"/>
                    </w:rPr>
                    <w:t>21</w:t>
                  </w:r>
                  <w:r>
                    <w:rPr>
                      <w:rFonts w:hint="eastAsia" w:ascii="Times New Roman" w:hAnsi="Times New Roman" w:eastAsia="宋体"/>
                      <w:b w:val="0"/>
                      <w:bCs w:val="0"/>
                      <w:color w:val="auto"/>
                      <w:szCs w:val="21"/>
                    </w:rPr>
                    <w:t>年</w:t>
                  </w:r>
                </w:p>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lang w:val="en-US" w:eastAsia="zh-CN"/>
                    </w:rPr>
                    <w:t>1</w:t>
                  </w:r>
                  <w:r>
                    <w:rPr>
                      <w:rFonts w:hint="eastAsia" w:ascii="Times New Roman" w:hAnsi="Times New Roman" w:eastAsia="宋体"/>
                      <w:b w:val="0"/>
                      <w:bCs w:val="0"/>
                      <w:color w:val="auto"/>
                      <w:szCs w:val="21"/>
                    </w:rPr>
                    <w:t>月</w:t>
                  </w:r>
                  <w:r>
                    <w:rPr>
                      <w:rFonts w:hint="eastAsia" w:ascii="Times New Roman" w:hAnsi="Times New Roman" w:eastAsia="宋体"/>
                      <w:b w:val="0"/>
                      <w:bCs w:val="0"/>
                      <w:color w:val="auto"/>
                      <w:szCs w:val="21"/>
                      <w:lang w:val="en-US" w:eastAsia="zh-CN"/>
                    </w:rPr>
                    <w:t>16</w:t>
                  </w:r>
                  <w:r>
                    <w:rPr>
                      <w:rFonts w:hint="eastAsia" w:ascii="Times New Roman" w:hAnsi="Times New Roman" w:eastAsia="宋体"/>
                      <w:b w:val="0"/>
                      <w:bCs w:val="0"/>
                      <w:color w:val="auto"/>
                      <w:szCs w:val="21"/>
                    </w:rPr>
                    <w:t>日</w:t>
                  </w:r>
                </w:p>
              </w:tc>
              <w:tc>
                <w:tcPr>
                  <w:tcW w:w="802"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b w:val="0"/>
                      <w:bCs w:val="0"/>
                      <w:color w:val="auto"/>
                      <w:szCs w:val="21"/>
                      <w:lang w:val="en-US"/>
                    </w:rPr>
                    <w:t>pH</w:t>
                  </w:r>
                </w:p>
              </w:tc>
              <w:tc>
                <w:tcPr>
                  <w:tcW w:w="500"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b w:val="0"/>
                      <w:bCs w:val="0"/>
                      <w:color w:val="auto"/>
                      <w:szCs w:val="21"/>
                      <w:lang w:val="en-US"/>
                    </w:rPr>
                    <w:t>无量纲</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7.06</w:t>
                  </w:r>
                </w:p>
              </w:tc>
              <w:tc>
                <w:tcPr>
                  <w:tcW w:w="45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7.12</w:t>
                  </w:r>
                </w:p>
              </w:tc>
              <w:tc>
                <w:tcPr>
                  <w:tcW w:w="478"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b w:val="0"/>
                      <w:bCs w:val="0"/>
                      <w:color w:val="auto"/>
                      <w:szCs w:val="21"/>
                      <w:lang w:val="en-US" w:eastAsia="zh-CN"/>
                    </w:rPr>
                    <w:t>7.01</w:t>
                  </w:r>
                </w:p>
              </w:tc>
              <w:tc>
                <w:tcPr>
                  <w:tcW w:w="419"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b w:val="0"/>
                      <w:bCs w:val="0"/>
                      <w:color w:val="auto"/>
                      <w:szCs w:val="21"/>
                      <w:lang w:val="en-US"/>
                    </w:rPr>
                    <w:t>7~9</w:t>
                  </w:r>
                </w:p>
              </w:tc>
              <w:tc>
                <w:tcPr>
                  <w:tcW w:w="435"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53"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bookmarkStart w:id="17" w:name="OLE_LINK25" w:colFirst="9" w:colLast="9"/>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化学需氧量</w:t>
                  </w:r>
                </w:p>
              </w:tc>
              <w:tc>
                <w:tcPr>
                  <w:tcW w:w="500"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112</w:t>
                  </w:r>
                </w:p>
              </w:tc>
              <w:tc>
                <w:tcPr>
                  <w:tcW w:w="457"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123</w:t>
                  </w:r>
                </w:p>
              </w:tc>
              <w:tc>
                <w:tcPr>
                  <w:tcW w:w="478"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117</w:t>
                  </w:r>
                </w:p>
              </w:tc>
              <w:tc>
                <w:tcPr>
                  <w:tcW w:w="419"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b w:val="0"/>
                      <w:bCs w:val="0"/>
                      <w:color w:val="auto"/>
                      <w:szCs w:val="21"/>
                    </w:rPr>
                    <w:t>500</w:t>
                  </w:r>
                </w:p>
              </w:tc>
              <w:tc>
                <w:tcPr>
                  <w:tcW w:w="435"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悬浮物</w:t>
                  </w:r>
                </w:p>
              </w:tc>
              <w:tc>
                <w:tcPr>
                  <w:tcW w:w="500"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21</w:t>
                  </w:r>
                </w:p>
              </w:tc>
              <w:tc>
                <w:tcPr>
                  <w:tcW w:w="457"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25</w:t>
                  </w:r>
                </w:p>
              </w:tc>
              <w:tc>
                <w:tcPr>
                  <w:tcW w:w="478"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29</w:t>
                  </w:r>
                </w:p>
              </w:tc>
              <w:tc>
                <w:tcPr>
                  <w:tcW w:w="419"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400</w:t>
                  </w:r>
                </w:p>
              </w:tc>
              <w:tc>
                <w:tcPr>
                  <w:tcW w:w="435"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氨氮</w:t>
                  </w:r>
                </w:p>
              </w:tc>
              <w:tc>
                <w:tcPr>
                  <w:tcW w:w="500"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ascii="Times New Roman" w:hAnsi="Times New Roman" w:eastAsia="宋体"/>
                      <w:b w:val="0"/>
                      <w:bCs w:val="0"/>
                      <w:color w:val="auto"/>
                      <w:szCs w:val="21"/>
                      <w:lang w:val="en-US"/>
                    </w:rPr>
                  </w:pPr>
                  <w:r>
                    <w:rPr>
                      <w:rFonts w:hint="eastAsia" w:ascii="Times New Roman" w:hAnsi="Times New Roman" w:eastAsia="宋体" w:cs="Times New Roman"/>
                      <w:b w:val="0"/>
                      <w:bCs w:val="0"/>
                      <w:sz w:val="21"/>
                      <w:szCs w:val="21"/>
                      <w:vertAlign w:val="baseline"/>
                      <w:lang w:val="en-US" w:eastAsia="zh-CN"/>
                    </w:rPr>
                    <w:t>0.440</w:t>
                  </w:r>
                </w:p>
              </w:tc>
              <w:tc>
                <w:tcPr>
                  <w:tcW w:w="457"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0.443</w:t>
                  </w:r>
                </w:p>
              </w:tc>
              <w:tc>
                <w:tcPr>
                  <w:tcW w:w="478"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0.471</w:t>
                  </w:r>
                </w:p>
              </w:tc>
              <w:tc>
                <w:tcPr>
                  <w:tcW w:w="419"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45</w:t>
                  </w:r>
                </w:p>
              </w:tc>
              <w:tc>
                <w:tcPr>
                  <w:tcW w:w="435"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总磷</w:t>
                  </w:r>
                </w:p>
              </w:tc>
              <w:tc>
                <w:tcPr>
                  <w:tcW w:w="500"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0.471</w:t>
                  </w:r>
                </w:p>
              </w:tc>
              <w:tc>
                <w:tcPr>
                  <w:tcW w:w="457"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 w:val="21"/>
                      <w:szCs w:val="21"/>
                      <w:vertAlign w:val="baseline"/>
                      <w:lang w:val="en-US" w:eastAsia="zh-CN"/>
                    </w:rPr>
                    <w:t>0.455</w:t>
                  </w:r>
                </w:p>
              </w:tc>
              <w:tc>
                <w:tcPr>
                  <w:tcW w:w="478" w:type="pc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default" w:ascii="Times New Roman" w:hAnsi="Times New Roman" w:eastAsia="宋体"/>
                      <w:b w:val="0"/>
                      <w:bCs w:val="0"/>
                      <w:color w:val="auto"/>
                      <w:szCs w:val="21"/>
                      <w:lang w:val="en-US" w:eastAsia="zh-CN"/>
                    </w:rPr>
                    <w:t>0.446</w:t>
                  </w:r>
                </w:p>
              </w:tc>
              <w:tc>
                <w:tcPr>
                  <w:tcW w:w="419"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8</w:t>
                  </w:r>
                </w:p>
              </w:tc>
              <w:tc>
                <w:tcPr>
                  <w:tcW w:w="435" w:type="pc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restart"/>
                  <w:tcBorders>
                    <w:tl2br w:val="nil"/>
                    <w:tr2bl w:val="nil"/>
                  </w:tcBorders>
                  <w:vAlign w:val="center"/>
                </w:tcPr>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rPr>
                    <w:t>20</w:t>
                  </w:r>
                  <w:r>
                    <w:rPr>
                      <w:rFonts w:hint="eastAsia" w:ascii="Times New Roman" w:hAnsi="Times New Roman" w:eastAsia="宋体"/>
                      <w:b w:val="0"/>
                      <w:bCs w:val="0"/>
                      <w:color w:val="auto"/>
                      <w:szCs w:val="21"/>
                      <w:lang w:val="en-US" w:eastAsia="zh-CN"/>
                    </w:rPr>
                    <w:t>21</w:t>
                  </w:r>
                  <w:r>
                    <w:rPr>
                      <w:rFonts w:hint="eastAsia" w:ascii="Times New Roman" w:hAnsi="Times New Roman" w:eastAsia="宋体"/>
                      <w:b w:val="0"/>
                      <w:bCs w:val="0"/>
                      <w:color w:val="auto"/>
                      <w:szCs w:val="21"/>
                    </w:rPr>
                    <w:t>年</w:t>
                  </w:r>
                </w:p>
                <w:p>
                  <w:pPr>
                    <w:pStyle w:val="31"/>
                    <w:rPr>
                      <w:rFonts w:ascii="Times New Roman" w:hAnsi="Times New Roman" w:eastAsia="宋体"/>
                      <w:b w:val="0"/>
                      <w:bCs w:val="0"/>
                      <w:color w:val="auto"/>
                      <w:szCs w:val="21"/>
                    </w:rPr>
                  </w:pPr>
                  <w:r>
                    <w:rPr>
                      <w:rFonts w:hint="eastAsia" w:ascii="Times New Roman" w:hAnsi="Times New Roman" w:eastAsia="宋体"/>
                      <w:b w:val="0"/>
                      <w:bCs w:val="0"/>
                      <w:color w:val="auto"/>
                      <w:szCs w:val="21"/>
                      <w:lang w:val="en-US" w:eastAsia="zh-CN"/>
                    </w:rPr>
                    <w:t>1</w:t>
                  </w:r>
                  <w:r>
                    <w:rPr>
                      <w:rFonts w:hint="eastAsia" w:ascii="Times New Roman" w:hAnsi="Times New Roman" w:eastAsia="宋体"/>
                      <w:b w:val="0"/>
                      <w:bCs w:val="0"/>
                      <w:color w:val="auto"/>
                      <w:szCs w:val="21"/>
                    </w:rPr>
                    <w:t>月</w:t>
                  </w:r>
                  <w:r>
                    <w:rPr>
                      <w:rFonts w:hint="eastAsia" w:ascii="Times New Roman" w:hAnsi="Times New Roman" w:eastAsia="宋体"/>
                      <w:b w:val="0"/>
                      <w:bCs w:val="0"/>
                      <w:color w:val="auto"/>
                      <w:szCs w:val="21"/>
                      <w:lang w:val="en-US" w:eastAsia="zh-CN"/>
                    </w:rPr>
                    <w:t>17</w:t>
                  </w:r>
                  <w:r>
                    <w:rPr>
                      <w:rFonts w:hint="eastAsia" w:ascii="Times New Roman" w:hAnsi="Times New Roman" w:eastAsia="宋体"/>
                      <w:b w:val="0"/>
                      <w:bCs w:val="0"/>
                      <w:color w:val="auto"/>
                      <w:szCs w:val="21"/>
                    </w:rPr>
                    <w:t>日</w:t>
                  </w:r>
                </w:p>
              </w:tc>
              <w:tc>
                <w:tcPr>
                  <w:tcW w:w="802"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b w:val="0"/>
                      <w:bCs w:val="0"/>
                      <w:color w:val="auto"/>
                      <w:szCs w:val="21"/>
                      <w:lang w:val="en-US"/>
                    </w:rPr>
                    <w:t>pH</w:t>
                  </w:r>
                </w:p>
              </w:tc>
              <w:tc>
                <w:tcPr>
                  <w:tcW w:w="500"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b w:val="0"/>
                      <w:bCs w:val="0"/>
                      <w:color w:val="auto"/>
                      <w:szCs w:val="21"/>
                      <w:lang w:val="en-US"/>
                    </w:rPr>
                    <w:t>无量纲</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rPr>
                  </w:pPr>
                  <w:r>
                    <w:rPr>
                      <w:rFonts w:hint="eastAsia" w:ascii="Times New Roman" w:hAnsi="Times New Roman" w:eastAsia="宋体" w:cs="Times New Roman"/>
                      <w:b w:val="0"/>
                      <w:bCs w:val="0"/>
                      <w:kern w:val="2"/>
                      <w:sz w:val="21"/>
                      <w:szCs w:val="21"/>
                      <w:vertAlign w:val="baseline"/>
                      <w:lang w:val="en-US" w:eastAsia="zh-CN" w:bidi="ar-SA"/>
                    </w:rPr>
                    <w:t>7.01</w:t>
                  </w:r>
                </w:p>
              </w:tc>
              <w:tc>
                <w:tcPr>
                  <w:tcW w:w="45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7.06</w:t>
                  </w:r>
                </w:p>
              </w:tc>
              <w:tc>
                <w:tcPr>
                  <w:tcW w:w="478"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7.12</w:t>
                  </w:r>
                </w:p>
              </w:tc>
              <w:tc>
                <w:tcPr>
                  <w:tcW w:w="419"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b w:val="0"/>
                      <w:bCs w:val="0"/>
                      <w:color w:val="auto"/>
                      <w:szCs w:val="21"/>
                      <w:lang w:val="en-US"/>
                    </w:rPr>
                    <w:t>7~9</w:t>
                  </w:r>
                </w:p>
              </w:tc>
              <w:tc>
                <w:tcPr>
                  <w:tcW w:w="435"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化学需氧量</w:t>
                  </w:r>
                </w:p>
              </w:tc>
              <w:tc>
                <w:tcPr>
                  <w:tcW w:w="500"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rPr>
                  </w:pPr>
                  <w:r>
                    <w:rPr>
                      <w:rFonts w:hint="eastAsia" w:ascii="Times New Roman" w:hAnsi="Times New Roman" w:eastAsia="宋体" w:cs="Times New Roman"/>
                      <w:b w:val="0"/>
                      <w:bCs w:val="0"/>
                      <w:kern w:val="2"/>
                      <w:sz w:val="21"/>
                      <w:szCs w:val="21"/>
                      <w:vertAlign w:val="baseline"/>
                      <w:lang w:val="en-US" w:eastAsia="zh-CN" w:bidi="ar-SA"/>
                    </w:rPr>
                    <w:t>118</w:t>
                  </w:r>
                </w:p>
              </w:tc>
              <w:tc>
                <w:tcPr>
                  <w:tcW w:w="45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111</w:t>
                  </w:r>
                </w:p>
              </w:tc>
              <w:tc>
                <w:tcPr>
                  <w:tcW w:w="478"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106</w:t>
                  </w:r>
                </w:p>
              </w:tc>
              <w:tc>
                <w:tcPr>
                  <w:tcW w:w="419"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b w:val="0"/>
                      <w:bCs w:val="0"/>
                      <w:color w:val="auto"/>
                      <w:szCs w:val="21"/>
                    </w:rPr>
                    <w:t>500</w:t>
                  </w:r>
                </w:p>
              </w:tc>
              <w:tc>
                <w:tcPr>
                  <w:tcW w:w="435"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悬浮物</w:t>
                  </w:r>
                </w:p>
              </w:tc>
              <w:tc>
                <w:tcPr>
                  <w:tcW w:w="500"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rPr>
                  </w:pPr>
                  <w:r>
                    <w:rPr>
                      <w:rFonts w:hint="eastAsia" w:ascii="Times New Roman" w:hAnsi="Times New Roman" w:eastAsia="宋体" w:cs="Times New Roman"/>
                      <w:b w:val="0"/>
                      <w:bCs w:val="0"/>
                      <w:kern w:val="2"/>
                      <w:sz w:val="21"/>
                      <w:szCs w:val="21"/>
                      <w:vertAlign w:val="baseline"/>
                      <w:lang w:val="en-US" w:eastAsia="zh-CN" w:bidi="ar-SA"/>
                    </w:rPr>
                    <w:t>21</w:t>
                  </w:r>
                </w:p>
              </w:tc>
              <w:tc>
                <w:tcPr>
                  <w:tcW w:w="45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31</w:t>
                  </w:r>
                </w:p>
              </w:tc>
              <w:tc>
                <w:tcPr>
                  <w:tcW w:w="478"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26</w:t>
                  </w:r>
                </w:p>
              </w:tc>
              <w:tc>
                <w:tcPr>
                  <w:tcW w:w="419"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400</w:t>
                  </w:r>
                </w:p>
              </w:tc>
              <w:tc>
                <w:tcPr>
                  <w:tcW w:w="435"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氨氮</w:t>
                  </w:r>
                </w:p>
              </w:tc>
              <w:tc>
                <w:tcPr>
                  <w:tcW w:w="500"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rPr>
                  </w:pPr>
                  <w:r>
                    <w:rPr>
                      <w:rFonts w:hint="eastAsia" w:ascii="Times New Roman" w:hAnsi="Times New Roman" w:eastAsia="宋体" w:cs="Times New Roman"/>
                      <w:b w:val="0"/>
                      <w:bCs w:val="0"/>
                      <w:kern w:val="2"/>
                      <w:sz w:val="21"/>
                      <w:szCs w:val="21"/>
                      <w:vertAlign w:val="baseline"/>
                      <w:lang w:val="en-US" w:eastAsia="zh-CN" w:bidi="ar-SA"/>
                    </w:rPr>
                    <w:t>0.464</w:t>
                  </w:r>
                </w:p>
              </w:tc>
              <w:tc>
                <w:tcPr>
                  <w:tcW w:w="45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0.457</w:t>
                  </w:r>
                </w:p>
              </w:tc>
              <w:tc>
                <w:tcPr>
                  <w:tcW w:w="478"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0.429</w:t>
                  </w:r>
                </w:p>
              </w:tc>
              <w:tc>
                <w:tcPr>
                  <w:tcW w:w="419"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45</w:t>
                  </w:r>
                </w:p>
              </w:tc>
              <w:tc>
                <w:tcPr>
                  <w:tcW w:w="435"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5" w:hRule="atLeast"/>
                <w:jc w:val="center"/>
              </w:trPr>
              <w:tc>
                <w:tcPr>
                  <w:tcW w:w="677"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vMerge w:val="continue"/>
                  <w:tcBorders>
                    <w:tl2br w:val="nil"/>
                    <w:tr2bl w:val="nil"/>
                  </w:tcBorders>
                  <w:vAlign w:val="center"/>
                </w:tcPr>
                <w:p>
                  <w:pPr>
                    <w:pStyle w:val="31"/>
                    <w:rPr>
                      <w:rFonts w:ascii="Times New Roman" w:hAnsi="Times New Roman" w:eastAsia="宋体"/>
                      <w:b w:val="0"/>
                      <w:bCs w:val="0"/>
                      <w:color w:val="auto"/>
                      <w:szCs w:val="21"/>
                    </w:rPr>
                  </w:pPr>
                </w:p>
              </w:tc>
              <w:tc>
                <w:tcPr>
                  <w:tcW w:w="802"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总磷</w:t>
                  </w:r>
                </w:p>
              </w:tc>
              <w:tc>
                <w:tcPr>
                  <w:tcW w:w="500"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mg/L</w:t>
                  </w:r>
                </w:p>
              </w:tc>
              <w:tc>
                <w:tcPr>
                  <w:tcW w:w="427" w:type="pct"/>
                  <w:tcBorders>
                    <w:tl2br w:val="nil"/>
                    <w:tr2bl w:val="nil"/>
                  </w:tcBorders>
                  <w:vAlign w:val="center"/>
                </w:tcPr>
                <w:p>
                  <w:pPr>
                    <w:pStyle w:val="31"/>
                    <w:rPr>
                      <w:rFonts w:hint="eastAsia" w:ascii="Times New Roman" w:hAnsi="Times New Roman" w:eastAsia="宋体"/>
                      <w:b w:val="0"/>
                      <w:bCs w:val="0"/>
                      <w:color w:val="auto"/>
                      <w:szCs w:val="21"/>
                      <w:lang w:val="en-US"/>
                    </w:rPr>
                  </w:pPr>
                  <w:r>
                    <w:rPr>
                      <w:rFonts w:hint="eastAsia" w:ascii="Times New Roman" w:hAnsi="Times New Roman" w:eastAsia="宋体" w:cs="Times New Roman"/>
                      <w:b w:val="0"/>
                      <w:bCs w:val="0"/>
                      <w:kern w:val="2"/>
                      <w:sz w:val="21"/>
                      <w:szCs w:val="21"/>
                      <w:vertAlign w:val="baseline"/>
                      <w:lang w:val="en-US" w:eastAsia="zh-CN" w:bidi="ar-SA"/>
                    </w:rPr>
                    <w:t>0.464</w:t>
                  </w:r>
                </w:p>
              </w:tc>
              <w:tc>
                <w:tcPr>
                  <w:tcW w:w="457"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kern w:val="2"/>
                      <w:sz w:val="21"/>
                      <w:szCs w:val="21"/>
                      <w:vertAlign w:val="baseline"/>
                      <w:lang w:val="en-US" w:eastAsia="zh-CN" w:bidi="ar-SA"/>
                    </w:rPr>
                    <w:t>0.459</w:t>
                  </w:r>
                </w:p>
              </w:tc>
              <w:tc>
                <w:tcPr>
                  <w:tcW w:w="478" w:type="pct"/>
                  <w:tcBorders>
                    <w:tl2br w:val="nil"/>
                    <w:tr2bl w:val="nil"/>
                  </w:tcBorders>
                  <w:vAlign w:val="center"/>
                </w:tcPr>
                <w:p>
                  <w:pPr>
                    <w:pStyle w:val="31"/>
                    <w:rPr>
                      <w:rFonts w:hint="eastAsia" w:ascii="Times New Roman" w:hAnsi="Times New Roman" w:eastAsia="宋体"/>
                      <w:b w:val="0"/>
                      <w:bCs w:val="0"/>
                      <w:color w:val="auto"/>
                      <w:szCs w:val="21"/>
                      <w:lang w:val="en-US" w:eastAsia="zh-CN"/>
                    </w:rPr>
                  </w:pPr>
                  <w:r>
                    <w:rPr>
                      <w:rFonts w:hint="eastAsia" w:ascii="Times New Roman" w:hAnsi="Times New Roman" w:eastAsia="宋体" w:cs="Times New Roman"/>
                      <w:b w:val="0"/>
                      <w:bCs w:val="0"/>
                      <w:szCs w:val="21"/>
                      <w:lang w:val="en-US" w:eastAsia="zh-CN"/>
                    </w:rPr>
                    <w:t>0.464</w:t>
                  </w:r>
                </w:p>
              </w:tc>
              <w:tc>
                <w:tcPr>
                  <w:tcW w:w="419"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8</w:t>
                  </w:r>
                </w:p>
              </w:tc>
              <w:tc>
                <w:tcPr>
                  <w:tcW w:w="435" w:type="pct"/>
                  <w:tcBorders>
                    <w:tl2br w:val="nil"/>
                    <w:tr2bl w:val="nil"/>
                  </w:tcBorders>
                  <w:vAlign w:val="center"/>
                </w:tcPr>
                <w:p>
                  <w:pPr>
                    <w:pStyle w:val="31"/>
                    <w:rPr>
                      <w:rFonts w:hint="eastAsia" w:ascii="Times New Roman" w:hAnsi="Times New Roman" w:eastAsia="宋体" w:cs="Times New Roman"/>
                      <w:b w:val="0"/>
                      <w:bCs w:val="0"/>
                      <w:color w:val="auto"/>
                      <w:kern w:val="2"/>
                      <w:sz w:val="21"/>
                      <w:szCs w:val="21"/>
                      <w:lang w:val="zh-CN" w:eastAsia="zh-CN" w:bidi="ar-SA"/>
                    </w:rPr>
                  </w:pPr>
                  <w:r>
                    <w:rPr>
                      <w:rFonts w:hint="eastAsia" w:ascii="Times New Roman" w:hAnsi="Times New Roman" w:eastAsia="宋体"/>
                      <w:b w:val="0"/>
                      <w:bCs w:val="0"/>
                      <w:color w:val="auto"/>
                      <w:szCs w:val="21"/>
                    </w:rPr>
                    <w:t>达标</w:t>
                  </w:r>
                </w:p>
              </w:tc>
            </w:tr>
            <w:bookmarkEnd w:id="17"/>
          </w:tbl>
          <w:p>
            <w:pPr>
              <w:spacing w:line="360" w:lineRule="auto"/>
              <w:ind w:firstLine="480" w:firstLineChars="200"/>
              <w:rPr>
                <w:rFonts w:ascii="Times New Roman" w:hAnsi="Times New Roman" w:eastAsia="宋体"/>
                <w:color w:val="auto"/>
                <w:kern w:val="0"/>
                <w:sz w:val="24"/>
              </w:rPr>
            </w:pPr>
            <w:r>
              <w:rPr>
                <w:rFonts w:hint="eastAsia" w:ascii="Times New Roman" w:hAnsi="Times New Roman" w:eastAsia="宋体"/>
                <w:color w:val="auto"/>
                <w:kern w:val="0"/>
                <w:sz w:val="24"/>
              </w:rPr>
              <w:t>监测结果表明：废水化学需氧量和悬浮物满足《污水综合排放标准》（GB8978-1996）表4中三级标准，氨氮和总磷符合《污水排入城镇下水道水质标准》（GB/T31962-2015）表1标准。</w:t>
            </w:r>
          </w:p>
          <w:p>
            <w:pPr>
              <w:spacing w:line="360" w:lineRule="auto"/>
              <w:ind w:left="420" w:leftChars="200"/>
              <w:rPr>
                <w:rFonts w:hint="eastAsia" w:ascii="Times New Roman" w:hAnsi="Times New Roman" w:eastAsia="宋体"/>
                <w:bCs/>
                <w:color w:val="auto"/>
                <w:kern w:val="0"/>
                <w:sz w:val="24"/>
              </w:rPr>
            </w:pPr>
            <w:r>
              <w:rPr>
                <w:rFonts w:hint="eastAsia" w:ascii="Times New Roman" w:hAnsi="Times New Roman" w:eastAsia="宋体"/>
                <w:bCs/>
                <w:color w:val="auto"/>
                <w:kern w:val="0"/>
                <w:sz w:val="24"/>
              </w:rPr>
              <w:t>2、废气</w:t>
            </w:r>
          </w:p>
          <w:p>
            <w:pPr>
              <w:spacing w:line="360" w:lineRule="auto"/>
              <w:ind w:firstLine="480" w:firstLineChars="200"/>
              <w:rPr>
                <w:rFonts w:hint="eastAsia" w:ascii="Times New Roman" w:hAnsi="Times New Roman" w:eastAsia="宋体"/>
                <w:bCs/>
                <w:color w:val="auto"/>
                <w:kern w:val="0"/>
                <w:sz w:val="24"/>
              </w:rPr>
            </w:pPr>
            <w:r>
              <w:rPr>
                <w:rFonts w:hint="eastAsia" w:ascii="Times New Roman" w:hAnsi="Times New Roman" w:eastAsia="宋体"/>
                <w:bCs/>
                <w:color w:val="auto"/>
                <w:kern w:val="0"/>
                <w:sz w:val="24"/>
              </w:rPr>
              <w:t>本项目在切割、焊接和装配过程中，会产生切割粉尘、焊接粉尘和打磨粉尘，采用移动式工业除尘器</w:t>
            </w:r>
            <w:r>
              <w:rPr>
                <w:rFonts w:hint="eastAsia" w:ascii="Times New Roman" w:hAnsi="Times New Roman" w:eastAsia="宋体"/>
                <w:bCs/>
                <w:color w:val="auto"/>
                <w:kern w:val="0"/>
                <w:sz w:val="24"/>
                <w:lang w:val="en-US" w:eastAsia="zh-CN"/>
              </w:rPr>
              <w:t>处理后</w:t>
            </w:r>
            <w:r>
              <w:rPr>
                <w:rFonts w:hint="eastAsia" w:ascii="Times New Roman" w:hAnsi="Times New Roman" w:eastAsia="宋体"/>
                <w:bCs/>
                <w:color w:val="auto"/>
                <w:kern w:val="0"/>
                <w:sz w:val="24"/>
              </w:rPr>
              <w:t xml:space="preserve">达标排放。 </w:t>
            </w:r>
          </w:p>
          <w:p>
            <w:pPr>
              <w:spacing w:line="360" w:lineRule="auto"/>
              <w:ind w:firstLine="480" w:firstLineChars="200"/>
              <w:rPr>
                <w:rFonts w:ascii="Times New Roman" w:hAnsi="Times New Roman" w:eastAsia="宋体"/>
                <w:b/>
                <w:color w:val="auto"/>
                <w:kern w:val="0"/>
                <w:sz w:val="24"/>
              </w:rPr>
            </w:pPr>
            <w:r>
              <w:rPr>
                <w:rFonts w:hint="eastAsia" w:ascii="Times New Roman" w:hAnsi="Times New Roman" w:eastAsia="宋体"/>
                <w:color w:val="auto"/>
                <w:kern w:val="0"/>
                <w:sz w:val="24"/>
              </w:rPr>
              <w:t>企业于</w:t>
            </w:r>
            <w:r>
              <w:rPr>
                <w:rFonts w:hint="eastAsia" w:ascii="Times New Roman" w:hAnsi="Times New Roman" w:eastAsia="宋体"/>
                <w:bCs/>
                <w:color w:val="auto"/>
                <w:kern w:val="0"/>
                <w:sz w:val="24"/>
              </w:rPr>
              <w:t>20</w:t>
            </w:r>
            <w:r>
              <w:rPr>
                <w:rFonts w:hint="eastAsia" w:ascii="Times New Roman" w:hAnsi="Times New Roman" w:eastAsia="宋体"/>
                <w:bCs/>
                <w:color w:val="auto"/>
                <w:kern w:val="0"/>
                <w:sz w:val="24"/>
                <w:lang w:val="en-US" w:eastAsia="zh-CN"/>
              </w:rPr>
              <w:t>21</w:t>
            </w:r>
            <w:r>
              <w:rPr>
                <w:rFonts w:hint="eastAsia" w:ascii="Times New Roman" w:hAnsi="Times New Roman" w:eastAsia="宋体"/>
                <w:bCs/>
                <w:color w:val="auto"/>
                <w:kern w:val="0"/>
                <w:sz w:val="24"/>
              </w:rPr>
              <w:t>年</w:t>
            </w:r>
            <w:r>
              <w:rPr>
                <w:rFonts w:hint="eastAsia" w:ascii="Times New Roman" w:hAnsi="Times New Roman" w:eastAsia="宋体"/>
                <w:bCs/>
                <w:color w:val="auto"/>
                <w:kern w:val="0"/>
                <w:sz w:val="24"/>
                <w:lang w:val="en-US" w:eastAsia="zh-CN"/>
              </w:rPr>
              <w:t>1月16日-17日</w:t>
            </w:r>
            <w:r>
              <w:rPr>
                <w:rFonts w:hint="eastAsia" w:ascii="Times New Roman" w:hAnsi="Times New Roman" w:eastAsia="宋体"/>
                <w:bCs/>
                <w:color w:val="auto"/>
                <w:kern w:val="0"/>
                <w:sz w:val="24"/>
              </w:rPr>
              <w:t>委托</w:t>
            </w:r>
            <w:r>
              <w:rPr>
                <w:rFonts w:hint="eastAsia" w:ascii="Times New Roman" w:hAnsi="Times New Roman" w:eastAsia="宋体"/>
                <w:bCs/>
                <w:color w:val="auto"/>
                <w:kern w:val="0"/>
                <w:sz w:val="24"/>
                <w:lang w:val="en-US" w:eastAsia="zh-CN"/>
              </w:rPr>
              <w:t>江苏恒远环境科技有限公司</w:t>
            </w:r>
            <w:r>
              <w:rPr>
                <w:rFonts w:hint="eastAsia" w:ascii="Times New Roman" w:hAnsi="Times New Roman" w:eastAsia="宋体"/>
                <w:color w:val="auto"/>
                <w:kern w:val="0"/>
                <w:sz w:val="24"/>
              </w:rPr>
              <w:t>对现有项目厂界废气</w:t>
            </w:r>
            <w:r>
              <w:rPr>
                <w:rFonts w:hint="eastAsia" w:ascii="Times New Roman" w:hAnsi="Times New Roman" w:eastAsia="宋体"/>
                <w:color w:val="auto"/>
                <w:sz w:val="24"/>
              </w:rPr>
              <w:t>进行了检测</w:t>
            </w:r>
            <w:r>
              <w:rPr>
                <w:rFonts w:hint="eastAsia" w:ascii="Times New Roman" w:hAnsi="Times New Roman" w:eastAsia="宋体"/>
                <w:color w:val="auto"/>
                <w:kern w:val="0"/>
                <w:sz w:val="24"/>
              </w:rPr>
              <w:t>，具体检测结果如下表2-1</w:t>
            </w:r>
            <w:r>
              <w:rPr>
                <w:rFonts w:hint="eastAsia"/>
                <w:color w:val="auto"/>
                <w:kern w:val="0"/>
                <w:sz w:val="24"/>
                <w:lang w:val="en-US" w:eastAsia="zh-CN"/>
              </w:rPr>
              <w:t>6</w:t>
            </w:r>
            <w:r>
              <w:rPr>
                <w:rFonts w:hint="eastAsia" w:ascii="Times New Roman" w:hAnsi="Times New Roman" w:eastAsia="宋体"/>
                <w:color w:val="auto"/>
                <w:kern w:val="0"/>
                <w:sz w:val="24"/>
              </w:rPr>
              <w:t>。</w:t>
            </w:r>
          </w:p>
          <w:p>
            <w:pPr>
              <w:ind w:firstLine="422" w:firstLineChars="200"/>
              <w:jc w:val="center"/>
              <w:rPr>
                <w:rFonts w:ascii="Times New Roman" w:hAnsi="Times New Roman" w:eastAsia="宋体"/>
                <w:b/>
                <w:color w:val="auto"/>
                <w:sz w:val="28"/>
                <w:szCs w:val="28"/>
              </w:rPr>
            </w:pPr>
            <w:r>
              <w:rPr>
                <w:rFonts w:hint="eastAsia" w:ascii="Times New Roman" w:hAnsi="Times New Roman" w:eastAsia="宋体"/>
                <w:b/>
                <w:bCs/>
                <w:color w:val="auto"/>
                <w:kern w:val="0"/>
                <w:szCs w:val="21"/>
              </w:rPr>
              <w:t>表2-1</w:t>
            </w:r>
            <w:r>
              <w:rPr>
                <w:rFonts w:hint="eastAsia"/>
                <w:b/>
                <w:bCs/>
                <w:color w:val="auto"/>
                <w:kern w:val="0"/>
                <w:szCs w:val="21"/>
                <w:lang w:val="en-US" w:eastAsia="zh-CN"/>
              </w:rPr>
              <w:t>6</w:t>
            </w:r>
            <w:r>
              <w:rPr>
                <w:rFonts w:hint="eastAsia" w:ascii="Times New Roman" w:hAnsi="Times New Roman" w:eastAsia="宋体"/>
                <w:b/>
                <w:bCs/>
                <w:color w:val="auto"/>
                <w:kern w:val="0"/>
                <w:szCs w:val="21"/>
              </w:rPr>
              <w:t xml:space="preserve">   无组织废气监测结果</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693"/>
              <w:gridCol w:w="1282"/>
              <w:gridCol w:w="1282"/>
              <w:gridCol w:w="1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vMerge w:val="restart"/>
                  <w:tcBorders>
                    <w:tl2br w:val="nil"/>
                    <w:tr2bl w:val="nil"/>
                  </w:tcBorders>
                  <w:vAlign w:val="center"/>
                </w:tcPr>
                <w:p>
                  <w:pPr>
                    <w:spacing w:line="276" w:lineRule="auto"/>
                    <w:jc w:val="center"/>
                    <w:rPr>
                      <w:rFonts w:ascii="Times New Roman" w:hAnsi="Times New Roman" w:eastAsia="宋体"/>
                      <w:b/>
                      <w:bCs/>
                      <w:color w:val="auto"/>
                      <w:szCs w:val="21"/>
                    </w:rPr>
                  </w:pPr>
                  <w:r>
                    <w:rPr>
                      <w:rFonts w:hint="eastAsia" w:ascii="Times New Roman" w:hAnsi="Times New Roman" w:eastAsia="宋体"/>
                      <w:b/>
                      <w:bCs/>
                      <w:color w:val="auto"/>
                      <w:szCs w:val="21"/>
                    </w:rPr>
                    <w:t>监测点位</w:t>
                  </w:r>
                </w:p>
              </w:tc>
              <w:tc>
                <w:tcPr>
                  <w:tcW w:w="1021" w:type="pct"/>
                  <w:vMerge w:val="restart"/>
                  <w:tcBorders>
                    <w:tl2br w:val="nil"/>
                    <w:tr2bl w:val="nil"/>
                  </w:tcBorders>
                  <w:vAlign w:val="center"/>
                </w:tcPr>
                <w:p>
                  <w:pPr>
                    <w:spacing w:line="276" w:lineRule="auto"/>
                    <w:jc w:val="center"/>
                    <w:rPr>
                      <w:rFonts w:ascii="Times New Roman" w:hAnsi="Times New Roman" w:eastAsia="宋体"/>
                      <w:b/>
                      <w:bCs/>
                      <w:color w:val="auto"/>
                      <w:szCs w:val="21"/>
                    </w:rPr>
                  </w:pPr>
                  <w:r>
                    <w:rPr>
                      <w:rFonts w:hint="eastAsia" w:ascii="Times New Roman" w:hAnsi="Times New Roman" w:eastAsia="宋体"/>
                      <w:b/>
                      <w:bCs/>
                      <w:color w:val="auto"/>
                      <w:szCs w:val="21"/>
                    </w:rPr>
                    <w:t>监测日期</w:t>
                  </w:r>
                </w:p>
              </w:tc>
              <w:tc>
                <w:tcPr>
                  <w:tcW w:w="2387" w:type="pct"/>
                  <w:gridSpan w:val="3"/>
                  <w:tcBorders>
                    <w:tl2br w:val="nil"/>
                    <w:tr2bl w:val="nil"/>
                  </w:tcBorders>
                  <w:vAlign w:val="center"/>
                </w:tcPr>
                <w:p>
                  <w:pPr>
                    <w:spacing w:line="276" w:lineRule="auto"/>
                    <w:jc w:val="center"/>
                    <w:rPr>
                      <w:rFonts w:ascii="Times New Roman" w:hAnsi="Times New Roman" w:eastAsia="宋体"/>
                      <w:b/>
                      <w:bCs/>
                      <w:color w:val="auto"/>
                      <w:szCs w:val="21"/>
                    </w:rPr>
                  </w:pPr>
                  <w:r>
                    <w:rPr>
                      <w:rFonts w:hint="eastAsia" w:ascii="Times New Roman" w:hAnsi="Times New Roman" w:eastAsia="宋体"/>
                      <w:b/>
                      <w:bCs/>
                      <w:color w:val="auto"/>
                      <w:szCs w:val="21"/>
                    </w:rPr>
                    <w:t>颗粒物（</w:t>
                  </w:r>
                  <w:r>
                    <w:rPr>
                      <w:rFonts w:ascii="Times New Roman" w:hAnsi="Times New Roman" w:eastAsia="宋体"/>
                      <w:b/>
                      <w:bCs/>
                      <w:color w:val="auto"/>
                      <w:szCs w:val="21"/>
                    </w:rPr>
                    <w:t>mg/m³</w:t>
                  </w:r>
                  <w:r>
                    <w:rPr>
                      <w:rFonts w:hint="eastAsia" w:ascii="Times New Roman" w:hAnsi="Times New Roman" w:eastAsia="宋体"/>
                      <w:b/>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vMerge w:val="continue"/>
                  <w:tcBorders>
                    <w:tl2br w:val="nil"/>
                    <w:tr2bl w:val="nil"/>
                  </w:tcBorders>
                  <w:vAlign w:val="center"/>
                </w:tcPr>
                <w:p>
                  <w:pPr>
                    <w:spacing w:line="276" w:lineRule="auto"/>
                    <w:jc w:val="center"/>
                    <w:rPr>
                      <w:rFonts w:ascii="Times New Roman" w:hAnsi="Times New Roman" w:eastAsia="宋体"/>
                      <w:b/>
                      <w:bCs/>
                      <w:color w:val="auto"/>
                      <w:szCs w:val="21"/>
                    </w:rPr>
                  </w:pPr>
                </w:p>
              </w:tc>
              <w:tc>
                <w:tcPr>
                  <w:tcW w:w="1021" w:type="pct"/>
                  <w:vMerge w:val="continue"/>
                  <w:tcBorders>
                    <w:tl2br w:val="nil"/>
                    <w:tr2bl w:val="nil"/>
                  </w:tcBorders>
                  <w:vAlign w:val="center"/>
                </w:tcPr>
                <w:p>
                  <w:pPr>
                    <w:spacing w:line="276" w:lineRule="auto"/>
                    <w:jc w:val="center"/>
                    <w:rPr>
                      <w:rFonts w:ascii="Times New Roman" w:hAnsi="Times New Roman" w:eastAsia="宋体"/>
                      <w:b/>
                      <w:bCs/>
                      <w:color w:val="auto"/>
                      <w:szCs w:val="21"/>
                    </w:rPr>
                  </w:pPr>
                </w:p>
              </w:tc>
              <w:tc>
                <w:tcPr>
                  <w:tcW w:w="774" w:type="pct"/>
                  <w:tcBorders>
                    <w:tl2br w:val="nil"/>
                    <w:tr2bl w:val="nil"/>
                  </w:tcBorders>
                  <w:vAlign w:val="center"/>
                </w:tcPr>
                <w:p>
                  <w:pPr>
                    <w:spacing w:line="276" w:lineRule="auto"/>
                    <w:jc w:val="center"/>
                    <w:rPr>
                      <w:rFonts w:ascii="Times New Roman" w:hAnsi="Times New Roman" w:eastAsia="宋体"/>
                      <w:b/>
                      <w:bCs/>
                      <w:color w:val="auto"/>
                      <w:szCs w:val="21"/>
                    </w:rPr>
                  </w:pPr>
                  <w:r>
                    <w:rPr>
                      <w:rFonts w:ascii="Times New Roman" w:hAnsi="Times New Roman" w:eastAsia="宋体"/>
                      <w:b/>
                      <w:bCs/>
                      <w:color w:val="auto"/>
                      <w:szCs w:val="21"/>
                    </w:rPr>
                    <w:t>1</w:t>
                  </w:r>
                </w:p>
              </w:tc>
              <w:tc>
                <w:tcPr>
                  <w:tcW w:w="774" w:type="pct"/>
                  <w:tcBorders>
                    <w:tl2br w:val="nil"/>
                    <w:tr2bl w:val="nil"/>
                  </w:tcBorders>
                  <w:vAlign w:val="center"/>
                </w:tcPr>
                <w:p>
                  <w:pPr>
                    <w:spacing w:line="276" w:lineRule="auto"/>
                    <w:jc w:val="center"/>
                    <w:rPr>
                      <w:rFonts w:ascii="Times New Roman" w:hAnsi="Times New Roman" w:eastAsia="宋体"/>
                      <w:b/>
                      <w:bCs/>
                      <w:color w:val="auto"/>
                      <w:szCs w:val="21"/>
                    </w:rPr>
                  </w:pPr>
                  <w:r>
                    <w:rPr>
                      <w:rFonts w:ascii="Times New Roman" w:hAnsi="Times New Roman" w:eastAsia="宋体"/>
                      <w:b/>
                      <w:bCs/>
                      <w:color w:val="auto"/>
                      <w:szCs w:val="21"/>
                    </w:rPr>
                    <w:t>2</w:t>
                  </w:r>
                </w:p>
              </w:tc>
              <w:tc>
                <w:tcPr>
                  <w:tcW w:w="839" w:type="pct"/>
                  <w:tcBorders>
                    <w:tl2br w:val="nil"/>
                    <w:tr2bl w:val="nil"/>
                  </w:tcBorders>
                  <w:vAlign w:val="center"/>
                </w:tcPr>
                <w:p>
                  <w:pPr>
                    <w:spacing w:line="276" w:lineRule="auto"/>
                    <w:jc w:val="center"/>
                    <w:rPr>
                      <w:rFonts w:ascii="Times New Roman" w:hAnsi="Times New Roman" w:eastAsia="宋体"/>
                      <w:b/>
                      <w:bCs/>
                      <w:color w:val="auto"/>
                      <w:szCs w:val="21"/>
                    </w:rPr>
                  </w:pPr>
                  <w:r>
                    <w:rPr>
                      <w:rFonts w:ascii="Times New Roman" w:hAnsi="Times New Roman" w:eastAsia="宋体"/>
                      <w:b/>
                      <w:bCs/>
                      <w:color w:val="auto"/>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szCs w:val="21"/>
                    </w:rPr>
                    <w:t>厂界</w:t>
                  </w:r>
                  <w:r>
                    <w:rPr>
                      <w:rFonts w:hint="eastAsia" w:ascii="Times New Roman" w:hAnsi="Times New Roman" w:eastAsia="宋体" w:cs="Times New Roman"/>
                      <w:b w:val="0"/>
                      <w:bCs w:val="0"/>
                      <w:szCs w:val="21"/>
                      <w:lang w:eastAsia="zh-CN"/>
                    </w:rPr>
                    <w:t>下</w:t>
                  </w:r>
                  <w:r>
                    <w:rPr>
                      <w:rFonts w:ascii="Times New Roman" w:hAnsi="Times New Roman" w:eastAsia="宋体" w:cs="Times New Roman"/>
                      <w:b w:val="0"/>
                      <w:bCs w:val="0"/>
                      <w:szCs w:val="21"/>
                    </w:rPr>
                    <w:t xml:space="preserve">风向 </w:t>
                  </w:r>
                  <w:r>
                    <w:rPr>
                      <w:rFonts w:hint="eastAsia" w:ascii="Times New Roman" w:hAnsi="Times New Roman" w:eastAsia="宋体" w:cs="Times New Roman"/>
                      <w:b w:val="0"/>
                      <w:bCs w:val="0"/>
                      <w:szCs w:val="21"/>
                      <w:lang w:val="en-US" w:eastAsia="zh-CN"/>
                    </w:rPr>
                    <w:t>1</w:t>
                  </w:r>
                  <w:r>
                    <w:rPr>
                      <w:rFonts w:ascii="Times New Roman" w:hAnsi="Times New Roman" w:eastAsia="宋体" w:cs="Times New Roman"/>
                      <w:b w:val="0"/>
                      <w:bCs w:val="0"/>
                      <w:szCs w:val="21"/>
                    </w:rPr>
                    <w:t>#</w:t>
                  </w:r>
                </w:p>
              </w:tc>
              <w:tc>
                <w:tcPr>
                  <w:tcW w:w="1021" w:type="pct"/>
                  <w:vMerge w:val="restart"/>
                  <w:tcBorders>
                    <w:tl2br w:val="nil"/>
                    <w:tr2bl w:val="nil"/>
                  </w:tcBorders>
                  <w:vAlign w:val="center"/>
                </w:tcPr>
                <w:p>
                  <w:pPr>
                    <w:pStyle w:val="31"/>
                    <w:rPr>
                      <w:rFonts w:hint="default"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rPr>
                    <w:t>20</w:t>
                  </w:r>
                  <w:r>
                    <w:rPr>
                      <w:rFonts w:hint="eastAsia" w:ascii="Times New Roman" w:hAnsi="Times New Roman" w:eastAsia="宋体"/>
                      <w:b w:val="0"/>
                      <w:bCs w:val="0"/>
                      <w:color w:val="auto"/>
                      <w:szCs w:val="21"/>
                      <w:lang w:val="en-US" w:eastAsia="zh-CN"/>
                    </w:rPr>
                    <w:t>21</w:t>
                  </w:r>
                  <w:r>
                    <w:rPr>
                      <w:rFonts w:hint="eastAsia" w:ascii="Times New Roman" w:hAnsi="Times New Roman" w:eastAsia="宋体"/>
                      <w:b w:val="0"/>
                      <w:bCs w:val="0"/>
                      <w:color w:val="auto"/>
                      <w:szCs w:val="21"/>
                    </w:rPr>
                    <w:t>年</w:t>
                  </w:r>
                  <w:r>
                    <w:rPr>
                      <w:rFonts w:hint="eastAsia" w:ascii="Times New Roman" w:hAnsi="Times New Roman" w:eastAsia="宋体"/>
                      <w:b w:val="0"/>
                      <w:bCs w:val="0"/>
                      <w:color w:val="auto"/>
                      <w:szCs w:val="21"/>
                      <w:lang w:val="en-US" w:eastAsia="zh-CN"/>
                    </w:rPr>
                    <w:t>1</w:t>
                  </w:r>
                  <w:r>
                    <w:rPr>
                      <w:rFonts w:hint="eastAsia" w:ascii="Times New Roman" w:hAnsi="Times New Roman" w:eastAsia="宋体"/>
                      <w:b w:val="0"/>
                      <w:bCs w:val="0"/>
                      <w:color w:val="auto"/>
                      <w:szCs w:val="21"/>
                    </w:rPr>
                    <w:t>月</w:t>
                  </w:r>
                  <w:r>
                    <w:rPr>
                      <w:rFonts w:hint="eastAsia" w:ascii="Times New Roman" w:hAnsi="Times New Roman" w:eastAsia="宋体"/>
                      <w:b w:val="0"/>
                      <w:bCs w:val="0"/>
                      <w:color w:val="auto"/>
                      <w:szCs w:val="21"/>
                      <w:lang w:val="en-US" w:eastAsia="zh-CN"/>
                    </w:rPr>
                    <w:t>16</w:t>
                  </w:r>
                  <w:r>
                    <w:rPr>
                      <w:rFonts w:hint="eastAsia" w:ascii="Times New Roman" w:hAnsi="Times New Roman" w:eastAsia="宋体"/>
                      <w:b w:val="0"/>
                      <w:bCs w:val="0"/>
                      <w:color w:val="auto"/>
                      <w:szCs w:val="21"/>
                    </w:rPr>
                    <w:t>日</w:t>
                  </w:r>
                </w:p>
              </w:tc>
              <w:tc>
                <w:tcPr>
                  <w:tcW w:w="7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0.20 </w:t>
                  </w:r>
                </w:p>
              </w:tc>
              <w:tc>
                <w:tcPr>
                  <w:tcW w:w="7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0.18 </w:t>
                  </w:r>
                </w:p>
              </w:tc>
              <w:tc>
                <w:tcPr>
                  <w:tcW w:w="8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0.15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szCs w:val="21"/>
                    </w:rPr>
                    <w:t>厂界</w:t>
                  </w:r>
                  <w:r>
                    <w:rPr>
                      <w:rFonts w:hint="eastAsia" w:ascii="Times New Roman" w:hAnsi="Times New Roman" w:eastAsia="宋体" w:cs="Times New Roman"/>
                      <w:b w:val="0"/>
                      <w:bCs w:val="0"/>
                      <w:szCs w:val="21"/>
                      <w:lang w:eastAsia="zh-CN"/>
                    </w:rPr>
                    <w:t>下</w:t>
                  </w:r>
                  <w:r>
                    <w:rPr>
                      <w:rFonts w:ascii="Times New Roman" w:hAnsi="Times New Roman" w:eastAsia="宋体" w:cs="Times New Roman"/>
                      <w:b w:val="0"/>
                      <w:bCs w:val="0"/>
                      <w:szCs w:val="21"/>
                    </w:rPr>
                    <w:t xml:space="preserve">风向 </w:t>
                  </w:r>
                  <w:r>
                    <w:rPr>
                      <w:rFonts w:hint="eastAsia" w:ascii="Times New Roman" w:hAnsi="Times New Roman" w:eastAsia="宋体" w:cs="Times New Roman"/>
                      <w:b w:val="0"/>
                      <w:bCs w:val="0"/>
                      <w:szCs w:val="21"/>
                      <w:lang w:val="en-US" w:eastAsia="zh-CN"/>
                    </w:rPr>
                    <w:t>2</w:t>
                  </w:r>
                  <w:r>
                    <w:rPr>
                      <w:rFonts w:ascii="Times New Roman" w:hAnsi="Times New Roman" w:eastAsia="宋体" w:cs="Times New Roman"/>
                      <w:b w:val="0"/>
                      <w:bCs w:val="0"/>
                      <w:szCs w:val="21"/>
                    </w:rPr>
                    <w:t>#</w:t>
                  </w:r>
                </w:p>
              </w:tc>
              <w:tc>
                <w:tcPr>
                  <w:tcW w:w="1021" w:type="pct"/>
                  <w:vMerge w:val="continue"/>
                  <w:tcBorders>
                    <w:tl2br w:val="nil"/>
                    <w:tr2bl w:val="nil"/>
                  </w:tcBorders>
                  <w:vAlign w:val="center"/>
                </w:tcPr>
                <w:p>
                  <w:pPr>
                    <w:spacing w:line="276" w:lineRule="auto"/>
                    <w:jc w:val="center"/>
                    <w:rPr>
                      <w:rFonts w:ascii="Times New Roman" w:hAnsi="Times New Roman" w:eastAsia="宋体"/>
                      <w:b w:val="0"/>
                      <w:bCs w:val="0"/>
                      <w:color w:val="auto"/>
                      <w:szCs w:val="21"/>
                    </w:rPr>
                  </w:pPr>
                </w:p>
              </w:tc>
              <w:tc>
                <w:tcPr>
                  <w:tcW w:w="7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0.23 </w:t>
                  </w:r>
                </w:p>
              </w:tc>
              <w:tc>
                <w:tcPr>
                  <w:tcW w:w="7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0.25 </w:t>
                  </w:r>
                </w:p>
              </w:tc>
              <w:tc>
                <w:tcPr>
                  <w:tcW w:w="8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szCs w:val="21"/>
                    </w:rPr>
                    <w:t xml:space="preserve">厂界下风向 </w:t>
                  </w:r>
                  <w:r>
                    <w:rPr>
                      <w:rFonts w:hint="eastAsia" w:ascii="Times New Roman" w:hAnsi="Times New Roman" w:eastAsia="宋体" w:cs="Times New Roman"/>
                      <w:b w:val="0"/>
                      <w:bCs w:val="0"/>
                      <w:szCs w:val="21"/>
                      <w:lang w:val="en-US" w:eastAsia="zh-CN"/>
                    </w:rPr>
                    <w:t>3</w:t>
                  </w:r>
                  <w:r>
                    <w:rPr>
                      <w:rFonts w:ascii="Times New Roman" w:hAnsi="Times New Roman" w:eastAsia="宋体" w:cs="Times New Roman"/>
                      <w:b w:val="0"/>
                      <w:bCs w:val="0"/>
                      <w:szCs w:val="21"/>
                    </w:rPr>
                    <w:t>#</w:t>
                  </w:r>
                </w:p>
              </w:tc>
              <w:tc>
                <w:tcPr>
                  <w:tcW w:w="1021" w:type="pct"/>
                  <w:vMerge w:val="continue"/>
                  <w:tcBorders>
                    <w:tl2br w:val="nil"/>
                    <w:tr2bl w:val="nil"/>
                  </w:tcBorders>
                  <w:vAlign w:val="center"/>
                </w:tcPr>
                <w:p>
                  <w:pPr>
                    <w:spacing w:line="276" w:lineRule="auto"/>
                    <w:jc w:val="center"/>
                    <w:rPr>
                      <w:rFonts w:ascii="Times New Roman" w:hAnsi="Times New Roman" w:eastAsia="宋体"/>
                      <w:b w:val="0"/>
                      <w:bCs w:val="0"/>
                      <w:color w:val="auto"/>
                      <w:szCs w:val="21"/>
                    </w:rPr>
                  </w:pPr>
                </w:p>
              </w:tc>
              <w:tc>
                <w:tcPr>
                  <w:tcW w:w="7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0.26 </w:t>
                  </w:r>
                </w:p>
              </w:tc>
              <w:tc>
                <w:tcPr>
                  <w:tcW w:w="7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0.22 </w:t>
                  </w:r>
                </w:p>
              </w:tc>
              <w:tc>
                <w:tcPr>
                  <w:tcW w:w="8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szCs w:val="21"/>
                    </w:rPr>
                    <w:t>厂界</w:t>
                  </w:r>
                  <w:r>
                    <w:rPr>
                      <w:rFonts w:hint="eastAsia" w:ascii="Times New Roman" w:hAnsi="Times New Roman" w:eastAsia="宋体" w:cs="Times New Roman"/>
                      <w:b w:val="0"/>
                      <w:bCs w:val="0"/>
                      <w:szCs w:val="21"/>
                      <w:lang w:eastAsia="zh-CN"/>
                    </w:rPr>
                    <w:t>下</w:t>
                  </w:r>
                  <w:r>
                    <w:rPr>
                      <w:rFonts w:ascii="Times New Roman" w:hAnsi="Times New Roman" w:eastAsia="宋体" w:cs="Times New Roman"/>
                      <w:b w:val="0"/>
                      <w:bCs w:val="0"/>
                      <w:szCs w:val="21"/>
                    </w:rPr>
                    <w:t xml:space="preserve">风向 </w:t>
                  </w:r>
                  <w:r>
                    <w:rPr>
                      <w:rFonts w:hint="eastAsia" w:ascii="Times New Roman" w:hAnsi="Times New Roman" w:eastAsia="宋体" w:cs="Times New Roman"/>
                      <w:b w:val="0"/>
                      <w:bCs w:val="0"/>
                      <w:szCs w:val="21"/>
                      <w:lang w:val="en-US" w:eastAsia="zh-CN"/>
                    </w:rPr>
                    <w:t>1</w:t>
                  </w:r>
                  <w:r>
                    <w:rPr>
                      <w:rFonts w:ascii="Times New Roman" w:hAnsi="Times New Roman" w:eastAsia="宋体" w:cs="Times New Roman"/>
                      <w:b w:val="0"/>
                      <w:bCs w:val="0"/>
                      <w:szCs w:val="21"/>
                    </w:rPr>
                    <w:t>#</w:t>
                  </w:r>
                </w:p>
              </w:tc>
              <w:tc>
                <w:tcPr>
                  <w:tcW w:w="1021" w:type="pct"/>
                  <w:vMerge w:val="restart"/>
                  <w:tcBorders>
                    <w:tl2br w:val="nil"/>
                    <w:tr2bl w:val="nil"/>
                  </w:tcBorders>
                  <w:vAlign w:val="center"/>
                </w:tcPr>
                <w:p>
                  <w:pPr>
                    <w:spacing w:line="276" w:lineRule="auto"/>
                    <w:jc w:val="center"/>
                    <w:rPr>
                      <w:rFonts w:ascii="Times New Roman" w:hAnsi="Times New Roman" w:eastAsia="宋体"/>
                      <w:b w:val="0"/>
                      <w:bCs w:val="0"/>
                      <w:color w:val="auto"/>
                      <w:szCs w:val="21"/>
                    </w:rPr>
                  </w:pPr>
                  <w:r>
                    <w:rPr>
                      <w:rFonts w:hint="eastAsia" w:ascii="Times New Roman" w:hAnsi="Times New Roman" w:eastAsia="宋体"/>
                      <w:b w:val="0"/>
                      <w:bCs w:val="0"/>
                      <w:color w:val="auto"/>
                      <w:szCs w:val="21"/>
                    </w:rPr>
                    <w:t>20</w:t>
                  </w:r>
                  <w:r>
                    <w:rPr>
                      <w:rFonts w:hint="eastAsia" w:ascii="Times New Roman" w:hAnsi="Times New Roman" w:eastAsia="宋体"/>
                      <w:b w:val="0"/>
                      <w:bCs w:val="0"/>
                      <w:color w:val="auto"/>
                      <w:szCs w:val="21"/>
                      <w:lang w:val="en-US" w:eastAsia="zh-CN"/>
                    </w:rPr>
                    <w:t>21</w:t>
                  </w:r>
                  <w:r>
                    <w:rPr>
                      <w:rFonts w:hint="eastAsia" w:ascii="Times New Roman" w:hAnsi="Times New Roman" w:eastAsia="宋体"/>
                      <w:b w:val="0"/>
                      <w:bCs w:val="0"/>
                      <w:color w:val="auto"/>
                      <w:szCs w:val="21"/>
                    </w:rPr>
                    <w:t>年</w:t>
                  </w:r>
                  <w:r>
                    <w:rPr>
                      <w:rFonts w:hint="eastAsia" w:ascii="Times New Roman" w:hAnsi="Times New Roman" w:eastAsia="宋体"/>
                      <w:b w:val="0"/>
                      <w:bCs w:val="0"/>
                      <w:color w:val="auto"/>
                      <w:szCs w:val="21"/>
                      <w:lang w:val="en-US" w:eastAsia="zh-CN"/>
                    </w:rPr>
                    <w:t>1</w:t>
                  </w:r>
                  <w:r>
                    <w:rPr>
                      <w:rFonts w:hint="eastAsia" w:ascii="Times New Roman" w:hAnsi="Times New Roman" w:eastAsia="宋体"/>
                      <w:b w:val="0"/>
                      <w:bCs w:val="0"/>
                      <w:color w:val="auto"/>
                      <w:szCs w:val="21"/>
                    </w:rPr>
                    <w:t>月</w:t>
                  </w:r>
                  <w:r>
                    <w:rPr>
                      <w:rFonts w:hint="eastAsia" w:ascii="Times New Roman" w:hAnsi="Times New Roman" w:eastAsia="宋体"/>
                      <w:b w:val="0"/>
                      <w:bCs w:val="0"/>
                      <w:color w:val="auto"/>
                      <w:szCs w:val="21"/>
                      <w:lang w:val="en-US" w:eastAsia="zh-CN"/>
                    </w:rPr>
                    <w:t>17</w:t>
                  </w:r>
                  <w:r>
                    <w:rPr>
                      <w:rFonts w:hint="eastAsia" w:ascii="Times New Roman" w:hAnsi="Times New Roman" w:eastAsia="宋体"/>
                      <w:b w:val="0"/>
                      <w:bCs w:val="0"/>
                      <w:color w:val="auto"/>
                      <w:szCs w:val="21"/>
                    </w:rPr>
                    <w:t>日</w:t>
                  </w:r>
                </w:p>
              </w:tc>
              <w:tc>
                <w:tcPr>
                  <w:tcW w:w="7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0.25 </w:t>
                  </w:r>
                </w:p>
              </w:tc>
              <w:tc>
                <w:tcPr>
                  <w:tcW w:w="7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0.18 </w:t>
                  </w:r>
                </w:p>
              </w:tc>
              <w:tc>
                <w:tcPr>
                  <w:tcW w:w="83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szCs w:val="21"/>
                    </w:rPr>
                    <w:t>厂界</w:t>
                  </w:r>
                  <w:r>
                    <w:rPr>
                      <w:rFonts w:hint="eastAsia" w:ascii="Times New Roman" w:hAnsi="Times New Roman" w:eastAsia="宋体" w:cs="Times New Roman"/>
                      <w:b w:val="0"/>
                      <w:bCs w:val="0"/>
                      <w:szCs w:val="21"/>
                      <w:lang w:eastAsia="zh-CN"/>
                    </w:rPr>
                    <w:t>下</w:t>
                  </w:r>
                  <w:r>
                    <w:rPr>
                      <w:rFonts w:ascii="Times New Roman" w:hAnsi="Times New Roman" w:eastAsia="宋体" w:cs="Times New Roman"/>
                      <w:b w:val="0"/>
                      <w:bCs w:val="0"/>
                      <w:szCs w:val="21"/>
                    </w:rPr>
                    <w:t xml:space="preserve">风向 </w:t>
                  </w:r>
                  <w:r>
                    <w:rPr>
                      <w:rFonts w:hint="eastAsia" w:ascii="Times New Roman" w:hAnsi="Times New Roman" w:eastAsia="宋体" w:cs="Times New Roman"/>
                      <w:b w:val="0"/>
                      <w:bCs w:val="0"/>
                      <w:szCs w:val="21"/>
                      <w:lang w:val="en-US" w:eastAsia="zh-CN"/>
                    </w:rPr>
                    <w:t>2</w:t>
                  </w:r>
                  <w:r>
                    <w:rPr>
                      <w:rFonts w:ascii="Times New Roman" w:hAnsi="Times New Roman" w:eastAsia="宋体" w:cs="Times New Roman"/>
                      <w:b w:val="0"/>
                      <w:bCs w:val="0"/>
                      <w:szCs w:val="21"/>
                    </w:rPr>
                    <w:t>#</w:t>
                  </w:r>
                </w:p>
              </w:tc>
              <w:tc>
                <w:tcPr>
                  <w:tcW w:w="1021" w:type="pct"/>
                  <w:vMerge w:val="continue"/>
                  <w:tcBorders>
                    <w:tl2br w:val="nil"/>
                    <w:tr2bl w:val="nil"/>
                  </w:tcBorders>
                  <w:vAlign w:val="center"/>
                </w:tcPr>
                <w:p>
                  <w:pPr>
                    <w:spacing w:line="276" w:lineRule="auto"/>
                    <w:jc w:val="center"/>
                    <w:rPr>
                      <w:rFonts w:ascii="Times New Roman" w:hAnsi="Times New Roman" w:eastAsia="宋体"/>
                      <w:b w:val="0"/>
                      <w:bCs w:val="0"/>
                      <w:color w:val="auto"/>
                      <w:szCs w:val="21"/>
                    </w:rPr>
                  </w:pPr>
                </w:p>
              </w:tc>
              <w:tc>
                <w:tcPr>
                  <w:tcW w:w="7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0.20 </w:t>
                  </w:r>
                </w:p>
              </w:tc>
              <w:tc>
                <w:tcPr>
                  <w:tcW w:w="7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0.27 </w:t>
                  </w:r>
                </w:p>
              </w:tc>
              <w:tc>
                <w:tcPr>
                  <w:tcW w:w="83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0" w:type="pct"/>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szCs w:val="21"/>
                    </w:rPr>
                    <w:t xml:space="preserve">厂界下风向 </w:t>
                  </w:r>
                  <w:r>
                    <w:rPr>
                      <w:rFonts w:hint="eastAsia" w:ascii="Times New Roman" w:hAnsi="Times New Roman" w:eastAsia="宋体" w:cs="Times New Roman"/>
                      <w:b w:val="0"/>
                      <w:bCs w:val="0"/>
                      <w:szCs w:val="21"/>
                      <w:lang w:val="en-US" w:eastAsia="zh-CN"/>
                    </w:rPr>
                    <w:t>3</w:t>
                  </w:r>
                  <w:r>
                    <w:rPr>
                      <w:rFonts w:ascii="Times New Roman" w:hAnsi="Times New Roman" w:eastAsia="宋体" w:cs="Times New Roman"/>
                      <w:b w:val="0"/>
                      <w:bCs w:val="0"/>
                      <w:szCs w:val="21"/>
                    </w:rPr>
                    <w:t>#</w:t>
                  </w:r>
                </w:p>
              </w:tc>
              <w:tc>
                <w:tcPr>
                  <w:tcW w:w="1021" w:type="pct"/>
                  <w:vMerge w:val="continue"/>
                  <w:tcBorders>
                    <w:tl2br w:val="nil"/>
                    <w:tr2bl w:val="nil"/>
                  </w:tcBorders>
                  <w:vAlign w:val="center"/>
                </w:tcPr>
                <w:p>
                  <w:pPr>
                    <w:spacing w:line="276" w:lineRule="auto"/>
                    <w:jc w:val="center"/>
                    <w:rPr>
                      <w:rFonts w:ascii="Times New Roman" w:hAnsi="Times New Roman" w:eastAsia="宋体"/>
                      <w:b w:val="0"/>
                      <w:bCs w:val="0"/>
                      <w:color w:val="auto"/>
                      <w:szCs w:val="21"/>
                    </w:rPr>
                  </w:pPr>
                </w:p>
              </w:tc>
              <w:tc>
                <w:tcPr>
                  <w:tcW w:w="7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0.23 </w:t>
                  </w:r>
                </w:p>
              </w:tc>
              <w:tc>
                <w:tcPr>
                  <w:tcW w:w="7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0.22 </w:t>
                  </w:r>
                </w:p>
              </w:tc>
              <w:tc>
                <w:tcPr>
                  <w:tcW w:w="83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0.22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2" w:type="pct"/>
                  <w:gridSpan w:val="2"/>
                  <w:tcBorders>
                    <w:tl2br w:val="nil"/>
                    <w:tr2bl w:val="nil"/>
                  </w:tcBorders>
                  <w:vAlign w:val="center"/>
                </w:tcPr>
                <w:p>
                  <w:pPr>
                    <w:widowControl/>
                    <w:spacing w:line="276" w:lineRule="auto"/>
                    <w:contextualSpacing/>
                    <w:jc w:val="center"/>
                    <w:rPr>
                      <w:rFonts w:ascii="Times New Roman" w:hAnsi="Times New Roman" w:eastAsia="宋体"/>
                      <w:b w:val="0"/>
                      <w:bCs w:val="0"/>
                      <w:color w:val="auto"/>
                      <w:szCs w:val="21"/>
                    </w:rPr>
                  </w:pPr>
                  <w:r>
                    <w:rPr>
                      <w:rFonts w:hint="eastAsia" w:ascii="Times New Roman" w:hAnsi="Times New Roman" w:eastAsia="宋体"/>
                      <w:b w:val="0"/>
                      <w:bCs w:val="0"/>
                      <w:color w:val="auto"/>
                      <w:szCs w:val="21"/>
                    </w:rPr>
                    <w:t>执行标准</w:t>
                  </w:r>
                </w:p>
              </w:tc>
              <w:tc>
                <w:tcPr>
                  <w:tcW w:w="2387" w:type="pct"/>
                  <w:gridSpan w:val="3"/>
                  <w:tcBorders>
                    <w:tl2br w:val="nil"/>
                    <w:tr2bl w:val="nil"/>
                  </w:tcBorders>
                  <w:vAlign w:val="center"/>
                </w:tcPr>
                <w:p>
                  <w:pPr>
                    <w:tabs>
                      <w:tab w:val="left" w:pos="3163"/>
                    </w:tabs>
                    <w:spacing w:line="276" w:lineRule="auto"/>
                    <w:contextualSpacing/>
                    <w:jc w:val="center"/>
                    <w:rPr>
                      <w:rFonts w:hint="default"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2" w:type="pct"/>
                  <w:gridSpan w:val="2"/>
                  <w:tcBorders>
                    <w:tl2br w:val="nil"/>
                    <w:tr2bl w:val="nil"/>
                  </w:tcBorders>
                  <w:vAlign w:val="center"/>
                </w:tcPr>
                <w:p>
                  <w:pPr>
                    <w:widowControl/>
                    <w:spacing w:line="276" w:lineRule="auto"/>
                    <w:contextualSpacing/>
                    <w:jc w:val="center"/>
                    <w:rPr>
                      <w:rFonts w:ascii="Times New Roman" w:hAnsi="Times New Roman" w:eastAsia="宋体"/>
                      <w:b w:val="0"/>
                      <w:bCs w:val="0"/>
                      <w:color w:val="auto"/>
                      <w:szCs w:val="21"/>
                    </w:rPr>
                  </w:pPr>
                  <w:r>
                    <w:rPr>
                      <w:rFonts w:hint="eastAsia" w:ascii="Times New Roman" w:hAnsi="Times New Roman" w:eastAsia="宋体"/>
                      <w:b w:val="0"/>
                      <w:bCs w:val="0"/>
                      <w:color w:val="auto"/>
                      <w:szCs w:val="21"/>
                    </w:rPr>
                    <w:t>达标情况</w:t>
                  </w:r>
                </w:p>
              </w:tc>
              <w:tc>
                <w:tcPr>
                  <w:tcW w:w="2387" w:type="pct"/>
                  <w:gridSpan w:val="3"/>
                  <w:tcBorders>
                    <w:tl2br w:val="nil"/>
                    <w:tr2bl w:val="nil"/>
                  </w:tcBorders>
                  <w:vAlign w:val="center"/>
                </w:tcPr>
                <w:p>
                  <w:pPr>
                    <w:tabs>
                      <w:tab w:val="left" w:pos="3163"/>
                    </w:tabs>
                    <w:spacing w:line="276" w:lineRule="auto"/>
                    <w:contextualSpacing/>
                    <w:jc w:val="center"/>
                    <w:rPr>
                      <w:rFonts w:ascii="Times New Roman" w:hAnsi="Times New Roman" w:eastAsia="宋体"/>
                      <w:b w:val="0"/>
                      <w:bCs w:val="0"/>
                      <w:color w:val="auto"/>
                      <w:szCs w:val="21"/>
                    </w:rPr>
                  </w:pPr>
                  <w:r>
                    <w:rPr>
                      <w:rFonts w:hint="eastAsia" w:ascii="Times New Roman" w:hAnsi="Times New Roman" w:eastAsia="宋体"/>
                      <w:b w:val="0"/>
                      <w:bCs w:val="0"/>
                      <w:color w:val="auto"/>
                      <w:szCs w:val="21"/>
                    </w:rPr>
                    <w:t>达标</w:t>
                  </w:r>
                </w:p>
              </w:tc>
            </w:tr>
          </w:tbl>
          <w:p>
            <w:pPr>
              <w:spacing w:line="360" w:lineRule="auto"/>
              <w:ind w:firstLine="480" w:firstLineChars="200"/>
              <w:rPr>
                <w:rFonts w:ascii="Times New Roman" w:hAnsi="Times New Roman" w:eastAsia="宋体"/>
                <w:color w:val="auto"/>
                <w:kern w:val="0"/>
                <w:sz w:val="24"/>
              </w:rPr>
            </w:pPr>
            <w:r>
              <w:rPr>
                <w:rFonts w:hint="eastAsia" w:ascii="Times New Roman" w:hAnsi="Times New Roman" w:eastAsia="宋体"/>
                <w:color w:val="auto"/>
                <w:kern w:val="0"/>
                <w:sz w:val="24"/>
              </w:rPr>
              <w:t>监测结果表明，厂界无组织排放的颗粒物排放浓度满足《大气污染物综合排放标准》（</w:t>
            </w:r>
            <w:r>
              <w:rPr>
                <w:rFonts w:hint="eastAsia" w:ascii="Times New Roman" w:hAnsi="Times New Roman" w:eastAsia="宋体"/>
                <w:color w:val="auto"/>
                <w:kern w:val="0"/>
                <w:sz w:val="24"/>
                <w:lang w:val="en-US" w:eastAsia="zh-CN"/>
              </w:rPr>
              <w:t>DB32/4041-2021</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val="en-US" w:eastAsia="zh-CN"/>
              </w:rPr>
              <w:t>相关</w:t>
            </w:r>
            <w:r>
              <w:rPr>
                <w:rFonts w:hint="eastAsia" w:ascii="Times New Roman" w:hAnsi="Times New Roman" w:eastAsia="宋体"/>
                <w:color w:val="auto"/>
                <w:kern w:val="0"/>
                <w:sz w:val="24"/>
              </w:rPr>
              <w:t>标准。</w:t>
            </w:r>
          </w:p>
          <w:p>
            <w:pPr>
              <w:spacing w:line="360" w:lineRule="auto"/>
              <w:ind w:firstLine="480" w:firstLineChars="200"/>
              <w:rPr>
                <w:rFonts w:ascii="Times New Roman" w:hAnsi="Times New Roman" w:eastAsia="宋体"/>
                <w:color w:val="auto"/>
                <w:kern w:val="0"/>
                <w:sz w:val="24"/>
              </w:rPr>
            </w:pPr>
            <w:r>
              <w:rPr>
                <w:rFonts w:hint="eastAsia" w:ascii="Times New Roman" w:hAnsi="Times New Roman" w:eastAsia="宋体"/>
                <w:color w:val="auto"/>
                <w:kern w:val="0"/>
                <w:sz w:val="24"/>
              </w:rPr>
              <w:t>3、固废</w:t>
            </w:r>
          </w:p>
          <w:p>
            <w:pPr>
              <w:spacing w:line="360" w:lineRule="auto"/>
              <w:ind w:firstLine="480" w:firstLineChars="200"/>
              <w:rPr>
                <w:rFonts w:hint="eastAsia" w:ascii="Times New Roman" w:hAnsi="Times New Roman" w:eastAsia="宋体"/>
                <w:bCs/>
                <w:color w:val="auto"/>
                <w:kern w:val="0"/>
                <w:sz w:val="24"/>
              </w:rPr>
            </w:pPr>
            <w:r>
              <w:rPr>
                <w:rFonts w:hint="eastAsia" w:ascii="Times New Roman" w:hAnsi="Times New Roman" w:eastAsia="宋体"/>
                <w:color w:val="auto"/>
                <w:kern w:val="0"/>
                <w:sz w:val="24"/>
              </w:rPr>
              <w:t>现有项目</w:t>
            </w:r>
            <w:r>
              <w:rPr>
                <w:rFonts w:hint="eastAsia" w:ascii="Times New Roman" w:hAnsi="Times New Roman" w:eastAsia="宋体"/>
                <w:color w:val="auto"/>
                <w:kern w:val="0"/>
                <w:sz w:val="24"/>
                <w:lang w:val="en-US" w:eastAsia="zh-CN"/>
              </w:rPr>
              <w:t>运营过程产生的边角料收集后外售，废焊渣、除尘灰和生活垃圾及废包装物委托环卫清运；废润滑油和切削液委托有资质单位进行处理</w:t>
            </w:r>
            <w:r>
              <w:rPr>
                <w:rFonts w:hint="eastAsia" w:ascii="Times New Roman" w:hAnsi="Times New Roman" w:eastAsia="宋体"/>
                <w:color w:val="auto"/>
                <w:kern w:val="0"/>
                <w:sz w:val="24"/>
              </w:rPr>
              <w:t>。</w:t>
            </w:r>
            <w:r>
              <w:rPr>
                <w:rFonts w:hint="eastAsia" w:ascii="Times New Roman" w:hAnsi="Times New Roman" w:eastAsia="宋体"/>
                <w:bCs/>
                <w:color w:val="auto"/>
                <w:kern w:val="0"/>
                <w:sz w:val="24"/>
              </w:rPr>
              <w:t>综上，现有项目固废实现零排放。</w:t>
            </w:r>
          </w:p>
          <w:p>
            <w:pPr>
              <w:ind w:firstLine="465"/>
              <w:jc w:val="center"/>
              <w:rPr>
                <w:rFonts w:hint="eastAsia"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表</w:t>
            </w:r>
            <w:r>
              <w:rPr>
                <w:rFonts w:hint="eastAsia" w:ascii="Times New Roman" w:hAnsi="Times New Roman" w:eastAsia="宋体"/>
                <w:b/>
                <w:bCs/>
                <w:color w:val="000000" w:themeColor="text1"/>
                <w14:textFill>
                  <w14:solidFill>
                    <w14:schemeClr w14:val="tx1"/>
                  </w14:solidFill>
                </w14:textFill>
              </w:rPr>
              <w:t>2</w:t>
            </w:r>
            <w:r>
              <w:rPr>
                <w:rFonts w:ascii="Times New Roman" w:hAnsi="Times New Roman" w:eastAsia="宋体"/>
                <w:b/>
                <w:bCs/>
                <w:color w:val="000000" w:themeColor="text1"/>
                <w14:textFill>
                  <w14:solidFill>
                    <w14:schemeClr w14:val="tx1"/>
                  </w14:solidFill>
                </w14:textFill>
              </w:rPr>
              <w:t>-</w:t>
            </w:r>
            <w:r>
              <w:rPr>
                <w:rFonts w:hint="eastAsia" w:ascii="Times New Roman" w:hAnsi="Times New Roman" w:eastAsia="宋体"/>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7</w:t>
            </w:r>
            <w:r>
              <w:rPr>
                <w:rFonts w:hint="eastAsia" w:ascii="Times New Roman" w:hAnsi="Times New Roman" w:eastAsia="宋体"/>
                <w:b/>
                <w:bCs/>
                <w:color w:val="000000" w:themeColor="text1"/>
                <w14:textFill>
                  <w14:solidFill>
                    <w14:schemeClr w14:val="tx1"/>
                  </w14:solidFill>
                </w14:textFill>
              </w:rPr>
              <w:t>现有项目固废产排情况</w:t>
            </w:r>
          </w:p>
          <w:tbl>
            <w:tblPr>
              <w:tblStyle w:val="21"/>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7"/>
              <w:gridCol w:w="855"/>
              <w:gridCol w:w="1263"/>
              <w:gridCol w:w="1234"/>
              <w:gridCol w:w="1303"/>
              <w:gridCol w:w="1259"/>
              <w:gridCol w:w="21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3"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序号</w:t>
                  </w:r>
                </w:p>
              </w:tc>
              <w:tc>
                <w:tcPr>
                  <w:tcW w:w="516"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名称</w:t>
                  </w:r>
                </w:p>
              </w:tc>
              <w:tc>
                <w:tcPr>
                  <w:tcW w:w="762"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废物类别</w:t>
                  </w:r>
                </w:p>
              </w:tc>
              <w:tc>
                <w:tcPr>
                  <w:tcW w:w="745"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废物代码</w:t>
                  </w:r>
                </w:p>
              </w:tc>
              <w:tc>
                <w:tcPr>
                  <w:tcW w:w="786"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实际产生量（</w:t>
                  </w:r>
                  <w:r>
                    <w:rPr>
                      <w:rStyle w:val="43"/>
                      <w:rFonts w:hint="default" w:ascii="Times New Roman" w:hAnsi="Times New Roman" w:eastAsia="宋体" w:cs="Times New Roman"/>
                      <w:color w:val="auto"/>
                      <w:sz w:val="21"/>
                      <w:szCs w:val="21"/>
                      <w:lang w:val="en-US" w:eastAsia="zh-CN" w:bidi="ar"/>
                    </w:rPr>
                    <w:t>t/a</w:t>
                  </w:r>
                  <w:r>
                    <w:rPr>
                      <w:rStyle w:val="42"/>
                      <w:rFonts w:hint="default" w:ascii="Times New Roman" w:hAnsi="Times New Roman" w:eastAsia="宋体" w:cs="Times New Roman"/>
                      <w:color w:val="auto"/>
                      <w:sz w:val="21"/>
                      <w:szCs w:val="21"/>
                      <w:lang w:val="en-US" w:eastAsia="zh-CN" w:bidi="ar"/>
                    </w:rPr>
                    <w:t>）</w:t>
                  </w:r>
                </w:p>
              </w:tc>
              <w:tc>
                <w:tcPr>
                  <w:tcW w:w="76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存储方式</w:t>
                  </w:r>
                </w:p>
              </w:tc>
              <w:tc>
                <w:tcPr>
                  <w:tcW w:w="1285"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实际处理处置方式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4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516"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762"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74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786"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76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128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16" w:type="pct"/>
                  <w:tcBorders>
                    <w:tl2br w:val="nil"/>
                    <w:tr2bl w:val="nil"/>
                  </w:tcBorders>
                  <w:noWrap w:val="0"/>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rPr>
                    <w:t>边角料</w:t>
                  </w:r>
                </w:p>
              </w:tc>
              <w:tc>
                <w:tcPr>
                  <w:tcW w:w="762"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4"/>
                      <w:rFonts w:hint="default" w:ascii="Times New Roman" w:hAnsi="Times New Roman" w:eastAsia="宋体" w:cs="Times New Roman"/>
                      <w:color w:val="auto"/>
                      <w:sz w:val="21"/>
                      <w:szCs w:val="21"/>
                      <w:lang w:val="en-US" w:eastAsia="zh-CN" w:bidi="ar"/>
                    </w:rPr>
                    <w:t>一般固废</w:t>
                  </w:r>
                </w:p>
              </w:tc>
              <w:tc>
                <w:tcPr>
                  <w:tcW w:w="7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78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sz w:val="21"/>
                      <w:szCs w:val="21"/>
                      <w:u w:val="none"/>
                      <w:lang w:val="en-US" w:eastAsia="zh-CN"/>
                    </w:rPr>
                    <w:t>62</w:t>
                  </w:r>
                </w:p>
              </w:tc>
              <w:tc>
                <w:tcPr>
                  <w:tcW w:w="76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kern w:val="0"/>
                      <w:sz w:val="21"/>
                      <w:szCs w:val="21"/>
                      <w:u w:val="none"/>
                      <w:lang w:val="en-US" w:eastAsia="zh-CN" w:bidi="ar"/>
                    </w:rPr>
                    <w:t>暂存于一般固废堆场</w:t>
                  </w:r>
                </w:p>
              </w:tc>
              <w:tc>
                <w:tcPr>
                  <w:tcW w:w="1285"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r>
                    <w:rPr>
                      <w:rStyle w:val="45"/>
                      <w:rFonts w:hint="eastAsia" w:ascii="Times New Roman" w:hAnsi="Times New Roman" w:eastAsia="宋体" w:cs="Times New Roman"/>
                      <w:color w:val="auto"/>
                      <w:sz w:val="21"/>
                      <w:szCs w:val="21"/>
                      <w:lang w:val="en-US" w:eastAsia="zh-CN" w:bidi="ar"/>
                    </w:rPr>
                    <w:t>边角料外售，焊渣、除尘灰委托环卫清运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516" w:type="pct"/>
                  <w:tcBorders>
                    <w:tl2br w:val="nil"/>
                    <w:tr2bl w:val="nil"/>
                  </w:tcBorders>
                  <w:noWrap w:val="0"/>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rPr>
                    <w:t>焊渣</w:t>
                  </w:r>
                </w:p>
              </w:tc>
              <w:tc>
                <w:tcPr>
                  <w:tcW w:w="762"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default" w:ascii="Times New Roman" w:hAnsi="Times New Roman" w:eastAsia="宋体" w:cs="Times New Roman"/>
                      <w:color w:val="auto"/>
                      <w:sz w:val="21"/>
                      <w:szCs w:val="21"/>
                      <w:lang w:val="en-US" w:eastAsia="zh-CN" w:bidi="ar"/>
                    </w:rPr>
                    <w:t>一般固废</w:t>
                  </w:r>
                </w:p>
              </w:tc>
              <w:tc>
                <w:tcPr>
                  <w:tcW w:w="7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78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sz w:val="21"/>
                      <w:szCs w:val="21"/>
                      <w:u w:val="none"/>
                      <w:lang w:val="en-US" w:eastAsia="zh-CN"/>
                    </w:rPr>
                    <w:t>0.75</w:t>
                  </w:r>
                </w:p>
              </w:tc>
              <w:tc>
                <w:tcPr>
                  <w:tcW w:w="76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c>
                <w:tcPr>
                  <w:tcW w:w="128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51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lang w:eastAsia="zh-CN"/>
                    </w:rPr>
                    <w:t>除尘灰</w:t>
                  </w:r>
                </w:p>
              </w:tc>
              <w:tc>
                <w:tcPr>
                  <w:tcW w:w="7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default" w:ascii="Times New Roman" w:hAnsi="Times New Roman" w:eastAsia="宋体" w:cs="Times New Roman"/>
                      <w:color w:val="auto"/>
                      <w:sz w:val="21"/>
                      <w:szCs w:val="21"/>
                      <w:lang w:val="en-US" w:eastAsia="zh-CN" w:bidi="ar"/>
                    </w:rPr>
                    <w:t>一般固废</w:t>
                  </w:r>
                </w:p>
              </w:tc>
              <w:tc>
                <w:tcPr>
                  <w:tcW w:w="74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78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w:t>
                  </w:r>
                </w:p>
              </w:tc>
              <w:tc>
                <w:tcPr>
                  <w:tcW w:w="76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p>
              </w:tc>
              <w:tc>
                <w:tcPr>
                  <w:tcW w:w="1285"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w:t>
                  </w:r>
                </w:p>
              </w:tc>
              <w:tc>
                <w:tcPr>
                  <w:tcW w:w="51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lang w:eastAsia="zh-CN"/>
                    </w:rPr>
                    <w:t>生活垃圾</w:t>
                  </w:r>
                </w:p>
              </w:tc>
              <w:tc>
                <w:tcPr>
                  <w:tcW w:w="7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default" w:ascii="Times New Roman" w:hAnsi="Times New Roman" w:eastAsia="宋体" w:cs="Times New Roman"/>
                      <w:color w:val="auto"/>
                      <w:sz w:val="21"/>
                      <w:szCs w:val="21"/>
                      <w:lang w:val="en-US" w:eastAsia="zh-CN" w:bidi="ar"/>
                    </w:rPr>
                    <w:t>一般固废</w:t>
                  </w:r>
                </w:p>
              </w:tc>
              <w:tc>
                <w:tcPr>
                  <w:tcW w:w="74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78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8.1</w:t>
                  </w:r>
                </w:p>
              </w:tc>
              <w:tc>
                <w:tcPr>
                  <w:tcW w:w="76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c>
                <w:tcPr>
                  <w:tcW w:w="1285"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w:t>
                  </w:r>
                </w:p>
              </w:tc>
              <w:tc>
                <w:tcPr>
                  <w:tcW w:w="51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lang w:eastAsia="zh-CN"/>
                    </w:rPr>
                    <w:t>废切削液</w:t>
                  </w:r>
                </w:p>
              </w:tc>
              <w:tc>
                <w:tcPr>
                  <w:tcW w:w="7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eastAsia" w:ascii="Times New Roman" w:hAnsi="Times New Roman" w:eastAsia="宋体" w:cs="Times New Roman"/>
                      <w:color w:val="auto"/>
                      <w:sz w:val="21"/>
                      <w:szCs w:val="21"/>
                      <w:lang w:val="en-US" w:eastAsia="zh-CN" w:bidi="ar"/>
                    </w:rPr>
                    <w:t>危险固废</w:t>
                  </w:r>
                </w:p>
              </w:tc>
              <w:tc>
                <w:tcPr>
                  <w:tcW w:w="74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900-006-09</w:t>
                  </w:r>
                </w:p>
              </w:tc>
              <w:tc>
                <w:tcPr>
                  <w:tcW w:w="78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sz w:val="21"/>
                      <w:szCs w:val="21"/>
                      <w:u w:val="none"/>
                      <w:lang w:val="en-US" w:eastAsia="zh-CN"/>
                    </w:rPr>
                    <w:t>0.08</w:t>
                  </w:r>
                </w:p>
              </w:tc>
              <w:tc>
                <w:tcPr>
                  <w:tcW w:w="760"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存放于危废仓库</w:t>
                  </w:r>
                </w:p>
              </w:tc>
              <w:tc>
                <w:tcPr>
                  <w:tcW w:w="1285" w:type="pct"/>
                  <w:vMerge w:val="restar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eastAsia="zh-CN"/>
                    </w:rPr>
                    <w:t>委托</w:t>
                  </w:r>
                  <w:r>
                    <w:rPr>
                      <w:rFonts w:hint="eastAsia" w:ascii="Times New Roman" w:hAnsi="Times New Roman" w:eastAsia="宋体" w:cs="Times New Roman"/>
                      <w:i w:val="0"/>
                      <w:color w:val="auto"/>
                      <w:sz w:val="21"/>
                      <w:szCs w:val="21"/>
                      <w:u w:val="none"/>
                      <w:lang w:val="en-US" w:eastAsia="zh-CN"/>
                    </w:rPr>
                    <w:t>江苏众时环境科技有限公司处置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w:t>
                  </w:r>
                </w:p>
              </w:tc>
              <w:tc>
                <w:tcPr>
                  <w:tcW w:w="51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olor w:val="auto"/>
                      <w:sz w:val="21"/>
                      <w:szCs w:val="21"/>
                    </w:rPr>
                    <w:t>废润滑油</w:t>
                  </w:r>
                </w:p>
              </w:tc>
              <w:tc>
                <w:tcPr>
                  <w:tcW w:w="7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r>
                    <w:rPr>
                      <w:rStyle w:val="45"/>
                      <w:rFonts w:hint="eastAsia" w:ascii="Times New Roman" w:hAnsi="Times New Roman" w:eastAsia="宋体" w:cs="Times New Roman"/>
                      <w:color w:val="auto"/>
                      <w:sz w:val="21"/>
                      <w:szCs w:val="21"/>
                      <w:lang w:val="en-US" w:eastAsia="zh-CN" w:bidi="ar"/>
                    </w:rPr>
                    <w:t>危险固废</w:t>
                  </w:r>
                </w:p>
              </w:tc>
              <w:tc>
                <w:tcPr>
                  <w:tcW w:w="74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900-2</w:t>
                  </w:r>
                  <w:r>
                    <w:rPr>
                      <w:rFonts w:hint="eastAsia" w:ascii="Times New Roman" w:hAnsi="Times New Roman" w:eastAsia="宋体" w:cs="Times New Roman"/>
                      <w:i w:val="0"/>
                      <w:color w:val="auto"/>
                      <w:sz w:val="21"/>
                      <w:szCs w:val="21"/>
                      <w:u w:val="none"/>
                      <w:lang w:val="en-US" w:eastAsia="zh-CN"/>
                    </w:rPr>
                    <w:t>49-08</w:t>
                  </w:r>
                </w:p>
              </w:tc>
              <w:tc>
                <w:tcPr>
                  <w:tcW w:w="78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sz w:val="21"/>
                      <w:szCs w:val="21"/>
                      <w:u w:val="none"/>
                      <w:lang w:val="en-US" w:eastAsia="zh-CN"/>
                    </w:rPr>
                    <w:t>0.25</w:t>
                  </w:r>
                </w:p>
              </w:tc>
              <w:tc>
                <w:tcPr>
                  <w:tcW w:w="76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1285"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bl>
          <w:p>
            <w:pPr>
              <w:spacing w:line="360" w:lineRule="auto"/>
              <w:ind w:firstLine="480" w:firstLineChars="200"/>
              <w:rPr>
                <w:rFonts w:hint="eastAsia" w:ascii="Times New Roman" w:hAnsi="Times New Roman" w:eastAsia="宋体"/>
                <w:bCs/>
                <w:color w:val="auto"/>
                <w:kern w:val="0"/>
                <w:sz w:val="24"/>
              </w:rPr>
            </w:pPr>
            <w:r>
              <w:rPr>
                <w:rFonts w:hint="eastAsia" w:ascii="Times New Roman" w:hAnsi="Times New Roman" w:eastAsia="宋体"/>
                <w:bCs/>
                <w:color w:val="auto"/>
                <w:kern w:val="0"/>
                <w:sz w:val="24"/>
              </w:rPr>
              <w:t>4、噪声</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公司现有项目噪声源主要</w:t>
            </w:r>
            <w:r>
              <w:rPr>
                <w:rFonts w:hint="eastAsia" w:ascii="Times New Roman" w:hAnsi="Times New Roman" w:eastAsia="宋体"/>
                <w:color w:val="auto"/>
                <w:sz w:val="24"/>
              </w:rPr>
              <w:t>来源于</w:t>
            </w:r>
            <w:r>
              <w:rPr>
                <w:rFonts w:ascii="Times New Roman" w:hAnsi="Times New Roman" w:eastAsia="宋体"/>
                <w:color w:val="auto"/>
                <w:sz w:val="24"/>
              </w:rPr>
              <w:t>生产</w:t>
            </w:r>
            <w:r>
              <w:rPr>
                <w:rFonts w:hint="eastAsia" w:ascii="Times New Roman" w:hAnsi="Times New Roman" w:eastAsia="宋体"/>
                <w:color w:val="auto"/>
                <w:sz w:val="24"/>
              </w:rPr>
              <w:t>设备</w:t>
            </w:r>
            <w:r>
              <w:rPr>
                <w:rFonts w:ascii="Times New Roman" w:hAnsi="Times New Roman" w:eastAsia="宋体"/>
                <w:color w:val="auto"/>
                <w:sz w:val="24"/>
              </w:rPr>
              <w:t>等设备运行噪声，噪声源强≤90dB(A)，经厂区合理布置，并采取相应的防噪、降噪措施后，厂界噪声影响值符合《工业企业厂界环境噪声排放标准》中</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rPr>
              <w:t>类</w:t>
            </w:r>
            <w:r>
              <w:rPr>
                <w:rFonts w:ascii="Times New Roman" w:hAnsi="Times New Roman" w:eastAsia="宋体"/>
                <w:color w:val="auto"/>
                <w:sz w:val="24"/>
              </w:rPr>
              <w:t>标准要求</w:t>
            </w:r>
            <w:r>
              <w:rPr>
                <w:rFonts w:hint="eastAsia" w:ascii="Times New Roman" w:hAnsi="Times New Roman" w:eastAsia="宋体"/>
                <w:color w:val="auto"/>
                <w:sz w:val="24"/>
              </w:rPr>
              <w:t>，</w:t>
            </w:r>
            <w:r>
              <w:rPr>
                <w:rFonts w:ascii="Times New Roman" w:hAnsi="Times New Roman" w:eastAsia="宋体"/>
                <w:color w:val="auto"/>
                <w:sz w:val="24"/>
              </w:rPr>
              <w:t>对周围</w:t>
            </w:r>
            <w:r>
              <w:rPr>
                <w:rFonts w:hint="eastAsia" w:ascii="Times New Roman" w:hAnsi="Times New Roman" w:eastAsia="宋体"/>
                <w:color w:val="auto"/>
                <w:sz w:val="24"/>
              </w:rPr>
              <w:t>声</w:t>
            </w:r>
            <w:r>
              <w:rPr>
                <w:rFonts w:ascii="Times New Roman" w:hAnsi="Times New Roman" w:eastAsia="宋体"/>
                <w:color w:val="auto"/>
                <w:sz w:val="24"/>
              </w:rPr>
              <w:t>环境影响不大。</w:t>
            </w:r>
          </w:p>
          <w:p>
            <w:pPr>
              <w:spacing w:line="360" w:lineRule="auto"/>
              <w:ind w:firstLine="480" w:firstLineChars="200"/>
              <w:rPr>
                <w:rFonts w:ascii="Times New Roman" w:hAnsi="Times New Roman" w:eastAsia="宋体"/>
                <w:b/>
                <w:color w:val="auto"/>
                <w:kern w:val="0"/>
                <w:sz w:val="24"/>
              </w:rPr>
            </w:pPr>
            <w:r>
              <w:rPr>
                <w:rFonts w:hint="eastAsia" w:ascii="Times New Roman" w:hAnsi="Times New Roman" w:eastAsia="宋体"/>
                <w:color w:val="auto"/>
                <w:kern w:val="0"/>
                <w:sz w:val="24"/>
              </w:rPr>
              <w:t>企业于20</w:t>
            </w:r>
            <w:r>
              <w:rPr>
                <w:rFonts w:hint="eastAsia" w:ascii="Times New Roman" w:hAnsi="Times New Roman" w:eastAsia="宋体"/>
                <w:color w:val="auto"/>
                <w:kern w:val="0"/>
                <w:sz w:val="24"/>
                <w:lang w:val="en-US" w:eastAsia="zh-CN"/>
              </w:rPr>
              <w:t>21</w:t>
            </w:r>
            <w:r>
              <w:rPr>
                <w:rFonts w:hint="eastAsia" w:ascii="Times New Roman" w:hAnsi="Times New Roman" w:eastAsia="宋体"/>
                <w:color w:val="auto"/>
                <w:kern w:val="0"/>
                <w:sz w:val="24"/>
              </w:rPr>
              <w:t>年</w:t>
            </w:r>
            <w:r>
              <w:rPr>
                <w:rFonts w:hint="eastAsia" w:ascii="Times New Roman" w:hAnsi="Times New Roman" w:eastAsia="宋体"/>
                <w:color w:val="auto"/>
                <w:kern w:val="0"/>
                <w:sz w:val="24"/>
                <w:lang w:val="en-US" w:eastAsia="zh-CN"/>
              </w:rPr>
              <w:t>1月16日-17日</w:t>
            </w:r>
            <w:r>
              <w:rPr>
                <w:rFonts w:hint="eastAsia" w:ascii="Times New Roman" w:hAnsi="Times New Roman" w:eastAsia="宋体"/>
                <w:color w:val="auto"/>
                <w:kern w:val="0"/>
                <w:sz w:val="24"/>
              </w:rPr>
              <w:t>委托</w:t>
            </w:r>
            <w:r>
              <w:rPr>
                <w:rFonts w:hint="eastAsia" w:ascii="Times New Roman" w:hAnsi="Times New Roman" w:eastAsia="宋体"/>
                <w:color w:val="auto"/>
                <w:kern w:val="0"/>
                <w:sz w:val="24"/>
                <w:lang w:val="en-US" w:eastAsia="zh-CN"/>
              </w:rPr>
              <w:t>江苏恒远环境科技有限公司</w:t>
            </w:r>
            <w:r>
              <w:rPr>
                <w:rFonts w:hint="eastAsia" w:ascii="Times New Roman" w:hAnsi="Times New Roman" w:eastAsia="宋体"/>
                <w:color w:val="auto"/>
                <w:kern w:val="0"/>
                <w:sz w:val="24"/>
              </w:rPr>
              <w:t>对现有项目厂界噪声</w:t>
            </w:r>
            <w:r>
              <w:rPr>
                <w:rFonts w:hint="eastAsia" w:ascii="Times New Roman" w:hAnsi="Times New Roman" w:eastAsia="宋体"/>
                <w:color w:val="auto"/>
                <w:sz w:val="24"/>
              </w:rPr>
              <w:t>进行了检测</w:t>
            </w:r>
            <w:r>
              <w:rPr>
                <w:rFonts w:hint="eastAsia" w:ascii="Times New Roman" w:hAnsi="Times New Roman" w:eastAsia="宋体"/>
                <w:color w:val="auto"/>
                <w:kern w:val="0"/>
                <w:sz w:val="24"/>
              </w:rPr>
              <w:t>，具体检测结果如下表2-1</w:t>
            </w:r>
            <w:r>
              <w:rPr>
                <w:rFonts w:hint="eastAsia"/>
                <w:color w:val="auto"/>
                <w:kern w:val="0"/>
                <w:sz w:val="24"/>
                <w:lang w:val="en-US" w:eastAsia="zh-CN"/>
              </w:rPr>
              <w:t>8</w:t>
            </w:r>
            <w:r>
              <w:rPr>
                <w:rFonts w:hint="eastAsia" w:ascii="Times New Roman" w:hAnsi="Times New Roman" w:eastAsia="宋体"/>
                <w:color w:val="auto"/>
                <w:kern w:val="0"/>
                <w:sz w:val="24"/>
              </w:rPr>
              <w:t>。</w:t>
            </w:r>
          </w:p>
          <w:p>
            <w:pPr>
              <w:adjustRightInd w:val="0"/>
              <w:snapToGrid w:val="0"/>
              <w:ind w:firstLine="482"/>
              <w:jc w:val="center"/>
              <w:rPr>
                <w:rFonts w:ascii="Times New Roman" w:hAnsi="Times New Roman" w:eastAsia="宋体"/>
                <w:b/>
                <w:color w:val="auto"/>
              </w:rPr>
            </w:pPr>
            <w:r>
              <w:rPr>
                <w:rFonts w:ascii="Times New Roman" w:hAnsi="Times New Roman" w:eastAsia="宋体"/>
                <w:b/>
                <w:color w:val="auto"/>
                <w:kern w:val="0"/>
              </w:rPr>
              <w:t>表</w:t>
            </w:r>
            <w:r>
              <w:rPr>
                <w:rFonts w:hint="eastAsia" w:ascii="Times New Roman" w:hAnsi="Times New Roman" w:eastAsia="宋体"/>
                <w:b/>
                <w:color w:val="auto"/>
                <w:kern w:val="0"/>
              </w:rPr>
              <w:t>2-1</w:t>
            </w:r>
            <w:r>
              <w:rPr>
                <w:rFonts w:hint="eastAsia"/>
                <w:b/>
                <w:color w:val="auto"/>
                <w:kern w:val="0"/>
                <w:lang w:val="en-US" w:eastAsia="zh-CN"/>
              </w:rPr>
              <w:t>8</w:t>
            </w:r>
            <w:r>
              <w:rPr>
                <w:rFonts w:ascii="Times New Roman" w:hAnsi="Times New Roman" w:eastAsia="宋体"/>
                <w:b/>
                <w:color w:val="auto"/>
                <w:kern w:val="0"/>
              </w:rPr>
              <w:t xml:space="preserve">   噪声检测结果  单位：</w:t>
            </w:r>
            <w:r>
              <w:rPr>
                <w:rFonts w:ascii="Times New Roman" w:hAnsi="Times New Roman" w:eastAsia="宋体"/>
                <w:b/>
                <w:color w:val="auto"/>
              </w:rPr>
              <w:t>dB（A）</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137"/>
              <w:gridCol w:w="1176"/>
              <w:gridCol w:w="1291"/>
              <w:gridCol w:w="1383"/>
              <w:gridCol w:w="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38" w:type="pct"/>
                  <w:vMerge w:val="restar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监测时间</w:t>
                  </w:r>
                </w:p>
              </w:tc>
              <w:tc>
                <w:tcPr>
                  <w:tcW w:w="1290" w:type="pct"/>
                  <w:vMerge w:val="restar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监测点</w:t>
                  </w:r>
                </w:p>
              </w:tc>
              <w:tc>
                <w:tcPr>
                  <w:tcW w:w="710" w:type="pct"/>
                  <w:vMerge w:val="restar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标准级别</w:t>
                  </w:r>
                </w:p>
              </w:tc>
              <w:tc>
                <w:tcPr>
                  <w:tcW w:w="1614" w:type="pct"/>
                  <w:gridSpan w:val="2"/>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昼间</w:t>
                  </w:r>
                </w:p>
              </w:tc>
              <w:tc>
                <w:tcPr>
                  <w:tcW w:w="547" w:type="pct"/>
                  <w:vMerge w:val="restar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vMerge w:val="continue"/>
                  <w:tcBorders>
                    <w:tl2br w:val="nil"/>
                    <w:tr2bl w:val="nil"/>
                  </w:tcBorders>
                  <w:vAlign w:val="center"/>
                </w:tcPr>
                <w:p>
                  <w:pPr>
                    <w:jc w:val="center"/>
                    <w:rPr>
                      <w:rFonts w:ascii="Times New Roman" w:hAnsi="Times New Roman" w:eastAsia="宋体"/>
                      <w:color w:val="auto"/>
                      <w:szCs w:val="21"/>
                    </w:rPr>
                  </w:pPr>
                </w:p>
              </w:tc>
              <w:tc>
                <w:tcPr>
                  <w:tcW w:w="710" w:type="pct"/>
                  <w:vMerge w:val="continue"/>
                  <w:tcBorders>
                    <w:tl2br w:val="nil"/>
                    <w:tr2bl w:val="nil"/>
                  </w:tcBorders>
                  <w:vAlign w:val="center"/>
                </w:tcPr>
                <w:p>
                  <w:pPr>
                    <w:jc w:val="center"/>
                    <w:rPr>
                      <w:rFonts w:ascii="Times New Roman" w:hAnsi="Times New Roman" w:eastAsia="宋体"/>
                      <w:color w:val="auto"/>
                      <w:szCs w:val="21"/>
                    </w:rPr>
                  </w:pPr>
                </w:p>
              </w:tc>
              <w:tc>
                <w:tcPr>
                  <w:tcW w:w="779"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监测值</w:t>
                  </w:r>
                </w:p>
              </w:tc>
              <w:tc>
                <w:tcPr>
                  <w:tcW w:w="834"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标准限值</w:t>
                  </w:r>
                </w:p>
              </w:tc>
              <w:tc>
                <w:tcPr>
                  <w:tcW w:w="547"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restar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21</w:t>
                  </w:r>
                  <w:r>
                    <w:rPr>
                      <w:rFonts w:hint="eastAsia" w:ascii="Times New Roman" w:hAnsi="Times New Roman" w:eastAsia="宋体"/>
                      <w:color w:val="auto"/>
                      <w:szCs w:val="21"/>
                    </w:rPr>
                    <w:t>年</w:t>
                  </w:r>
                  <w:r>
                    <w:rPr>
                      <w:rFonts w:hint="eastAsia" w:ascii="Times New Roman" w:hAnsi="Times New Roman" w:eastAsia="宋体"/>
                      <w:color w:val="auto"/>
                      <w:szCs w:val="21"/>
                      <w:lang w:val="en-US" w:eastAsia="zh-CN"/>
                    </w:rPr>
                    <w:t>1</w:t>
                  </w:r>
                  <w:r>
                    <w:rPr>
                      <w:rFonts w:hint="eastAsia" w:ascii="Times New Roman" w:hAnsi="Times New Roman" w:eastAsia="宋体"/>
                      <w:color w:val="auto"/>
                      <w:szCs w:val="21"/>
                    </w:rPr>
                    <w:t>月</w:t>
                  </w:r>
                  <w:r>
                    <w:rPr>
                      <w:rFonts w:hint="eastAsia" w:ascii="Times New Roman" w:hAnsi="Times New Roman" w:eastAsia="宋体"/>
                      <w:color w:val="auto"/>
                      <w:szCs w:val="21"/>
                      <w:lang w:val="en-US" w:eastAsia="zh-CN"/>
                    </w:rPr>
                    <w:t>16</w:t>
                  </w:r>
                  <w:r>
                    <w:rPr>
                      <w:rFonts w:hint="eastAsia" w:ascii="Times New Roman" w:hAnsi="Times New Roman" w:eastAsia="宋体"/>
                      <w:color w:val="auto"/>
                      <w:szCs w:val="21"/>
                    </w:rPr>
                    <w:t>日</w:t>
                  </w:r>
                </w:p>
              </w:tc>
              <w:tc>
                <w:tcPr>
                  <w:tcW w:w="129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东</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1</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olor w:val="auto"/>
                      <w:szCs w:val="21"/>
                    </w:rPr>
                  </w:pPr>
                  <w:r>
                    <w:rPr>
                      <w:rFonts w:hint="eastAsia"/>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61</w:t>
                  </w:r>
                </w:p>
              </w:tc>
              <w:tc>
                <w:tcPr>
                  <w:tcW w:w="834"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65</w:t>
                  </w:r>
                </w:p>
              </w:tc>
              <w:tc>
                <w:tcPr>
                  <w:tcW w:w="547"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南</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2</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62</w:t>
                  </w:r>
                </w:p>
              </w:tc>
              <w:tc>
                <w:tcPr>
                  <w:tcW w:w="834" w:type="pct"/>
                  <w:tcBorders>
                    <w:tl2br w:val="nil"/>
                    <w:tr2bl w:val="nil"/>
                  </w:tcBorders>
                  <w:vAlign w:val="center"/>
                </w:tcPr>
                <w:p>
                  <w:pPr>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c>
                <w:tcPr>
                  <w:tcW w:w="547"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西</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3</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w:t>
                  </w:r>
                </w:p>
              </w:tc>
              <w:tc>
                <w:tcPr>
                  <w:tcW w:w="834" w:type="pct"/>
                  <w:tcBorders>
                    <w:tl2br w:val="nil"/>
                    <w:tr2bl w:val="nil"/>
                  </w:tcBorders>
                  <w:vAlign w:val="center"/>
                </w:tcPr>
                <w:p>
                  <w:pPr>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c>
                <w:tcPr>
                  <w:tcW w:w="547"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北</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4</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olor w:val="auto"/>
                      <w:szCs w:val="21"/>
                    </w:rPr>
                  </w:pPr>
                  <w:r>
                    <w:rPr>
                      <w:rFonts w:hint="eastAsia"/>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w:t>
                  </w:r>
                </w:p>
              </w:tc>
              <w:tc>
                <w:tcPr>
                  <w:tcW w:w="834"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65</w:t>
                  </w:r>
                </w:p>
              </w:tc>
              <w:tc>
                <w:tcPr>
                  <w:tcW w:w="547"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南</w:t>
                  </w:r>
                  <w:r>
                    <w:rPr>
                      <w:rFonts w:ascii="Times New Roman" w:hAnsi="Times New Roman" w:eastAsia="宋体"/>
                      <w:color w:val="auto"/>
                      <w:szCs w:val="21"/>
                    </w:rPr>
                    <w:t>侧敏感点</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5</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olor w:val="auto"/>
                      <w:szCs w:val="21"/>
                    </w:rPr>
                  </w:pPr>
                  <w:r>
                    <w:rPr>
                      <w:rFonts w:hint="eastAsia"/>
                      <w:color w:val="auto"/>
                      <w:szCs w:val="21"/>
                      <w:lang w:val="en-US" w:eastAsia="zh-CN"/>
                    </w:rPr>
                    <w:t>2</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w:t>
                  </w:r>
                </w:p>
              </w:tc>
              <w:tc>
                <w:tcPr>
                  <w:tcW w:w="834"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60</w:t>
                  </w:r>
                </w:p>
              </w:tc>
              <w:tc>
                <w:tcPr>
                  <w:tcW w:w="547"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restar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21</w:t>
                  </w:r>
                  <w:r>
                    <w:rPr>
                      <w:rFonts w:hint="eastAsia" w:ascii="Times New Roman" w:hAnsi="Times New Roman" w:eastAsia="宋体"/>
                      <w:color w:val="auto"/>
                      <w:szCs w:val="21"/>
                    </w:rPr>
                    <w:t>年</w:t>
                  </w:r>
                  <w:r>
                    <w:rPr>
                      <w:rFonts w:hint="eastAsia" w:ascii="Times New Roman" w:hAnsi="Times New Roman" w:eastAsia="宋体"/>
                      <w:color w:val="auto"/>
                      <w:szCs w:val="21"/>
                      <w:lang w:val="en-US" w:eastAsia="zh-CN"/>
                    </w:rPr>
                    <w:t>1</w:t>
                  </w:r>
                  <w:r>
                    <w:rPr>
                      <w:rFonts w:hint="eastAsia" w:ascii="Times New Roman" w:hAnsi="Times New Roman" w:eastAsia="宋体"/>
                      <w:color w:val="auto"/>
                      <w:szCs w:val="21"/>
                    </w:rPr>
                    <w:t>月</w:t>
                  </w:r>
                  <w:r>
                    <w:rPr>
                      <w:rFonts w:hint="eastAsia" w:ascii="Times New Roman" w:hAnsi="Times New Roman" w:eastAsia="宋体"/>
                      <w:color w:val="auto"/>
                      <w:szCs w:val="21"/>
                      <w:lang w:val="en-US" w:eastAsia="zh-CN"/>
                    </w:rPr>
                    <w:t>17</w:t>
                  </w:r>
                  <w:r>
                    <w:rPr>
                      <w:rFonts w:hint="eastAsia" w:ascii="Times New Roman" w:hAnsi="Times New Roman" w:eastAsia="宋体"/>
                      <w:color w:val="auto"/>
                      <w:szCs w:val="21"/>
                    </w:rPr>
                    <w:t>日</w:t>
                  </w:r>
                </w:p>
              </w:tc>
              <w:tc>
                <w:tcPr>
                  <w:tcW w:w="1290"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东</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1</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w:t>
                  </w:r>
                </w:p>
              </w:tc>
              <w:tc>
                <w:tcPr>
                  <w:tcW w:w="834"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65</w:t>
                  </w:r>
                </w:p>
              </w:tc>
              <w:tc>
                <w:tcPr>
                  <w:tcW w:w="547"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南</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2</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62</w:t>
                  </w:r>
                </w:p>
              </w:tc>
              <w:tc>
                <w:tcPr>
                  <w:tcW w:w="834"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c>
                <w:tcPr>
                  <w:tcW w:w="547"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西</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3</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w:t>
                  </w:r>
                </w:p>
              </w:tc>
              <w:tc>
                <w:tcPr>
                  <w:tcW w:w="834"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c>
                <w:tcPr>
                  <w:tcW w:w="547"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北</w:t>
                  </w:r>
                  <w:r>
                    <w:rPr>
                      <w:rFonts w:ascii="Times New Roman" w:hAnsi="Times New Roman" w:eastAsia="宋体"/>
                      <w:color w:val="auto"/>
                      <w:szCs w:val="21"/>
                    </w:rPr>
                    <w:t>厂界</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4</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w:t>
                  </w:r>
                </w:p>
              </w:tc>
              <w:tc>
                <w:tcPr>
                  <w:tcW w:w="834"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65</w:t>
                  </w:r>
                </w:p>
              </w:tc>
              <w:tc>
                <w:tcPr>
                  <w:tcW w:w="547"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vMerge w:val="continue"/>
                  <w:tcBorders>
                    <w:tl2br w:val="nil"/>
                    <w:tr2bl w:val="nil"/>
                  </w:tcBorders>
                  <w:vAlign w:val="center"/>
                </w:tcPr>
                <w:p>
                  <w:pPr>
                    <w:jc w:val="center"/>
                    <w:rPr>
                      <w:rFonts w:ascii="Times New Roman" w:hAnsi="Times New Roman" w:eastAsia="宋体"/>
                      <w:color w:val="auto"/>
                      <w:szCs w:val="21"/>
                    </w:rPr>
                  </w:pPr>
                </w:p>
              </w:tc>
              <w:tc>
                <w:tcPr>
                  <w:tcW w:w="1290"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南</w:t>
                  </w:r>
                  <w:r>
                    <w:rPr>
                      <w:rFonts w:ascii="Times New Roman" w:hAnsi="Times New Roman" w:eastAsia="宋体"/>
                      <w:color w:val="auto"/>
                      <w:szCs w:val="21"/>
                    </w:rPr>
                    <w:t>侧敏感点</w:t>
                  </w:r>
                  <w:r>
                    <w:rPr>
                      <w:rFonts w:hint="default" w:ascii="Times New Roman" w:hAnsi="Times New Roman" w:eastAsia="宋体" w:cs="Times New Roman"/>
                      <w:color w:val="333333"/>
                      <w:szCs w:val="21"/>
                      <w:shd w:val="clear" w:color="auto" w:fill="FFFFFF"/>
                    </w:rPr>
                    <w:t>▲</w:t>
                  </w:r>
                  <w:r>
                    <w:rPr>
                      <w:rFonts w:hint="eastAsia" w:ascii="Times New Roman" w:hAnsi="Times New Roman" w:eastAsia="宋体" w:cs="Times New Roman"/>
                      <w:color w:val="333333"/>
                      <w:szCs w:val="21"/>
                      <w:shd w:val="clear" w:color="auto" w:fill="FFFFFF"/>
                      <w:lang w:val="en-US" w:eastAsia="zh-CN"/>
                    </w:rPr>
                    <w:t>5</w:t>
                  </w:r>
                  <w:r>
                    <w:rPr>
                      <w:rFonts w:hint="default" w:ascii="Times New Roman" w:hAnsi="Times New Roman" w:eastAsia="宋体" w:cs="Times New Roman"/>
                      <w:color w:val="333333"/>
                      <w:szCs w:val="21"/>
                      <w:shd w:val="clear" w:color="auto" w:fill="FFFFFF"/>
                    </w:rPr>
                    <w:t>#</w:t>
                  </w:r>
                </w:p>
              </w:tc>
              <w:tc>
                <w:tcPr>
                  <w:tcW w:w="710"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r>
                    <w:rPr>
                      <w:rFonts w:ascii="Times New Roman" w:hAnsi="Times New Roman" w:eastAsia="宋体"/>
                      <w:color w:val="auto"/>
                      <w:szCs w:val="21"/>
                    </w:rPr>
                    <w:t>类</w:t>
                  </w:r>
                </w:p>
              </w:tc>
              <w:tc>
                <w:tcPr>
                  <w:tcW w:w="779" w:type="pct"/>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w:t>
                  </w:r>
                </w:p>
              </w:tc>
              <w:tc>
                <w:tcPr>
                  <w:tcW w:w="834"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60</w:t>
                  </w:r>
                </w:p>
              </w:tc>
              <w:tc>
                <w:tcPr>
                  <w:tcW w:w="547"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达标</w:t>
                  </w:r>
                </w:p>
              </w:tc>
            </w:tr>
          </w:tbl>
          <w:p>
            <w:pPr>
              <w:pStyle w:val="35"/>
              <w:adjustRightInd w:val="0"/>
              <w:snapToGrid w:val="0"/>
              <w:spacing w:line="360" w:lineRule="auto"/>
              <w:ind w:firstLine="480"/>
              <w:rPr>
                <w:rFonts w:ascii="Times New Roman" w:hAnsi="Times New Roman" w:eastAsia="宋体"/>
                <w:color w:val="auto"/>
              </w:rPr>
            </w:pPr>
            <w:r>
              <w:rPr>
                <w:rFonts w:hint="eastAsia" w:ascii="Times New Roman" w:hAnsi="Times New Roman" w:eastAsia="宋体"/>
                <w:color w:val="auto"/>
                <w:kern w:val="0"/>
              </w:rPr>
              <w:t>监测结果表明：</w:t>
            </w:r>
            <w:r>
              <w:rPr>
                <w:rFonts w:ascii="Times New Roman" w:hAnsi="Times New Roman" w:eastAsia="宋体"/>
                <w:color w:val="auto"/>
              </w:rPr>
              <w:t>各检测点噪声值满足《工业企业厂界环境噪声排放标准》（GB12348-2008）中</w:t>
            </w:r>
            <w:r>
              <w:rPr>
                <w:rFonts w:hint="eastAsia" w:ascii="Times New Roman" w:hAnsi="Times New Roman" w:eastAsia="宋体"/>
                <w:color w:val="auto"/>
                <w:lang w:val="en-US" w:eastAsia="zh-CN"/>
              </w:rPr>
              <w:t>3</w:t>
            </w:r>
            <w:r>
              <w:rPr>
                <w:rFonts w:ascii="Times New Roman" w:hAnsi="Times New Roman" w:eastAsia="宋体"/>
                <w:color w:val="auto"/>
              </w:rPr>
              <w:t>类标准要求</w:t>
            </w:r>
            <w:r>
              <w:rPr>
                <w:rFonts w:hint="eastAsia"/>
                <w:color w:val="auto"/>
                <w:lang w:eastAsia="zh-CN"/>
              </w:rPr>
              <w:t>，</w:t>
            </w:r>
            <w:r>
              <w:rPr>
                <w:rFonts w:hint="eastAsia"/>
                <w:color w:val="auto"/>
                <w:lang w:val="en-US" w:eastAsia="zh-CN"/>
              </w:rPr>
              <w:t>敏感点噪声值满足《声环境质量标准》（GB3096-2008）中2类标准</w:t>
            </w:r>
            <w:r>
              <w:rPr>
                <w:rFonts w:hint="eastAsia" w:ascii="Times New Roman" w:hAnsi="Times New Roman" w:eastAsia="宋体"/>
                <w:color w:val="auto"/>
              </w:rPr>
              <w:t>。</w:t>
            </w:r>
          </w:p>
          <w:p>
            <w:pPr>
              <w:pStyle w:val="26"/>
              <w:spacing w:line="360" w:lineRule="auto"/>
              <w:ind w:firstLine="480" w:firstLineChars="200"/>
              <w:rPr>
                <w:rFonts w:ascii="Times New Roman" w:hAnsi="Times New Roman" w:eastAsia="宋体"/>
                <w:color w:val="auto"/>
                <w:szCs w:val="24"/>
              </w:rPr>
            </w:pPr>
            <w:r>
              <w:rPr>
                <w:rFonts w:hint="eastAsia" w:ascii="Times New Roman" w:hAnsi="Times New Roman" w:eastAsia="宋体"/>
                <w:color w:val="auto"/>
                <w:szCs w:val="24"/>
              </w:rPr>
              <w:t>5、现有项目</w:t>
            </w:r>
            <w:r>
              <w:rPr>
                <w:rFonts w:hint="eastAsia" w:ascii="Times New Roman" w:hAnsi="Times New Roman" w:eastAsia="宋体"/>
                <w:lang w:val="en-US" w:eastAsia="zh-CN"/>
              </w:rPr>
              <w:t>批建验运情况、</w:t>
            </w:r>
            <w:r>
              <w:rPr>
                <w:rFonts w:hint="eastAsia" w:ascii="Times New Roman" w:hAnsi="Times New Roman" w:eastAsia="宋体"/>
                <w:color w:val="auto"/>
                <w:szCs w:val="24"/>
              </w:rPr>
              <w:t>已批项目环评及批复落实情况分析如下：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rPr>
              <w:t xml:space="preserve"> 现有项目</w:t>
            </w:r>
            <w:r>
              <w:rPr>
                <w:rFonts w:hint="eastAsia" w:ascii="Times New Roman" w:hAnsi="Times New Roman" w:eastAsia="宋体" w:cs="Times New Roman"/>
                <w:b/>
                <w:bCs/>
                <w:color w:val="auto"/>
                <w:sz w:val="24"/>
                <w:szCs w:val="24"/>
                <w:lang w:val="en-US" w:eastAsia="zh-CN"/>
              </w:rPr>
              <w:t>批建验运</w:t>
            </w:r>
            <w:r>
              <w:rPr>
                <w:rFonts w:hint="eastAsia" w:cs="Times New Roman"/>
                <w:b/>
                <w:bCs/>
                <w:color w:val="auto"/>
                <w:sz w:val="24"/>
                <w:szCs w:val="24"/>
                <w:lang w:val="en-US" w:eastAsia="zh-CN"/>
              </w:rPr>
              <w:t>汇总表</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09"/>
              <w:gridCol w:w="418"/>
              <w:gridCol w:w="381"/>
              <w:gridCol w:w="12"/>
              <w:gridCol w:w="811"/>
              <w:gridCol w:w="1653"/>
              <w:gridCol w:w="1373"/>
              <w:gridCol w:w="1655"/>
              <w:gridCol w:w="13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36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工程类别</w:t>
                  </w:r>
                </w:p>
              </w:tc>
              <w:tc>
                <w:tcPr>
                  <w:tcW w:w="978" w:type="pct"/>
                  <w:gridSpan w:val="4"/>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lang w:val="en-US" w:eastAsia="zh-CN"/>
                    </w:rPr>
                  </w:pPr>
                  <w:r>
                    <w:rPr>
                      <w:rFonts w:hint="default" w:ascii="Times New Roman" w:hAnsi="Times New Roman" w:eastAsia="宋体" w:cs="Times New Roman"/>
                      <w:b/>
                      <w:color w:val="auto"/>
                    </w:rPr>
                    <w:t>工程名称</w:t>
                  </w:r>
                  <w:r>
                    <w:rPr>
                      <w:rFonts w:hint="eastAsia" w:ascii="Times New Roman" w:hAnsi="Times New Roman" w:eastAsia="宋体" w:cs="Times New Roman"/>
                      <w:b/>
                      <w:color w:val="auto"/>
                      <w:lang w:val="en-US" w:eastAsia="zh-CN"/>
                    </w:rPr>
                    <w:t xml:space="preserve"> </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环境影响批复情况</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验收情况</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lang w:val="en-US" w:eastAsia="zh-CN"/>
                    </w:rPr>
                    <w:t>实际建设情况</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67"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主体工程</w:t>
                  </w:r>
                </w:p>
              </w:tc>
              <w:tc>
                <w:tcPr>
                  <w:tcW w:w="978" w:type="pct"/>
                  <w:gridSpan w:val="4"/>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生产车间一</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未明确</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未明确</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vertAlign w:val="superscript"/>
                      <w:lang w:val="en-US" w:eastAsia="zh-CN" w:bidi="ar-SA"/>
                    </w:rPr>
                  </w:pPr>
                  <w:r>
                    <w:rPr>
                      <w:rFonts w:hint="eastAsia" w:ascii="Times New Roman" w:hAnsi="Times New Roman" w:eastAsia="宋体" w:cs="Times New Roman"/>
                      <w:b w:val="0"/>
                      <w:bCs/>
                      <w:color w:val="auto"/>
                      <w:vertAlign w:val="baseline"/>
                      <w:lang w:val="en-US" w:eastAsia="zh-CN"/>
                    </w:rPr>
                    <w:t>3850m</w:t>
                  </w:r>
                  <w:r>
                    <w:rPr>
                      <w:rFonts w:hint="eastAsia" w:ascii="Times New Roman" w:hAnsi="Times New Roman" w:eastAsia="宋体" w:cs="Times New Roman"/>
                      <w:b w:val="0"/>
                      <w:bCs/>
                      <w:color w:val="auto"/>
                      <w:vertAlign w:val="superscript"/>
                      <w:lang w:val="en-US" w:eastAsia="zh-CN"/>
                    </w:rPr>
                    <w:t>2</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67"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lang w:val="en-US" w:eastAsia="zh-CN"/>
                    </w:rPr>
                  </w:pPr>
                </w:p>
              </w:tc>
              <w:tc>
                <w:tcPr>
                  <w:tcW w:w="978" w:type="pct"/>
                  <w:gridSpan w:val="4"/>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生产车间二</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eastAsia" w:ascii="Times New Roman" w:hAnsi="Times New Roman" w:eastAsia="宋体" w:cs="Times New Roman"/>
                      <w:b w:val="0"/>
                      <w:bCs/>
                      <w:color w:val="auto"/>
                      <w:lang w:val="en-US" w:eastAsia="zh-CN"/>
                    </w:rPr>
                    <w:t>未明确</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vertAlign w:val="baseline"/>
                      <w:lang w:val="en-US" w:eastAsia="zh-CN" w:bidi="ar-SA"/>
                    </w:rPr>
                  </w:pPr>
                  <w:r>
                    <w:rPr>
                      <w:rFonts w:hint="eastAsia" w:ascii="Times New Roman" w:hAnsi="Times New Roman" w:eastAsia="宋体" w:cs="Times New Roman"/>
                      <w:b w:val="0"/>
                      <w:bCs/>
                      <w:color w:val="auto"/>
                      <w:lang w:val="en-US" w:eastAsia="zh-CN"/>
                    </w:rPr>
                    <w:t>未明确</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vertAlign w:val="baseline"/>
                      <w:lang w:val="en-US" w:eastAsia="zh-CN" w:bidi="ar-SA"/>
                    </w:rPr>
                  </w:pPr>
                  <w:r>
                    <w:rPr>
                      <w:rFonts w:hint="eastAsia" w:ascii="Times New Roman" w:hAnsi="Times New Roman" w:eastAsia="宋体" w:cs="Times New Roman"/>
                      <w:b w:val="0"/>
                      <w:bCs/>
                      <w:color w:val="auto"/>
                      <w:vertAlign w:val="baseline"/>
                      <w:lang w:val="en-US" w:eastAsia="zh-CN"/>
                    </w:rPr>
                    <w:t>630m</w:t>
                  </w:r>
                  <w:r>
                    <w:rPr>
                      <w:rFonts w:hint="eastAsia" w:ascii="Times New Roman" w:hAnsi="Times New Roman" w:eastAsia="宋体" w:cs="Times New Roman"/>
                      <w:b w:val="0"/>
                      <w:bCs/>
                      <w:color w:val="auto"/>
                      <w:vertAlign w:val="superscript"/>
                      <w:lang w:val="en-US" w:eastAsia="zh-CN"/>
                    </w:rPr>
                    <w:t>2</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67"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lang w:val="en-US" w:eastAsia="zh-CN"/>
                    </w:rPr>
                  </w:pP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公辅工程</w:t>
                  </w:r>
                </w:p>
              </w:tc>
              <w:tc>
                <w:tcPr>
                  <w:tcW w:w="978" w:type="pct"/>
                  <w:gridSpan w:val="4"/>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给水系统</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800m</w:t>
                  </w:r>
                  <w:r>
                    <w:rPr>
                      <w:rFonts w:hint="eastAsia" w:ascii="Times New Roman" w:hAnsi="Times New Roman" w:eastAsia="宋体" w:cs="Times New Roman"/>
                      <w:b w:val="0"/>
                      <w:bCs/>
                      <w:color w:val="auto"/>
                      <w:vertAlign w:val="superscript"/>
                      <w:lang w:val="en-US" w:eastAsia="zh-CN"/>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800m</w:t>
                  </w:r>
                  <w:r>
                    <w:rPr>
                      <w:rFonts w:hint="eastAsia" w:ascii="Times New Roman" w:hAnsi="Times New Roman" w:eastAsia="宋体" w:cs="Times New Roman"/>
                      <w:b w:val="0"/>
                      <w:bCs/>
                      <w:color w:val="auto"/>
                      <w:vertAlign w:val="superscript"/>
                      <w:lang w:val="en-US" w:eastAsia="zh-CN"/>
                    </w:rPr>
                    <w:t>3</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800m</w:t>
                  </w:r>
                  <w:r>
                    <w:rPr>
                      <w:rFonts w:hint="eastAsia" w:ascii="Times New Roman" w:hAnsi="Times New Roman" w:eastAsia="宋体" w:cs="Times New Roman"/>
                      <w:b w:val="0"/>
                      <w:bCs/>
                      <w:color w:val="auto"/>
                      <w:vertAlign w:val="superscript"/>
                      <w:lang w:val="en-US" w:eastAsia="zh-CN"/>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67"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lang w:val="en-US" w:eastAsia="zh-CN"/>
                    </w:rPr>
                  </w:pPr>
                </w:p>
              </w:tc>
              <w:tc>
                <w:tcPr>
                  <w:tcW w:w="978" w:type="pct"/>
                  <w:gridSpan w:val="4"/>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排水系统</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731m</w:t>
                  </w:r>
                  <w:r>
                    <w:rPr>
                      <w:rFonts w:hint="eastAsia" w:ascii="Times New Roman" w:hAnsi="Times New Roman" w:eastAsia="宋体" w:cs="Times New Roman"/>
                      <w:b w:val="0"/>
                      <w:bCs/>
                      <w:color w:val="auto"/>
                      <w:vertAlign w:val="superscript"/>
                      <w:lang w:val="en-US" w:eastAsia="zh-CN"/>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731m</w:t>
                  </w:r>
                  <w:r>
                    <w:rPr>
                      <w:rFonts w:hint="eastAsia" w:ascii="Times New Roman" w:hAnsi="Times New Roman" w:eastAsia="宋体" w:cs="Times New Roman"/>
                      <w:b w:val="0"/>
                      <w:bCs/>
                      <w:color w:val="auto"/>
                      <w:vertAlign w:val="superscript"/>
                      <w:lang w:val="en-US" w:eastAsia="zh-CN"/>
                    </w:rPr>
                    <w:t>3</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731m</w:t>
                  </w:r>
                  <w:r>
                    <w:rPr>
                      <w:rFonts w:hint="eastAsia" w:ascii="Times New Roman" w:hAnsi="Times New Roman" w:eastAsia="宋体" w:cs="Times New Roman"/>
                      <w:b w:val="0"/>
                      <w:bCs/>
                      <w:color w:val="auto"/>
                      <w:vertAlign w:val="superscript"/>
                      <w:lang w:val="en-US" w:eastAsia="zh-CN"/>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lang w:val="en-US" w:eastAsia="zh-CN"/>
                    </w:rPr>
                    <w:t>接管，无变化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367"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贮运工程</w:t>
                  </w:r>
                </w:p>
              </w:tc>
              <w:tc>
                <w:tcPr>
                  <w:tcW w:w="489" w:type="pct"/>
                  <w:gridSpan w:val="3"/>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仓库</w:t>
                  </w:r>
                </w:p>
              </w:tc>
              <w:tc>
                <w:tcPr>
                  <w:tcW w:w="489"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原料仓库</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500m</w:t>
                  </w:r>
                  <w:r>
                    <w:rPr>
                      <w:rFonts w:hint="eastAsia" w:ascii="Times New Roman" w:hAnsi="Times New Roman" w:eastAsia="宋体" w:cs="Times New Roman"/>
                      <w:color w:val="auto"/>
                      <w:kern w:val="2"/>
                      <w:sz w:val="21"/>
                      <w:szCs w:val="24"/>
                      <w:vertAlign w:val="superscript"/>
                      <w:lang w:val="en-US" w:eastAsia="zh-CN" w:bidi="ar-SA"/>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500m</w:t>
                  </w:r>
                  <w:r>
                    <w:rPr>
                      <w:rFonts w:hint="eastAsia" w:ascii="Times New Roman" w:hAnsi="Times New Roman" w:eastAsia="宋体" w:cs="Times New Roman"/>
                      <w:color w:val="auto"/>
                      <w:kern w:val="2"/>
                      <w:sz w:val="21"/>
                      <w:szCs w:val="24"/>
                      <w:vertAlign w:val="superscript"/>
                      <w:lang w:val="en-US" w:eastAsia="zh-CN" w:bidi="ar-SA"/>
                    </w:rPr>
                    <w:t>3</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500m</w:t>
                  </w:r>
                  <w:r>
                    <w:rPr>
                      <w:rFonts w:hint="eastAsia" w:ascii="Times New Roman" w:hAnsi="Times New Roman" w:eastAsia="宋体" w:cs="Times New Roman"/>
                      <w:color w:val="auto"/>
                      <w:kern w:val="2"/>
                      <w:sz w:val="21"/>
                      <w:szCs w:val="24"/>
                      <w:vertAlign w:val="superscript"/>
                      <w:lang w:val="en-US" w:eastAsia="zh-CN" w:bidi="ar-SA"/>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367"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p>
              </w:tc>
              <w:tc>
                <w:tcPr>
                  <w:tcW w:w="489" w:type="pct"/>
                  <w:gridSpan w:val="3"/>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p>
              </w:tc>
              <w:tc>
                <w:tcPr>
                  <w:tcW w:w="489"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成品仓库</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900m</w:t>
                  </w:r>
                  <w:r>
                    <w:rPr>
                      <w:rFonts w:hint="eastAsia" w:ascii="Times New Roman" w:hAnsi="Times New Roman" w:eastAsia="宋体" w:cs="Times New Roman"/>
                      <w:color w:val="auto"/>
                      <w:kern w:val="2"/>
                      <w:sz w:val="21"/>
                      <w:szCs w:val="24"/>
                      <w:vertAlign w:val="superscript"/>
                      <w:lang w:val="en-US" w:eastAsia="zh-CN" w:bidi="ar-SA"/>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900m</w:t>
                  </w:r>
                  <w:r>
                    <w:rPr>
                      <w:rFonts w:hint="eastAsia" w:ascii="Times New Roman" w:hAnsi="Times New Roman" w:eastAsia="宋体" w:cs="Times New Roman"/>
                      <w:color w:val="auto"/>
                      <w:kern w:val="2"/>
                      <w:sz w:val="21"/>
                      <w:szCs w:val="24"/>
                      <w:vertAlign w:val="superscript"/>
                      <w:lang w:val="en-US" w:eastAsia="zh-CN" w:bidi="ar-SA"/>
                    </w:rPr>
                    <w:t>3</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900m</w:t>
                  </w:r>
                  <w:r>
                    <w:rPr>
                      <w:rFonts w:hint="eastAsia" w:ascii="Times New Roman" w:hAnsi="Times New Roman" w:eastAsia="宋体" w:cs="Times New Roman"/>
                      <w:color w:val="auto"/>
                      <w:kern w:val="2"/>
                      <w:sz w:val="21"/>
                      <w:szCs w:val="24"/>
                      <w:vertAlign w:val="superscript"/>
                      <w:lang w:val="en-US" w:eastAsia="zh-CN" w:bidi="ar-SA"/>
                    </w:rPr>
                    <w:t>3</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67"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环保</w:t>
                  </w:r>
                  <w:r>
                    <w:rPr>
                      <w:rFonts w:hint="eastAsia" w:ascii="Times New Roman" w:hAnsi="Times New Roman" w:eastAsia="宋体" w:cs="Times New Roman"/>
                      <w:color w:val="auto"/>
                      <w:lang w:eastAsia="zh-CN"/>
                    </w:rPr>
                    <w:t>工程</w:t>
                  </w:r>
                </w:p>
              </w:tc>
              <w:tc>
                <w:tcPr>
                  <w:tcW w:w="252"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w:t>
                  </w:r>
                </w:p>
              </w:tc>
              <w:tc>
                <w:tcPr>
                  <w:tcW w:w="726" w:type="pct"/>
                  <w:gridSpan w:val="3"/>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切割、焊接、打磨废气</w:t>
                  </w:r>
                </w:p>
              </w:tc>
              <w:tc>
                <w:tcPr>
                  <w:tcW w:w="9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szCs w:val="21"/>
                    </w:rPr>
                    <w:t>移动式工业除尘器</w:t>
                  </w:r>
                </w:p>
              </w:tc>
              <w:tc>
                <w:tcPr>
                  <w:tcW w:w="8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szCs w:val="21"/>
                    </w:rPr>
                    <w:t>移动式工业除尘器</w:t>
                  </w:r>
                </w:p>
              </w:tc>
              <w:tc>
                <w:tcPr>
                  <w:tcW w:w="99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szCs w:val="21"/>
                    </w:rPr>
                    <w:t>移动式工业除尘器</w:t>
                  </w:r>
                </w:p>
              </w:tc>
              <w:tc>
                <w:tcPr>
                  <w:tcW w:w="8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67"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482" w:type="pct"/>
                  <w:gridSpan w:val="2"/>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w:t>
                  </w:r>
                </w:p>
              </w:tc>
              <w:tc>
                <w:tcPr>
                  <w:tcW w:w="496" w:type="pct"/>
                  <w:gridSpan w:val="2"/>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污水</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化粪池</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预处理</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化粪池</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预处理</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化粪池</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预处理</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367"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252"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固废</w:t>
                  </w:r>
                </w:p>
              </w:tc>
              <w:tc>
                <w:tcPr>
                  <w:tcW w:w="726" w:type="pct"/>
                  <w:gridSpan w:val="3"/>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一般固废库</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vertAlign w:val="baseline"/>
                      <w:lang w:val="en-US" w:eastAsia="zh-CN"/>
                    </w:rPr>
                    <w:t>15m</w:t>
                  </w:r>
                  <w:r>
                    <w:rPr>
                      <w:rFonts w:hint="eastAsia" w:ascii="Times New Roman" w:hAnsi="Times New Roman" w:eastAsia="宋体" w:cs="Times New Roman"/>
                      <w:color w:val="auto"/>
                      <w:vertAlign w:val="superscript"/>
                      <w:lang w:val="en-US" w:eastAsia="zh-CN"/>
                    </w:rPr>
                    <w:t>2</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vertAlign w:val="baseline"/>
                      <w:lang w:val="en-US" w:eastAsia="zh-CN"/>
                    </w:rPr>
                    <w:t>15m</w:t>
                  </w:r>
                  <w:r>
                    <w:rPr>
                      <w:rFonts w:hint="eastAsia" w:ascii="Times New Roman" w:hAnsi="Times New Roman" w:eastAsia="宋体" w:cs="Times New Roman"/>
                      <w:color w:val="auto"/>
                      <w:vertAlign w:val="superscript"/>
                      <w:lang w:val="en-US" w:eastAsia="zh-CN"/>
                    </w:rPr>
                    <w:t>2</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vertAlign w:val="baseline"/>
                      <w:lang w:val="en-US" w:eastAsia="zh-CN"/>
                    </w:rPr>
                    <w:t>15m</w:t>
                  </w:r>
                  <w:r>
                    <w:rPr>
                      <w:rFonts w:hint="eastAsia" w:ascii="Times New Roman" w:hAnsi="Times New Roman" w:eastAsia="宋体" w:cs="Times New Roman"/>
                      <w:color w:val="auto"/>
                      <w:vertAlign w:val="superscript"/>
                      <w:lang w:val="en-US" w:eastAsia="zh-CN"/>
                    </w:rPr>
                    <w:t>2</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367"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252"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p>
              </w:tc>
              <w:tc>
                <w:tcPr>
                  <w:tcW w:w="726" w:type="pct"/>
                  <w:gridSpan w:val="3"/>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危废库</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3m</w:t>
                  </w:r>
                  <w:r>
                    <w:rPr>
                      <w:rFonts w:hint="eastAsia" w:ascii="Times New Roman" w:hAnsi="Times New Roman" w:eastAsia="宋体" w:cs="Times New Roman"/>
                      <w:color w:val="auto"/>
                      <w:vertAlign w:val="superscript"/>
                      <w:lang w:val="en-US" w:eastAsia="zh-CN"/>
                    </w:rPr>
                    <w:t>2</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3m</w:t>
                  </w:r>
                  <w:r>
                    <w:rPr>
                      <w:rFonts w:hint="eastAsia" w:ascii="Times New Roman" w:hAnsi="Times New Roman" w:eastAsia="宋体" w:cs="Times New Roman"/>
                      <w:color w:val="auto"/>
                      <w:vertAlign w:val="superscript"/>
                      <w:lang w:val="en-US" w:eastAsia="zh-CN"/>
                    </w:rPr>
                    <w:t>2</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3m</w:t>
                  </w:r>
                  <w:r>
                    <w:rPr>
                      <w:rFonts w:hint="eastAsia" w:ascii="Times New Roman" w:hAnsi="Times New Roman" w:eastAsia="宋体" w:cs="Times New Roman"/>
                      <w:color w:val="auto"/>
                      <w:vertAlign w:val="superscript"/>
                      <w:lang w:val="en-US" w:eastAsia="zh-CN"/>
                    </w:rPr>
                    <w:t>2</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7" w:hRule="atLeast"/>
                <w:jc w:val="center"/>
              </w:trPr>
              <w:tc>
                <w:tcPr>
                  <w:tcW w:w="36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环境应急</w:t>
                  </w:r>
                </w:p>
              </w:tc>
              <w:tc>
                <w:tcPr>
                  <w:tcW w:w="978" w:type="pct"/>
                  <w:gridSpan w:val="4"/>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事故池</w:t>
                  </w:r>
                </w:p>
              </w:tc>
              <w:tc>
                <w:tcPr>
                  <w:tcW w:w="99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99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vertAlign w:val="baseline"/>
                      <w:lang w:val="en-US" w:eastAsia="zh-CN"/>
                    </w:rPr>
                    <w:t>--</w:t>
                  </w:r>
                </w:p>
              </w:tc>
              <w:tc>
                <w:tcPr>
                  <w:tcW w:w="82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未设置</w:t>
                  </w:r>
                </w:p>
              </w:tc>
            </w:tr>
          </w:tbl>
          <w:p>
            <w:pPr>
              <w:jc w:val="center"/>
              <w:rPr>
                <w:rFonts w:ascii="Times New Roman" w:hAnsi="Times New Roman" w:eastAsia="宋体"/>
                <w:b/>
                <w:bCs/>
                <w:color w:val="auto"/>
              </w:rPr>
            </w:pPr>
          </w:p>
          <w:p>
            <w:pPr>
              <w:jc w:val="center"/>
              <w:rPr>
                <w:rFonts w:ascii="Times New Roman" w:hAnsi="Times New Roman" w:eastAsia="宋体"/>
                <w:b/>
                <w:bCs/>
                <w:color w:val="auto"/>
              </w:rPr>
            </w:pPr>
            <w:r>
              <w:rPr>
                <w:rFonts w:ascii="Times New Roman" w:hAnsi="Times New Roman" w:eastAsia="宋体"/>
                <w:b/>
                <w:bCs/>
                <w:color w:val="auto"/>
              </w:rPr>
              <w:t>表</w:t>
            </w:r>
            <w:r>
              <w:rPr>
                <w:rFonts w:hint="eastAsia" w:ascii="Times New Roman" w:hAnsi="Times New Roman" w:eastAsia="宋体"/>
                <w:b/>
                <w:bCs/>
                <w:color w:val="auto"/>
              </w:rPr>
              <w:t>2</w:t>
            </w:r>
            <w:r>
              <w:rPr>
                <w:rFonts w:ascii="Times New Roman" w:hAnsi="Times New Roman" w:eastAsia="宋体"/>
                <w:b/>
                <w:bCs/>
                <w:color w:val="auto"/>
              </w:rPr>
              <w:t>-</w:t>
            </w:r>
            <w:r>
              <w:rPr>
                <w:rFonts w:hint="eastAsia" w:ascii="Times New Roman" w:hAnsi="Times New Roman" w:eastAsia="宋体"/>
                <w:b/>
                <w:bCs/>
                <w:color w:val="auto"/>
                <w:lang w:val="en-US" w:eastAsia="zh-CN"/>
              </w:rPr>
              <w:t>20</w:t>
            </w:r>
            <w:r>
              <w:rPr>
                <w:rFonts w:hint="eastAsia" w:ascii="Times New Roman" w:hAnsi="Times New Roman" w:eastAsia="宋体"/>
                <w:b/>
                <w:bCs/>
                <w:color w:val="auto"/>
              </w:rPr>
              <w:t>环评批复中要求落实情况</w:t>
            </w:r>
          </w:p>
          <w:tbl>
            <w:tblPr>
              <w:tblStyle w:val="21"/>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7"/>
              <w:gridCol w:w="3440"/>
              <w:gridCol w:w="3151"/>
              <w:gridCol w:w="11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序号</w:t>
                  </w:r>
                </w:p>
              </w:tc>
              <w:tc>
                <w:tcPr>
                  <w:tcW w:w="3503" w:type="dxa"/>
                  <w:tcBorders>
                    <w:tl2br w:val="nil"/>
                    <w:tr2bl w:val="nil"/>
                  </w:tcBorders>
                  <w:vAlign w:val="center"/>
                </w:tcPr>
                <w:p>
                  <w:pPr>
                    <w:pStyle w:val="9"/>
                    <w:jc w:val="center"/>
                    <w:rPr>
                      <w:rFonts w:ascii="Times New Roman" w:hAnsi="Times New Roman" w:eastAsia="宋体"/>
                      <w:b/>
                      <w:color w:val="auto"/>
                      <w:sz w:val="21"/>
                      <w:szCs w:val="21"/>
                    </w:rPr>
                  </w:pPr>
                  <w:r>
                    <w:rPr>
                      <w:rFonts w:hint="eastAsia" w:ascii="Times New Roman" w:hAnsi="Times New Roman" w:eastAsia="宋体"/>
                      <w:b/>
                      <w:color w:val="auto"/>
                      <w:sz w:val="21"/>
                      <w:szCs w:val="21"/>
                      <w:lang w:eastAsia="zh-CN"/>
                    </w:rPr>
                    <w:t>皋行审环表复</w:t>
                  </w:r>
                  <w:r>
                    <w:rPr>
                      <w:rFonts w:hint="eastAsia" w:ascii="Times New Roman" w:hAnsi="Times New Roman" w:eastAsia="宋体"/>
                      <w:b/>
                      <w:color w:val="auto"/>
                      <w:sz w:val="21"/>
                      <w:szCs w:val="21"/>
                    </w:rPr>
                    <w:t>[20</w:t>
                  </w:r>
                  <w:r>
                    <w:rPr>
                      <w:rFonts w:hint="eastAsia" w:ascii="Times New Roman" w:hAnsi="Times New Roman" w:eastAsia="宋体"/>
                      <w:b/>
                      <w:color w:val="auto"/>
                      <w:sz w:val="21"/>
                      <w:szCs w:val="21"/>
                      <w:lang w:val="en-US" w:eastAsia="zh-CN"/>
                    </w:rPr>
                    <w:t>12</w:t>
                  </w:r>
                  <w:r>
                    <w:rPr>
                      <w:rFonts w:hint="eastAsia" w:ascii="Times New Roman" w:hAnsi="Times New Roman" w:eastAsia="宋体"/>
                      <w:b/>
                      <w:color w:val="auto"/>
                      <w:sz w:val="21"/>
                      <w:szCs w:val="21"/>
                    </w:rPr>
                    <w:t>]</w:t>
                  </w:r>
                  <w:r>
                    <w:rPr>
                      <w:rFonts w:hint="eastAsia" w:ascii="Times New Roman" w:hAnsi="Times New Roman" w:eastAsia="宋体"/>
                      <w:b/>
                      <w:color w:val="auto"/>
                      <w:sz w:val="21"/>
                      <w:szCs w:val="21"/>
                      <w:lang w:val="en-US" w:eastAsia="zh-CN"/>
                    </w:rPr>
                    <w:t>213</w:t>
                  </w:r>
                  <w:r>
                    <w:rPr>
                      <w:rFonts w:hint="eastAsia" w:ascii="Times New Roman" w:hAnsi="Times New Roman" w:eastAsia="宋体"/>
                      <w:b/>
                      <w:color w:val="auto"/>
                      <w:sz w:val="21"/>
                      <w:szCs w:val="21"/>
                    </w:rPr>
                    <w:t>号</w:t>
                  </w:r>
                </w:p>
              </w:tc>
              <w:tc>
                <w:tcPr>
                  <w:tcW w:w="3208" w:type="dxa"/>
                  <w:tcBorders>
                    <w:tl2br w:val="nil"/>
                    <w:tr2bl w:val="nil"/>
                  </w:tcBorders>
                  <w:vAlign w:val="center"/>
                </w:tcPr>
                <w:p>
                  <w:pPr>
                    <w:pStyle w:val="9"/>
                    <w:jc w:val="center"/>
                    <w:rPr>
                      <w:rFonts w:ascii="Times New Roman" w:hAnsi="Times New Roman" w:eastAsia="宋体"/>
                      <w:b/>
                      <w:color w:val="auto"/>
                      <w:sz w:val="21"/>
                      <w:szCs w:val="21"/>
                    </w:rPr>
                  </w:pPr>
                  <w:r>
                    <w:rPr>
                      <w:rFonts w:ascii="Times New Roman" w:hAnsi="Times New Roman" w:eastAsia="宋体"/>
                      <w:b/>
                      <w:color w:val="auto"/>
                      <w:sz w:val="21"/>
                      <w:szCs w:val="21"/>
                    </w:rPr>
                    <w:t>现有项目实际建设情况</w:t>
                  </w:r>
                </w:p>
              </w:tc>
              <w:tc>
                <w:tcPr>
                  <w:tcW w:w="1216" w:type="dxa"/>
                  <w:tcBorders>
                    <w:tl2br w:val="nil"/>
                    <w:tr2bl w:val="nil"/>
                  </w:tcBorders>
                  <w:vAlign w:val="center"/>
                </w:tcPr>
                <w:p>
                  <w:pPr>
                    <w:pStyle w:val="9"/>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3503" w:type="dxa"/>
                  <w:tcBorders>
                    <w:tl2br w:val="nil"/>
                    <w:tr2bl w:val="nil"/>
                  </w:tcBorders>
                  <w:vAlign w:val="center"/>
                </w:tcPr>
                <w:p>
                  <w:pPr>
                    <w:pStyle w:val="33"/>
                    <w:ind w:firstLine="420" w:firstLineChars="200"/>
                    <w:jc w:val="both"/>
                    <w:rPr>
                      <w:rFonts w:ascii="Times New Roman" w:hAnsi="Times New Roman" w:eastAsia="宋体"/>
                      <w:color w:val="auto"/>
                      <w:sz w:val="21"/>
                      <w:szCs w:val="21"/>
                    </w:rPr>
                  </w:pPr>
                  <w:r>
                    <w:rPr>
                      <w:rFonts w:hint="eastAsia" w:ascii="Times New Roman" w:hAnsi="Times New Roman" w:eastAsia="宋体"/>
                      <w:color w:val="auto"/>
                      <w:sz w:val="21"/>
                      <w:szCs w:val="21"/>
                    </w:rPr>
                    <w:t>废水治理。按“清污分流、雨污分流”原则规范建设厂区内雨水集排系统、污水收集系统;生活废水等经预处理达到《污水综合排放标准》(GB8978-1996)中的三级标准及相关参照标准后排入下原镇污水处理厂，委托深度处理。</w:t>
                  </w:r>
                </w:p>
              </w:tc>
              <w:tc>
                <w:tcPr>
                  <w:tcW w:w="3208" w:type="dxa"/>
                  <w:tcBorders>
                    <w:tl2br w:val="nil"/>
                    <w:tr2bl w:val="nil"/>
                  </w:tcBorders>
                  <w:vAlign w:val="center"/>
                </w:tcPr>
                <w:p>
                  <w:pPr>
                    <w:snapToGrid w:val="0"/>
                    <w:ind w:firstLine="420" w:firstLineChars="200"/>
                    <w:rPr>
                      <w:rFonts w:ascii="Times New Roman" w:hAnsi="Times New Roman" w:eastAsia="宋体"/>
                      <w:color w:val="auto"/>
                      <w:kern w:val="0"/>
                      <w:sz w:val="21"/>
                      <w:szCs w:val="21"/>
                    </w:rPr>
                  </w:pPr>
                  <w:r>
                    <w:rPr>
                      <w:rFonts w:hint="default" w:ascii="Times New Roman" w:hAnsi="Times New Roman" w:eastAsia="宋体"/>
                      <w:color w:val="auto"/>
                      <w:kern w:val="0"/>
                      <w:sz w:val="21"/>
                      <w:szCs w:val="21"/>
                      <w:lang w:val="en-US" w:eastAsia="zh-CN"/>
                    </w:rPr>
                    <w:t>实行雨污分流，</w:t>
                  </w:r>
                  <w:r>
                    <w:rPr>
                      <w:rFonts w:hint="eastAsia" w:ascii="Times New Roman" w:hAnsi="Times New Roman" w:eastAsia="宋体"/>
                      <w:color w:val="auto"/>
                      <w:kern w:val="0"/>
                      <w:sz w:val="21"/>
                      <w:szCs w:val="21"/>
                      <w:lang w:val="en-US" w:eastAsia="zh-CN"/>
                    </w:rPr>
                    <w:t>项目雨水收集后排入南侧小河，生活污水接管后，委托下原镇污水处理厂深度处理。</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3503" w:type="dxa"/>
                  <w:tcBorders>
                    <w:tl2br w:val="nil"/>
                    <w:tr2bl w:val="nil"/>
                  </w:tcBorders>
                  <w:vAlign w:val="center"/>
                </w:tcPr>
                <w:p>
                  <w:pPr>
                    <w:pStyle w:val="33"/>
                    <w:ind w:firstLine="420" w:firstLineChars="200"/>
                    <w:jc w:val="both"/>
                    <w:rPr>
                      <w:rFonts w:ascii="Times New Roman" w:hAnsi="Times New Roman" w:eastAsia="宋体"/>
                      <w:color w:val="auto"/>
                      <w:sz w:val="21"/>
                      <w:szCs w:val="21"/>
                    </w:rPr>
                  </w:pPr>
                  <w:r>
                    <w:rPr>
                      <w:rFonts w:hint="eastAsia" w:ascii="Times New Roman" w:hAnsi="Times New Roman" w:eastAsia="宋体"/>
                      <w:color w:val="auto"/>
                      <w:sz w:val="21"/>
                      <w:szCs w:val="21"/>
                    </w:rPr>
                    <w:t>废气治理。切割粉尘、打磨粉尘、焊接烟尘等收集经移动式除尘器处理，尾气达到《大气污染物综合排放标准》(GB16297-1996)相关标准后排放;加强生产管理，减少无组织废气排放。</w:t>
                  </w:r>
                </w:p>
              </w:tc>
              <w:tc>
                <w:tcPr>
                  <w:tcW w:w="3208" w:type="dxa"/>
                  <w:tcBorders>
                    <w:tl2br w:val="nil"/>
                    <w:tr2bl w:val="nil"/>
                  </w:tcBorders>
                  <w:vAlign w:val="center"/>
                </w:tcPr>
                <w:p>
                  <w:pPr>
                    <w:snapToGrid w:val="0"/>
                    <w:ind w:firstLine="411" w:firstLineChars="196"/>
                    <w:rPr>
                      <w:rFonts w:ascii="Times New Roman" w:hAnsi="Times New Roman" w:eastAsia="宋体"/>
                      <w:color w:val="auto"/>
                      <w:sz w:val="21"/>
                      <w:szCs w:val="21"/>
                    </w:rPr>
                  </w:pPr>
                  <w:r>
                    <w:rPr>
                      <w:rFonts w:hint="default" w:ascii="Times New Roman" w:hAnsi="Times New Roman" w:eastAsia="宋体"/>
                      <w:color w:val="auto"/>
                      <w:sz w:val="21"/>
                      <w:szCs w:val="21"/>
                      <w:lang w:val="en-US" w:eastAsia="zh-CN"/>
                    </w:rPr>
                    <w:t>切割粉尘、打磨粉尘、焊接烟尘收集经移动式除尘器处理</w:t>
                  </w:r>
                  <w:r>
                    <w:rPr>
                      <w:rFonts w:hint="eastAsia" w:ascii="Times New Roman" w:hAnsi="Times New Roman" w:eastAsia="宋体"/>
                      <w:color w:val="auto"/>
                      <w:sz w:val="21"/>
                      <w:szCs w:val="21"/>
                      <w:lang w:val="en-US" w:eastAsia="zh-CN"/>
                    </w:rPr>
                    <w:t>，经过验收监测，企业达标排放。</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3503" w:type="dxa"/>
                  <w:tcBorders>
                    <w:tl2br w:val="nil"/>
                    <w:tr2bl w:val="nil"/>
                  </w:tcBorders>
                  <w:vAlign w:val="center"/>
                </w:tcPr>
                <w:p>
                  <w:pPr>
                    <w:pStyle w:val="33"/>
                    <w:ind w:firstLine="420" w:firstLineChars="200"/>
                    <w:jc w:val="left"/>
                    <w:rPr>
                      <w:rFonts w:ascii="Times New Roman" w:hAnsi="Times New Roman" w:eastAsia="宋体"/>
                      <w:color w:val="auto"/>
                      <w:sz w:val="21"/>
                      <w:szCs w:val="21"/>
                    </w:rPr>
                  </w:pPr>
                  <w:r>
                    <w:rPr>
                      <w:rFonts w:hint="eastAsia" w:ascii="Times New Roman" w:hAnsi="Times New Roman" w:eastAsia="宋体"/>
                      <w:color w:val="auto"/>
                      <w:sz w:val="21"/>
                      <w:szCs w:val="21"/>
                    </w:rPr>
                    <w:t>噪声治理。优选低噪声设备和优化车间设备布局，高噪声设备远离居民，并采取屏障隔声等降噪措施，确保厂界噪声达到《工业企业厂界环境噪声排放标准》(GB12348-2008)中 3、4类标准，且不得降低周围环境敏感点声环境质量。</w:t>
                  </w:r>
                </w:p>
              </w:tc>
              <w:tc>
                <w:tcPr>
                  <w:tcW w:w="3208" w:type="dxa"/>
                  <w:tcBorders>
                    <w:tl2br w:val="nil"/>
                    <w:tr2bl w:val="nil"/>
                  </w:tcBorders>
                  <w:vAlign w:val="center"/>
                </w:tcPr>
                <w:p>
                  <w:pPr>
                    <w:snapToGrid w:val="0"/>
                    <w:ind w:firstLine="411" w:firstLineChars="196"/>
                    <w:rPr>
                      <w:rFonts w:ascii="Times New Roman" w:hAnsi="Times New Roman" w:eastAsia="宋体"/>
                      <w:color w:val="auto"/>
                      <w:kern w:val="0"/>
                      <w:sz w:val="21"/>
                      <w:szCs w:val="21"/>
                    </w:rPr>
                  </w:pPr>
                  <w:r>
                    <w:rPr>
                      <w:rFonts w:hint="eastAsia" w:ascii="Times New Roman" w:hAnsi="Times New Roman" w:eastAsia="宋体"/>
                      <w:color w:val="auto"/>
                      <w:kern w:val="0"/>
                      <w:sz w:val="21"/>
                      <w:szCs w:val="21"/>
                      <w:lang w:val="en-US" w:eastAsia="zh-CN"/>
                    </w:rPr>
                    <w:t>验收监测期间</w:t>
                  </w:r>
                  <w:r>
                    <w:rPr>
                      <w:rFonts w:hint="default" w:ascii="Times New Roman" w:hAnsi="Times New Roman" w:eastAsia="宋体"/>
                      <w:color w:val="auto"/>
                      <w:kern w:val="0"/>
                      <w:sz w:val="21"/>
                      <w:szCs w:val="21"/>
                      <w:lang w:val="en-US" w:eastAsia="zh-CN"/>
                    </w:rPr>
                    <w:t>厂界噪声达到《工业企业厂界环境噪声排放标准》（GB12348-</w:t>
                  </w:r>
                  <w:r>
                    <w:rPr>
                      <w:rFonts w:hint="eastAsia" w:ascii="Times New Roman" w:hAnsi="Times New Roman" w:eastAsia="宋体"/>
                      <w:color w:val="auto"/>
                      <w:kern w:val="0"/>
                      <w:sz w:val="21"/>
                      <w:szCs w:val="21"/>
                      <w:lang w:val="en-US" w:eastAsia="zh-CN"/>
                    </w:rPr>
                    <w:t>2008</w:t>
                  </w:r>
                  <w:r>
                    <w:rPr>
                      <w:rFonts w:hint="default" w:ascii="Times New Roman" w:hAnsi="Times New Roman" w:eastAsia="宋体"/>
                      <w:color w:val="auto"/>
                      <w:kern w:val="0"/>
                      <w:sz w:val="21"/>
                      <w:szCs w:val="21"/>
                      <w:lang w:val="en-US" w:eastAsia="zh-CN"/>
                    </w:rPr>
                    <w:t>）中</w:t>
                  </w:r>
                  <w:r>
                    <w:rPr>
                      <w:rFonts w:hint="eastAsia" w:ascii="Times New Roman" w:hAnsi="Times New Roman" w:eastAsia="宋体"/>
                      <w:color w:val="auto"/>
                      <w:kern w:val="0"/>
                      <w:sz w:val="21"/>
                      <w:szCs w:val="21"/>
                      <w:lang w:val="en-US" w:eastAsia="zh-CN"/>
                    </w:rPr>
                    <w:t>3、4</w:t>
                  </w:r>
                  <w:r>
                    <w:rPr>
                      <w:rFonts w:hint="default" w:ascii="Times New Roman" w:hAnsi="Times New Roman" w:eastAsia="宋体"/>
                      <w:color w:val="auto"/>
                      <w:kern w:val="0"/>
                      <w:sz w:val="21"/>
                      <w:szCs w:val="21"/>
                      <w:lang w:val="en-US" w:eastAsia="zh-CN"/>
                    </w:rPr>
                    <w:t>类标准。</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3503" w:type="dxa"/>
                  <w:tcBorders>
                    <w:tl2br w:val="nil"/>
                    <w:tr2bl w:val="nil"/>
                  </w:tcBorders>
                  <w:vAlign w:val="center"/>
                </w:tcPr>
                <w:p>
                  <w:pPr>
                    <w:pStyle w:val="33"/>
                    <w:ind w:firstLine="420" w:firstLineChars="200"/>
                    <w:jc w:val="left"/>
                    <w:rPr>
                      <w:rFonts w:ascii="Times New Roman" w:hAnsi="Times New Roman" w:eastAsia="宋体"/>
                      <w:color w:val="auto"/>
                      <w:sz w:val="21"/>
                      <w:szCs w:val="21"/>
                    </w:rPr>
                  </w:pPr>
                  <w:r>
                    <w:rPr>
                      <w:rFonts w:hint="eastAsia" w:ascii="Times New Roman" w:hAnsi="Times New Roman" w:eastAsia="宋体"/>
                      <w:color w:val="auto"/>
                      <w:sz w:val="21"/>
                      <w:szCs w:val="21"/>
                    </w:rPr>
                    <w:t>固废处置。按“减量化、资源化、无害化”的处置原则，落实各类固体废物特别是危险废物的收集、处置和综合利用措施，防止造成二次污染。</w:t>
                  </w:r>
                </w:p>
              </w:tc>
              <w:tc>
                <w:tcPr>
                  <w:tcW w:w="3208" w:type="dxa"/>
                  <w:tcBorders>
                    <w:tl2br w:val="nil"/>
                    <w:tr2bl w:val="nil"/>
                  </w:tcBorders>
                  <w:vAlign w:val="center"/>
                </w:tcPr>
                <w:p>
                  <w:pPr>
                    <w:ind w:firstLine="420" w:firstLineChars="200"/>
                    <w:rPr>
                      <w:rFonts w:ascii="Times New Roman" w:hAnsi="Times New Roman" w:eastAsia="宋体"/>
                      <w:color w:val="auto"/>
                      <w:kern w:val="0"/>
                      <w:sz w:val="21"/>
                      <w:szCs w:val="21"/>
                    </w:rPr>
                  </w:pPr>
                  <w:r>
                    <w:rPr>
                      <w:rFonts w:hint="eastAsia" w:ascii="Times New Roman" w:hAnsi="Times New Roman" w:eastAsia="宋体"/>
                      <w:color w:val="auto"/>
                      <w:kern w:val="0"/>
                      <w:sz w:val="21"/>
                      <w:szCs w:val="21"/>
                      <w:lang w:val="en-US" w:eastAsia="zh-CN"/>
                    </w:rPr>
                    <w:t>项目边角料外售处置，除尘灰、焊渣和生活垃圾委托环卫清运，废机油和废切削液委托</w:t>
                  </w:r>
                  <w:r>
                    <w:rPr>
                      <w:rFonts w:hint="eastAsia" w:ascii="Times New Roman" w:hAnsi="Times New Roman" w:eastAsia="宋体" w:cs="Times New Roman"/>
                      <w:i w:val="0"/>
                      <w:color w:val="auto"/>
                      <w:sz w:val="21"/>
                      <w:szCs w:val="21"/>
                      <w:u w:val="none"/>
                      <w:lang w:val="en-US" w:eastAsia="zh-CN"/>
                    </w:rPr>
                    <w:t>江苏众时环境科技有限公司</w:t>
                  </w:r>
                  <w:r>
                    <w:rPr>
                      <w:rFonts w:hint="eastAsia" w:ascii="Times New Roman" w:hAnsi="Times New Roman" w:eastAsia="宋体"/>
                      <w:color w:val="auto"/>
                      <w:kern w:val="0"/>
                      <w:sz w:val="21"/>
                      <w:szCs w:val="21"/>
                      <w:lang w:val="en-US" w:eastAsia="zh-CN"/>
                    </w:rPr>
                    <w:t>进行处理。</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rPr>
                    <w:t>5</w:t>
                  </w:r>
                </w:p>
              </w:tc>
              <w:tc>
                <w:tcPr>
                  <w:tcW w:w="3503" w:type="dxa"/>
                  <w:tcBorders>
                    <w:tl2br w:val="nil"/>
                    <w:tr2bl w:val="nil"/>
                  </w:tcBorders>
                  <w:vAlign w:val="center"/>
                </w:tcPr>
                <w:p>
                  <w:pPr>
                    <w:pStyle w:val="33"/>
                    <w:ind w:firstLine="420" w:firstLineChars="200"/>
                    <w:jc w:val="left"/>
                    <w:rPr>
                      <w:rFonts w:hint="eastAsia" w:ascii="Times New Roman" w:hAnsi="Times New Roman" w:eastAsia="宋体"/>
                      <w:color w:val="auto"/>
                      <w:sz w:val="21"/>
                      <w:szCs w:val="21"/>
                    </w:rPr>
                  </w:pPr>
                  <w:r>
                    <w:rPr>
                      <w:rFonts w:hint="eastAsia" w:ascii="Times New Roman" w:hAnsi="Times New Roman" w:eastAsia="宋体"/>
                      <w:color w:val="auto"/>
                      <w:sz w:val="21"/>
                      <w:szCs w:val="21"/>
                    </w:rPr>
                    <w:t>卫生防护距离。严格按照环评报告的平面布置图要求布设生产车间，该项目建成后，建议设置以切割区、焊接打磨区为执行边界的50米卫生防护距离，卫生防护距离范围内的相关管理要求按有关部门的政策规定执行。</w:t>
                  </w:r>
                </w:p>
              </w:tc>
              <w:tc>
                <w:tcPr>
                  <w:tcW w:w="3208" w:type="dxa"/>
                  <w:tcBorders>
                    <w:tl2br w:val="nil"/>
                    <w:tr2bl w:val="nil"/>
                  </w:tcBorders>
                  <w:vAlign w:val="center"/>
                </w:tcPr>
                <w:p>
                  <w:pPr>
                    <w:ind w:firstLine="420" w:firstLineChars="200"/>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项目切割区、焊接打磨区执行50m，卫生防护距离范围内无敏感点。</w:t>
                  </w:r>
                </w:p>
              </w:tc>
              <w:tc>
                <w:tcPr>
                  <w:tcW w:w="1216" w:type="dxa"/>
                  <w:tcBorders>
                    <w:tl2br w:val="nil"/>
                    <w:tr2bl w:val="nil"/>
                  </w:tcBorders>
                  <w:vAlign w:val="center"/>
                </w:tcPr>
                <w:p>
                  <w:pPr>
                    <w:pStyle w:val="9"/>
                    <w:jc w:val="center"/>
                    <w:rPr>
                      <w:rFonts w:hint="eastAsia" w:ascii="Times New Roman" w:hAnsi="Times New Roman"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rPr>
                    <w:t>6</w:t>
                  </w:r>
                </w:p>
              </w:tc>
              <w:tc>
                <w:tcPr>
                  <w:tcW w:w="3503" w:type="dxa"/>
                  <w:tcBorders>
                    <w:tl2br w:val="nil"/>
                    <w:tr2bl w:val="nil"/>
                  </w:tcBorders>
                  <w:vAlign w:val="center"/>
                </w:tcPr>
                <w:p>
                  <w:pPr>
                    <w:pStyle w:val="33"/>
                    <w:ind w:firstLine="420" w:firstLineChars="200"/>
                    <w:jc w:val="left"/>
                    <w:rPr>
                      <w:rFonts w:ascii="Times New Roman" w:hAnsi="Times New Roman" w:eastAsia="宋体"/>
                      <w:color w:val="auto"/>
                      <w:sz w:val="21"/>
                      <w:szCs w:val="21"/>
                    </w:rPr>
                  </w:pPr>
                  <w:r>
                    <w:rPr>
                      <w:rFonts w:hint="eastAsia" w:ascii="Times New Roman" w:hAnsi="Times New Roman" w:eastAsia="宋体"/>
                      <w:color w:val="auto"/>
                      <w:sz w:val="21"/>
                      <w:szCs w:val="21"/>
                    </w:rPr>
                    <w:t>制度建立。必须建立健全环境管理各项规章制度，积极推行清洁生产审计制度，做到节能、降耗减污、增效。加强日常监管和设备的维护,杜绝事故的发生。</w:t>
                  </w:r>
                </w:p>
              </w:tc>
              <w:tc>
                <w:tcPr>
                  <w:tcW w:w="3208" w:type="dxa"/>
                  <w:tcBorders>
                    <w:tl2br w:val="nil"/>
                    <w:tr2bl w:val="nil"/>
                  </w:tcBorders>
                  <w:vAlign w:val="center"/>
                </w:tcPr>
                <w:p>
                  <w:pPr>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项目已建立健全环境管理规章制度和事故风险防范应急机制；待全部项目建成</w:t>
                  </w:r>
                  <w:r>
                    <w:rPr>
                      <w:rFonts w:hint="eastAsia"/>
                      <w:color w:val="auto"/>
                      <w:sz w:val="21"/>
                      <w:szCs w:val="21"/>
                      <w:lang w:val="en-US" w:eastAsia="zh-CN"/>
                    </w:rPr>
                    <w:t>后</w:t>
                  </w:r>
                  <w:r>
                    <w:rPr>
                      <w:rFonts w:hint="eastAsia" w:ascii="Times New Roman" w:hAnsi="Times New Roman" w:eastAsia="宋体"/>
                      <w:color w:val="auto"/>
                      <w:sz w:val="21"/>
                      <w:szCs w:val="21"/>
                    </w:rPr>
                    <w:t>制定风险防范及应急预案，积极推行清洁生产审计。</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rPr>
                    <w:t>7</w:t>
                  </w:r>
                </w:p>
              </w:tc>
              <w:tc>
                <w:tcPr>
                  <w:tcW w:w="3503" w:type="dxa"/>
                  <w:tcBorders>
                    <w:tl2br w:val="nil"/>
                    <w:tr2bl w:val="nil"/>
                  </w:tcBorders>
                  <w:vAlign w:val="center"/>
                </w:tcPr>
                <w:p>
                  <w:pPr>
                    <w:pStyle w:val="33"/>
                    <w:ind w:firstLine="420" w:firstLineChars="200"/>
                    <w:jc w:val="left"/>
                    <w:rPr>
                      <w:rFonts w:ascii="Times New Roman" w:hAnsi="Times New Roman" w:eastAsia="宋体"/>
                      <w:color w:val="auto"/>
                      <w:sz w:val="21"/>
                      <w:szCs w:val="21"/>
                    </w:rPr>
                  </w:pPr>
                  <w:r>
                    <w:rPr>
                      <w:rFonts w:hint="eastAsia" w:ascii="Times New Roman" w:hAnsi="Times New Roman" w:eastAsia="宋体"/>
                      <w:color w:val="auto"/>
                      <w:sz w:val="21"/>
                      <w:szCs w:val="21"/>
                    </w:rPr>
                    <w:t>厂区绿化。加强厂区绿化建设，厂界四周建设一定宽度的绿化隔离带，以减轻废气和噪声对周围环境的影响。</w:t>
                  </w:r>
                </w:p>
              </w:tc>
              <w:tc>
                <w:tcPr>
                  <w:tcW w:w="3208" w:type="dxa"/>
                  <w:tcBorders>
                    <w:tl2br w:val="nil"/>
                    <w:tr2bl w:val="nil"/>
                  </w:tcBorders>
                  <w:vAlign w:val="center"/>
                </w:tcPr>
                <w:p>
                  <w:pPr>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厂区已种植部分绿化，美化厂区环境，减少噪声排放。</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2" w:type="dxa"/>
                  <w:tcBorders>
                    <w:tl2br w:val="nil"/>
                    <w:tr2bl w:val="nil"/>
                  </w:tcBorders>
                  <w:vAlign w:val="center"/>
                </w:tcPr>
                <w:p>
                  <w:pPr>
                    <w:pStyle w:val="9"/>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w:t>
                  </w:r>
                </w:p>
              </w:tc>
              <w:tc>
                <w:tcPr>
                  <w:tcW w:w="3503" w:type="dxa"/>
                  <w:tcBorders>
                    <w:tl2br w:val="nil"/>
                    <w:tr2bl w:val="nil"/>
                  </w:tcBorders>
                  <w:vAlign w:val="center"/>
                </w:tcPr>
                <w:p>
                  <w:pPr>
                    <w:pStyle w:val="33"/>
                    <w:ind w:firstLine="420" w:firstLineChars="200"/>
                    <w:jc w:val="left"/>
                    <w:rPr>
                      <w:rFonts w:ascii="Times New Roman" w:hAnsi="Times New Roman" w:eastAsia="宋体"/>
                      <w:color w:val="auto"/>
                      <w:sz w:val="21"/>
                      <w:szCs w:val="21"/>
                    </w:rPr>
                  </w:pPr>
                  <w:r>
                    <w:rPr>
                      <w:rFonts w:hint="eastAsia" w:ascii="Times New Roman" w:hAnsi="Times New Roman" w:eastAsia="宋体"/>
                      <w:color w:val="auto"/>
                      <w:sz w:val="21"/>
                      <w:szCs w:val="21"/>
                    </w:rPr>
                    <w:t>总量指标。本项目建成后，全厂主要污染物总量指标如下</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水污染物总量控制(考核)指标:废水量731t/a、CODcr0.256t/a、氨氮0.0256t/a;气污染物总量控制指标和固废总量指标为零</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其他污染物排放量不得突破《报告表》中预测的排放总量。</w:t>
                  </w:r>
                </w:p>
              </w:tc>
              <w:tc>
                <w:tcPr>
                  <w:tcW w:w="3208" w:type="dxa"/>
                  <w:tcBorders>
                    <w:tl2br w:val="nil"/>
                    <w:tr2bl w:val="nil"/>
                  </w:tcBorders>
                  <w:vAlign w:val="center"/>
                </w:tcPr>
                <w:p>
                  <w:pPr>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项目废水污染物排放未超总量；少量颗粒物无组织排放，无需申请总量。</w:t>
                  </w:r>
                </w:p>
              </w:tc>
              <w:tc>
                <w:tcPr>
                  <w:tcW w:w="1216" w:type="dxa"/>
                  <w:tcBorders>
                    <w:tl2br w:val="nil"/>
                    <w:tr2bl w:val="nil"/>
                  </w:tcBorders>
                  <w:vAlign w:val="center"/>
                </w:tcPr>
                <w:p>
                  <w:pPr>
                    <w:pStyle w:val="9"/>
                    <w:jc w:val="center"/>
                    <w:rPr>
                      <w:rFonts w:ascii="Times New Roman" w:hAnsi="Times New Roman" w:eastAsia="宋体"/>
                      <w:color w:val="auto"/>
                      <w:sz w:val="21"/>
                      <w:szCs w:val="21"/>
                    </w:rPr>
                  </w:pPr>
                  <w:r>
                    <w:rPr>
                      <w:rFonts w:hint="eastAsia" w:ascii="Times New Roman" w:hAnsi="Times New Roman" w:eastAsia="宋体"/>
                      <w:color w:val="auto"/>
                      <w:sz w:val="21"/>
                      <w:szCs w:val="21"/>
                    </w:rPr>
                    <w:t>相符</w:t>
                  </w:r>
                </w:p>
              </w:tc>
            </w:tr>
          </w:tbl>
          <w:p>
            <w:pPr>
              <w:pStyle w:val="7"/>
              <w:spacing w:before="0"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6</w:t>
            </w:r>
            <w:r>
              <w:rPr>
                <w:rFonts w:ascii="Times New Roman" w:hAnsi="Times New Roman" w:eastAsia="宋体"/>
                <w:color w:val="auto"/>
                <w:sz w:val="24"/>
                <w:szCs w:val="24"/>
              </w:rPr>
              <w:t>、</w:t>
            </w:r>
            <w:r>
              <w:rPr>
                <w:rFonts w:hint="eastAsia" w:ascii="Times New Roman" w:hAnsi="Times New Roman" w:eastAsia="宋体"/>
                <w:color w:val="auto"/>
                <w:sz w:val="24"/>
                <w:szCs w:val="24"/>
              </w:rPr>
              <w:t>环境风险</w:t>
            </w:r>
          </w:p>
          <w:p>
            <w:pPr>
              <w:pStyle w:val="7"/>
              <w:spacing w:before="0" w:after="0" w:line="360" w:lineRule="auto"/>
              <w:ind w:firstLine="480" w:firstLineChars="200"/>
              <w:jc w:val="left"/>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南通浩正机械设备有限公司</w:t>
            </w:r>
            <w:r>
              <w:rPr>
                <w:rFonts w:hint="eastAsia" w:ascii="Times New Roman" w:hAnsi="Times New Roman" w:eastAsia="宋体"/>
                <w:color w:val="auto"/>
                <w:sz w:val="24"/>
                <w:szCs w:val="24"/>
              </w:rPr>
              <w:t>生产过程中环境风险较小，</w:t>
            </w:r>
            <w:r>
              <w:rPr>
                <w:rFonts w:hint="eastAsia" w:ascii="Times New Roman" w:hAnsi="Times New Roman" w:eastAsia="宋体"/>
                <w:sz w:val="24"/>
                <w:szCs w:val="24"/>
                <w:lang w:val="en-US" w:eastAsia="zh-CN"/>
              </w:rPr>
              <w:t>企业自建厂以来未发生过突</w:t>
            </w:r>
            <w:r>
              <w:rPr>
                <w:rFonts w:hint="eastAsia"/>
                <w:sz w:val="24"/>
                <w:szCs w:val="24"/>
                <w:lang w:val="en-US" w:eastAsia="zh-CN"/>
              </w:rPr>
              <w:t>发</w:t>
            </w:r>
            <w:r>
              <w:rPr>
                <w:rFonts w:hint="eastAsia" w:ascii="Times New Roman" w:hAnsi="Times New Roman" w:eastAsia="宋体"/>
                <w:sz w:val="24"/>
                <w:szCs w:val="24"/>
                <w:lang w:val="en-US" w:eastAsia="zh-CN"/>
              </w:rPr>
              <w:t>环境事件，也未收到环境类投诉及信访，</w:t>
            </w:r>
            <w:r>
              <w:rPr>
                <w:rFonts w:ascii="Times New Roman" w:hAnsi="Times New Roman" w:eastAsia="宋体"/>
                <w:color w:val="000000"/>
                <w:sz w:val="24"/>
                <w:szCs w:val="24"/>
              </w:rPr>
              <w:t>企业已经建立各种有关消防与安全生产的规章制度，建立了岗位责任制。</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①现有项目风险防范措施</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a、建立健全各项安全生产制度</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企业根据法律法规要求制订完善安全生产责任制、安全生产规章制度和安全生产操作规程并严格执行。按照规定设置安全生产管理机构，配足安全生产管理人员。认真落实安全生产培训教育制度，企业主要负责人、安全管理人员、特种作业人员需持证上岗，从业人员应依法签订劳动合同并经培训合格后，上岗。</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b、生产车间风险防范措施</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加强生产过程的全过程控制，车间内管路系统按有关标准进行良好设计、制作及安装，由当地有关质检部门进行验收并通过后方才投入使用；定期由专人检查管路情况，杜绝跑冒滴漏的现象。</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②企业应急预案编制情况</w:t>
            </w:r>
          </w:p>
          <w:p>
            <w:pPr>
              <w:pStyle w:val="7"/>
              <w:spacing w:before="0" w:after="0"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企业</w:t>
            </w:r>
            <w:r>
              <w:rPr>
                <w:rFonts w:hint="eastAsia" w:ascii="Times New Roman" w:hAnsi="Times New Roman" w:eastAsia="宋体"/>
                <w:color w:val="auto"/>
                <w:sz w:val="24"/>
                <w:szCs w:val="24"/>
              </w:rPr>
              <w:t>暂未编制</w:t>
            </w:r>
            <w:r>
              <w:rPr>
                <w:rFonts w:ascii="Times New Roman" w:hAnsi="Times New Roman" w:eastAsia="宋体"/>
                <w:color w:val="auto"/>
                <w:sz w:val="24"/>
                <w:szCs w:val="24"/>
              </w:rPr>
              <w:t>突发环境事件应急预案。</w:t>
            </w:r>
          </w:p>
          <w:p>
            <w:pPr>
              <w:pStyle w:val="9"/>
              <w:adjustRightInd w:val="0"/>
              <w:snapToGrid w:val="0"/>
              <w:spacing w:line="360" w:lineRule="auto"/>
              <w:rPr>
                <w:rFonts w:ascii="Times New Roman" w:hAnsi="Times New Roman" w:eastAsia="宋体"/>
                <w:b/>
                <w:bCs/>
                <w:color w:val="auto"/>
                <w:sz w:val="24"/>
              </w:rPr>
            </w:pPr>
            <w:r>
              <w:rPr>
                <w:rFonts w:hint="eastAsia" w:ascii="Times New Roman" w:hAnsi="Times New Roman" w:eastAsia="宋体"/>
                <w:b/>
                <w:bCs/>
                <w:color w:val="auto"/>
                <w:sz w:val="24"/>
              </w:rPr>
              <w:t>（五）</w:t>
            </w:r>
            <w:r>
              <w:rPr>
                <w:rFonts w:ascii="Times New Roman" w:hAnsi="Times New Roman" w:eastAsia="宋体"/>
                <w:b/>
                <w:bCs/>
                <w:color w:val="auto"/>
                <w:sz w:val="24"/>
              </w:rPr>
              <w:t>现有项目污染物排放量</w:t>
            </w:r>
          </w:p>
          <w:p>
            <w:pPr>
              <w:pStyle w:val="6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lang w:val="en-US" w:eastAsia="zh-CN"/>
              </w:rPr>
            </w:pPr>
            <w:r>
              <w:rPr>
                <w:rFonts w:hint="eastAsia" w:cs="Times New Roman"/>
                <w:color w:val="auto"/>
                <w:lang w:val="en-US" w:eastAsia="zh-CN"/>
              </w:rPr>
              <w:t>1）验收监测期间生产工况记录</w:t>
            </w:r>
          </w:p>
          <w:p>
            <w:pPr>
              <w:pStyle w:val="6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lang w:val="en-US" w:eastAsia="zh-CN"/>
              </w:rPr>
            </w:pPr>
            <w:r>
              <w:rPr>
                <w:rFonts w:hint="default" w:ascii="Times New Roman" w:hAnsi="Times New Roman" w:eastAsia="宋体" w:cs="Times New Roman"/>
                <w:color w:val="auto"/>
                <w:sz w:val="24"/>
                <w:szCs w:val="24"/>
                <w:highlight w:val="none"/>
                <w:lang w:val="en-US" w:eastAsia="zh-CN"/>
              </w:rPr>
              <w:t>监测期间工况一览表见</w:t>
            </w:r>
            <w:r>
              <w:rPr>
                <w:rFonts w:hint="eastAsia" w:ascii="Times New Roman" w:hAnsi="Times New Roman" w:eastAsia="宋体" w:cs="Times New Roman"/>
                <w:color w:val="auto"/>
                <w:sz w:val="24"/>
                <w:szCs w:val="24"/>
                <w:highlight w:val="none"/>
                <w:lang w:val="en-US" w:eastAsia="zh-CN"/>
              </w:rPr>
              <w:t>下表</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2-21</w:t>
            </w:r>
            <w:r>
              <w:rPr>
                <w:rFonts w:hint="default" w:ascii="Times New Roman" w:hAnsi="Times New Roman" w:eastAsia="宋体" w:cs="Times New Roman"/>
                <w:b/>
                <w:bCs/>
                <w:color w:val="auto"/>
                <w:sz w:val="24"/>
                <w:szCs w:val="24"/>
                <w:highlight w:val="none"/>
                <w:lang w:val="en-US" w:eastAsia="zh-CN"/>
              </w:rPr>
              <w:t xml:space="preserve"> 监测期间运行工况一览表</w:t>
            </w:r>
          </w:p>
          <w:tbl>
            <w:tblPr>
              <w:tblStyle w:val="21"/>
              <w:tblW w:w="4997" w:type="pct"/>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70"/>
              <w:gridCol w:w="692"/>
              <w:gridCol w:w="1137"/>
              <w:gridCol w:w="1225"/>
              <w:gridCol w:w="1130"/>
              <w:gridCol w:w="1630"/>
              <w:gridCol w:w="7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008"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监测日期</w:t>
                  </w:r>
                </w:p>
              </w:tc>
              <w:tc>
                <w:tcPr>
                  <w:tcW w:w="418"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生产项目</w:t>
                  </w:r>
                </w:p>
              </w:tc>
              <w:tc>
                <w:tcPr>
                  <w:tcW w:w="686"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环评设计能力（</w:t>
                  </w:r>
                  <w:r>
                    <w:rPr>
                      <w:rFonts w:hint="eastAsia" w:ascii="Times New Roman" w:hAnsi="Times New Roman" w:eastAsia="宋体" w:cs="Times New Roman"/>
                      <w:b/>
                      <w:i w:val="0"/>
                      <w:color w:val="auto"/>
                      <w:kern w:val="0"/>
                      <w:sz w:val="21"/>
                      <w:szCs w:val="21"/>
                      <w:u w:val="none"/>
                      <w:lang w:val="en-US" w:eastAsia="zh-CN" w:bidi="ar"/>
                    </w:rPr>
                    <w:t>t</w:t>
                  </w:r>
                  <w:r>
                    <w:rPr>
                      <w:rFonts w:hint="default" w:ascii="Times New Roman" w:hAnsi="Times New Roman" w:eastAsia="宋体" w:cs="Times New Roman"/>
                      <w:b/>
                      <w:i w:val="0"/>
                      <w:color w:val="auto"/>
                      <w:kern w:val="0"/>
                      <w:sz w:val="21"/>
                      <w:szCs w:val="21"/>
                      <w:u w:val="none"/>
                      <w:lang w:val="en-US" w:eastAsia="zh-CN" w:bidi="ar"/>
                    </w:rPr>
                    <w:t>/年）</w:t>
                  </w:r>
                </w:p>
              </w:tc>
              <w:tc>
                <w:tcPr>
                  <w:tcW w:w="739"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实际生产能力（</w:t>
                  </w:r>
                  <w:r>
                    <w:rPr>
                      <w:rFonts w:hint="eastAsia" w:ascii="Times New Roman" w:hAnsi="Times New Roman" w:eastAsia="宋体" w:cs="Times New Roman"/>
                      <w:b/>
                      <w:i w:val="0"/>
                      <w:color w:val="auto"/>
                      <w:kern w:val="0"/>
                      <w:sz w:val="21"/>
                      <w:szCs w:val="21"/>
                      <w:u w:val="none"/>
                      <w:lang w:val="en-US" w:eastAsia="zh-CN" w:bidi="ar"/>
                    </w:rPr>
                    <w:t>t</w:t>
                  </w:r>
                  <w:r>
                    <w:rPr>
                      <w:rFonts w:hint="default" w:ascii="Times New Roman" w:hAnsi="Times New Roman" w:eastAsia="宋体" w:cs="Times New Roman"/>
                      <w:b/>
                      <w:i w:val="0"/>
                      <w:color w:val="auto"/>
                      <w:kern w:val="0"/>
                      <w:sz w:val="21"/>
                      <w:szCs w:val="21"/>
                      <w:u w:val="none"/>
                      <w:lang w:val="en-US" w:eastAsia="zh-CN" w:bidi="ar"/>
                    </w:rPr>
                    <w:t>/年）</w:t>
                  </w:r>
                </w:p>
              </w:tc>
              <w:tc>
                <w:tcPr>
                  <w:tcW w:w="682"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环评生产能力（</w:t>
                  </w:r>
                  <w:r>
                    <w:rPr>
                      <w:rFonts w:hint="eastAsia" w:ascii="Times New Roman" w:hAnsi="Times New Roman" w:eastAsia="宋体" w:cs="Times New Roman"/>
                      <w:b/>
                      <w:i w:val="0"/>
                      <w:color w:val="auto"/>
                      <w:kern w:val="0"/>
                      <w:sz w:val="21"/>
                      <w:szCs w:val="21"/>
                      <w:u w:val="none"/>
                      <w:lang w:val="en-US" w:eastAsia="zh-CN" w:bidi="ar"/>
                    </w:rPr>
                    <w:t>t</w:t>
                  </w:r>
                  <w:r>
                    <w:rPr>
                      <w:rFonts w:hint="default" w:ascii="Times New Roman" w:hAnsi="Times New Roman" w:eastAsia="宋体" w:cs="Times New Roman"/>
                      <w:b/>
                      <w:i w:val="0"/>
                      <w:color w:val="auto"/>
                      <w:kern w:val="0"/>
                      <w:sz w:val="21"/>
                      <w:szCs w:val="21"/>
                      <w:u w:val="none"/>
                      <w:lang w:val="en-US" w:eastAsia="zh-CN" w:bidi="ar"/>
                    </w:rPr>
                    <w:t>/天）</w:t>
                  </w:r>
                </w:p>
              </w:tc>
              <w:tc>
                <w:tcPr>
                  <w:tcW w:w="984"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验收期间实际生产能力（</w:t>
                  </w:r>
                  <w:r>
                    <w:rPr>
                      <w:rFonts w:hint="eastAsia" w:ascii="Times New Roman" w:hAnsi="Times New Roman" w:eastAsia="宋体" w:cs="Times New Roman"/>
                      <w:b/>
                      <w:i w:val="0"/>
                      <w:color w:val="auto"/>
                      <w:kern w:val="0"/>
                      <w:sz w:val="21"/>
                      <w:szCs w:val="21"/>
                      <w:u w:val="none"/>
                      <w:lang w:val="en-US" w:eastAsia="zh-CN" w:bidi="ar"/>
                    </w:rPr>
                    <w:t>t</w:t>
                  </w:r>
                  <w:r>
                    <w:rPr>
                      <w:rFonts w:hint="default" w:ascii="Times New Roman" w:hAnsi="Times New Roman" w:eastAsia="宋体" w:cs="Times New Roman"/>
                      <w:b/>
                      <w:i w:val="0"/>
                      <w:color w:val="auto"/>
                      <w:kern w:val="0"/>
                      <w:sz w:val="21"/>
                      <w:szCs w:val="21"/>
                      <w:u w:val="none"/>
                      <w:lang w:val="en-US" w:eastAsia="zh-CN" w:bidi="ar"/>
                    </w:rPr>
                    <w:t>/天）</w:t>
                  </w:r>
                </w:p>
              </w:tc>
              <w:tc>
                <w:tcPr>
                  <w:tcW w:w="480"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运行负荷%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008"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w:t>
                  </w:r>
                  <w:r>
                    <w:rPr>
                      <w:rFonts w:hint="eastAsia" w:ascii="Times New Roman" w:hAnsi="Times New Roman" w:eastAsia="宋体" w:cs="Times New Roman"/>
                      <w:i w:val="0"/>
                      <w:color w:val="auto"/>
                      <w:kern w:val="0"/>
                      <w:sz w:val="21"/>
                      <w:szCs w:val="21"/>
                      <w:u w:val="none"/>
                      <w:lang w:val="en-US" w:eastAsia="zh-CN" w:bidi="ar"/>
                    </w:rPr>
                    <w:t>1</w:t>
                  </w:r>
                  <w:r>
                    <w:rPr>
                      <w:rFonts w:hint="default" w:ascii="Times New Roman" w:hAnsi="Times New Roman" w:eastAsia="宋体" w:cs="Times New Roman"/>
                      <w:i w:val="0"/>
                      <w:color w:val="auto"/>
                      <w:kern w:val="0"/>
                      <w:sz w:val="21"/>
                      <w:szCs w:val="21"/>
                      <w:u w:val="none"/>
                      <w:lang w:val="en-US" w:eastAsia="zh-CN" w:bidi="ar"/>
                    </w:rPr>
                    <w:t>年</w:t>
                  </w:r>
                  <w:r>
                    <w:rPr>
                      <w:rFonts w:hint="eastAsia" w:ascii="Times New Roman" w:hAnsi="Times New Roman" w:eastAsia="宋体" w:cs="Times New Roman"/>
                      <w:i w:val="0"/>
                      <w:color w:val="auto"/>
                      <w:kern w:val="0"/>
                      <w:sz w:val="21"/>
                      <w:szCs w:val="21"/>
                      <w:u w:val="none"/>
                      <w:lang w:val="en-US" w:eastAsia="zh-CN" w:bidi="ar"/>
                    </w:rPr>
                    <w:t>1</w:t>
                  </w:r>
                  <w:r>
                    <w:rPr>
                      <w:rFonts w:hint="default" w:ascii="Times New Roman" w:hAnsi="Times New Roman" w:eastAsia="宋体" w:cs="Times New Roman"/>
                      <w:i w:val="0"/>
                      <w:color w:val="auto"/>
                      <w:kern w:val="0"/>
                      <w:sz w:val="21"/>
                      <w:szCs w:val="21"/>
                      <w:u w:val="none"/>
                      <w:lang w:val="en-US" w:eastAsia="zh-CN" w:bidi="ar"/>
                    </w:rPr>
                    <w:t>月</w:t>
                  </w:r>
                  <w:r>
                    <w:rPr>
                      <w:rFonts w:hint="eastAsia" w:ascii="Times New Roman" w:hAnsi="Times New Roman" w:eastAsia="宋体" w:cs="Times New Roman"/>
                      <w:i w:val="0"/>
                      <w:color w:val="auto"/>
                      <w:kern w:val="0"/>
                      <w:sz w:val="21"/>
                      <w:szCs w:val="21"/>
                      <w:u w:val="none"/>
                      <w:lang w:val="en-US" w:eastAsia="zh-CN" w:bidi="ar"/>
                    </w:rPr>
                    <w:t>16</w:t>
                  </w:r>
                  <w:r>
                    <w:rPr>
                      <w:rFonts w:hint="default" w:ascii="Times New Roman" w:hAnsi="Times New Roman" w:eastAsia="宋体" w:cs="Times New Roman"/>
                      <w:i w:val="0"/>
                      <w:color w:val="auto"/>
                      <w:kern w:val="0"/>
                      <w:sz w:val="21"/>
                      <w:szCs w:val="21"/>
                      <w:u w:val="none"/>
                      <w:lang w:val="en-US" w:eastAsia="zh-CN" w:bidi="ar"/>
                    </w:rPr>
                    <w:t>日</w:t>
                  </w:r>
                </w:p>
              </w:tc>
              <w:tc>
                <w:tcPr>
                  <w:tcW w:w="418" w:type="pct"/>
                  <w:vMerge w:val="restar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kern w:val="0"/>
                      <w:sz w:val="21"/>
                      <w:szCs w:val="21"/>
                      <w:u w:val="none"/>
                      <w:lang w:val="en-US" w:eastAsia="zh-CN" w:bidi="ar"/>
                    </w:rPr>
                    <w:t xml:space="preserve"> 新建1200吨港口自动化机械配套件</w:t>
                  </w:r>
                </w:p>
              </w:tc>
              <w:tc>
                <w:tcPr>
                  <w:tcW w:w="686"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color w:val="auto"/>
                      <w:sz w:val="21"/>
                      <w:szCs w:val="21"/>
                      <w:u w:val="none"/>
                      <w:lang w:val="en-US" w:eastAsia="zh-CN"/>
                    </w:rPr>
                    <w:t>1200</w:t>
                  </w:r>
                </w:p>
              </w:tc>
              <w:tc>
                <w:tcPr>
                  <w:tcW w:w="739"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1200</w:t>
                  </w:r>
                </w:p>
              </w:tc>
              <w:tc>
                <w:tcPr>
                  <w:tcW w:w="682"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3.69</w:t>
                  </w:r>
                </w:p>
              </w:tc>
              <w:tc>
                <w:tcPr>
                  <w:tcW w:w="984"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3.5</w:t>
                  </w:r>
                </w:p>
              </w:tc>
              <w:tc>
                <w:tcPr>
                  <w:tcW w:w="480"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kern w:val="0"/>
                      <w:sz w:val="21"/>
                      <w:szCs w:val="21"/>
                      <w:u w:val="none"/>
                      <w:lang w:val="en-US" w:eastAsia="zh-CN" w:bidi="ar"/>
                    </w:rPr>
                    <w:t>94.8</w:t>
                  </w: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08"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w:t>
                  </w:r>
                  <w:r>
                    <w:rPr>
                      <w:rFonts w:hint="eastAsia" w:ascii="Times New Roman" w:hAnsi="Times New Roman" w:eastAsia="宋体" w:cs="Times New Roman"/>
                      <w:i w:val="0"/>
                      <w:color w:val="auto"/>
                      <w:kern w:val="0"/>
                      <w:sz w:val="21"/>
                      <w:szCs w:val="21"/>
                      <w:u w:val="none"/>
                      <w:lang w:val="en-US" w:eastAsia="zh-CN" w:bidi="ar"/>
                    </w:rPr>
                    <w:t>1</w:t>
                  </w:r>
                  <w:r>
                    <w:rPr>
                      <w:rFonts w:hint="default" w:ascii="Times New Roman" w:hAnsi="Times New Roman" w:eastAsia="宋体" w:cs="Times New Roman"/>
                      <w:i w:val="0"/>
                      <w:color w:val="auto"/>
                      <w:kern w:val="0"/>
                      <w:sz w:val="21"/>
                      <w:szCs w:val="21"/>
                      <w:u w:val="none"/>
                      <w:lang w:val="en-US" w:eastAsia="zh-CN" w:bidi="ar"/>
                    </w:rPr>
                    <w:t>年</w:t>
                  </w:r>
                  <w:r>
                    <w:rPr>
                      <w:rFonts w:hint="eastAsia" w:ascii="Times New Roman" w:hAnsi="Times New Roman" w:eastAsia="宋体" w:cs="Times New Roman"/>
                      <w:i w:val="0"/>
                      <w:color w:val="auto"/>
                      <w:kern w:val="0"/>
                      <w:sz w:val="21"/>
                      <w:szCs w:val="21"/>
                      <w:u w:val="none"/>
                      <w:lang w:val="en-US" w:eastAsia="zh-CN" w:bidi="ar"/>
                    </w:rPr>
                    <w:t>1</w:t>
                  </w:r>
                  <w:r>
                    <w:rPr>
                      <w:rFonts w:hint="default" w:ascii="Times New Roman" w:hAnsi="Times New Roman" w:eastAsia="宋体" w:cs="Times New Roman"/>
                      <w:i w:val="0"/>
                      <w:color w:val="auto"/>
                      <w:kern w:val="0"/>
                      <w:sz w:val="21"/>
                      <w:szCs w:val="21"/>
                      <w:u w:val="none"/>
                      <w:lang w:val="en-US" w:eastAsia="zh-CN" w:bidi="ar"/>
                    </w:rPr>
                    <w:t>月</w:t>
                  </w:r>
                  <w:r>
                    <w:rPr>
                      <w:rFonts w:hint="eastAsia" w:ascii="Times New Roman" w:hAnsi="Times New Roman" w:eastAsia="宋体" w:cs="Times New Roman"/>
                      <w:i w:val="0"/>
                      <w:color w:val="auto"/>
                      <w:kern w:val="0"/>
                      <w:sz w:val="21"/>
                      <w:szCs w:val="21"/>
                      <w:u w:val="none"/>
                      <w:lang w:val="en-US" w:eastAsia="zh-CN" w:bidi="ar"/>
                    </w:rPr>
                    <w:t>17</w:t>
                  </w:r>
                  <w:r>
                    <w:rPr>
                      <w:rFonts w:hint="default" w:ascii="Times New Roman" w:hAnsi="Times New Roman" w:eastAsia="宋体" w:cs="Times New Roman"/>
                      <w:i w:val="0"/>
                      <w:color w:val="auto"/>
                      <w:kern w:val="0"/>
                      <w:sz w:val="21"/>
                      <w:szCs w:val="21"/>
                      <w:u w:val="none"/>
                      <w:lang w:val="en-US" w:eastAsia="zh-CN" w:bidi="ar"/>
                    </w:rPr>
                    <w:t>日</w:t>
                  </w:r>
                </w:p>
              </w:tc>
              <w:tc>
                <w:tcPr>
                  <w:tcW w:w="418" w:type="pct"/>
                  <w:vMerge w:val="continue"/>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rPr>
                  </w:pPr>
                </w:p>
              </w:tc>
              <w:tc>
                <w:tcPr>
                  <w:tcW w:w="686"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color w:val="auto"/>
                      <w:sz w:val="21"/>
                      <w:szCs w:val="21"/>
                      <w:u w:val="none"/>
                      <w:lang w:val="en-US" w:eastAsia="zh-CN"/>
                    </w:rPr>
                    <w:t>1200</w:t>
                  </w:r>
                </w:p>
              </w:tc>
              <w:tc>
                <w:tcPr>
                  <w:tcW w:w="739"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1200</w:t>
                  </w:r>
                </w:p>
              </w:tc>
              <w:tc>
                <w:tcPr>
                  <w:tcW w:w="682"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color w:val="auto"/>
                      <w:sz w:val="21"/>
                      <w:szCs w:val="21"/>
                      <w:u w:val="none"/>
                      <w:lang w:val="en-US" w:eastAsia="zh-CN"/>
                    </w:rPr>
                    <w:t>3.69</w:t>
                  </w:r>
                </w:p>
              </w:tc>
              <w:tc>
                <w:tcPr>
                  <w:tcW w:w="984"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3.5</w:t>
                  </w:r>
                </w:p>
              </w:tc>
              <w:tc>
                <w:tcPr>
                  <w:tcW w:w="480" w:type="pct"/>
                  <w:tcBorders>
                    <w:tl2br w:val="nil"/>
                    <w:tr2bl w:val="nil"/>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kern w:val="0"/>
                      <w:sz w:val="21"/>
                      <w:szCs w:val="21"/>
                      <w:u w:val="none"/>
                      <w:lang w:val="en-US" w:eastAsia="zh-CN" w:bidi="ar"/>
                    </w:rPr>
                    <w:t>94.8</w:t>
                  </w:r>
                  <w:r>
                    <w:rPr>
                      <w:rFonts w:hint="default" w:ascii="Times New Roman" w:hAnsi="Times New Roman" w:eastAsia="宋体" w:cs="Times New Roman"/>
                      <w:i w:val="0"/>
                      <w:color w:val="auto"/>
                      <w:kern w:val="0"/>
                      <w:sz w:val="21"/>
                      <w:szCs w:val="21"/>
                      <w:u w:val="none"/>
                      <w:lang w:val="en-US" w:eastAsia="zh-CN" w:bidi="ar"/>
                    </w:rPr>
                    <w:t>%</w:t>
                  </w:r>
                </w:p>
              </w:tc>
            </w:tr>
          </w:tbl>
          <w:p>
            <w:pPr>
              <w:pStyle w:val="6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cs="Times New Roman"/>
                <w:color w:val="auto"/>
                <w:lang w:val="en-US" w:eastAsia="zh-CN"/>
              </w:rPr>
              <w:t>2</w:t>
            </w:r>
            <w:r>
              <w:rPr>
                <w:rFonts w:hint="eastAsia" w:ascii="Times New Roman" w:hAnsi="Times New Roman" w:cs="Times New Roman"/>
                <w:color w:val="auto"/>
                <w:lang w:eastAsia="zh-CN"/>
              </w:rPr>
              <w:t>）</w:t>
            </w:r>
            <w:r>
              <w:rPr>
                <w:rFonts w:hint="default" w:ascii="Times New Roman" w:hAnsi="Times New Roman" w:cs="Times New Roman"/>
                <w:color w:val="auto"/>
              </w:rPr>
              <w:t>废水污染物排放总量核算</w:t>
            </w:r>
          </w:p>
          <w:p>
            <w:pPr>
              <w:pStyle w:val="6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lang w:val="en-US" w:eastAsia="zh-CN"/>
              </w:rPr>
            </w:pPr>
            <w:bookmarkStart w:id="18" w:name="_Toc14997"/>
            <w:r>
              <w:rPr>
                <w:rFonts w:hint="eastAsia" w:ascii="Times New Roman" w:hAnsi="Times New Roman" w:eastAsia="宋体" w:cs="Times New Roman"/>
                <w:color w:val="auto"/>
                <w:lang w:val="en-US" w:eastAsia="zh-CN"/>
              </w:rPr>
              <w:t>根据实际检测结果，核定污染物排放总量为：</w:t>
            </w:r>
            <w:bookmarkEnd w:id="18"/>
            <w:r>
              <w:rPr>
                <w:rFonts w:hint="eastAsia" w:ascii="Times New Roman" w:hAnsi="Times New Roman" w:eastAsia="宋体" w:cs="Times New Roman"/>
                <w:color w:val="auto"/>
                <w:lang w:val="en-US" w:eastAsia="zh-CN"/>
              </w:rPr>
              <w:t>项目废水年估排放量符合本项目的环评中的总量控制指标。</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表2-</w:t>
            </w:r>
            <w:r>
              <w:rPr>
                <w:rFonts w:hint="eastAsia" w:cs="Times New Roman"/>
                <w:b/>
                <w:bCs/>
                <w:color w:val="auto"/>
                <w:sz w:val="24"/>
                <w:szCs w:val="24"/>
                <w:highlight w:val="none"/>
                <w:lang w:val="en-US" w:eastAsia="zh-CN"/>
              </w:rPr>
              <w:t>22</w:t>
            </w:r>
            <w:r>
              <w:rPr>
                <w:rFonts w:hint="eastAsia" w:ascii="Times New Roman" w:hAnsi="Times New Roman" w:eastAsia="宋体" w:cs="Times New Roman"/>
                <w:b/>
                <w:bCs/>
                <w:color w:val="auto"/>
                <w:sz w:val="24"/>
                <w:szCs w:val="24"/>
                <w:highlight w:val="none"/>
                <w:lang w:val="en-US" w:eastAsia="zh-CN"/>
              </w:rPr>
              <w:t xml:space="preserve">  项目污染物总量核算  单位：t/a</w:t>
            </w:r>
          </w:p>
          <w:tbl>
            <w:tblPr>
              <w:tblStyle w:val="22"/>
              <w:tblW w:w="4996"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206"/>
              <w:gridCol w:w="1233"/>
              <w:gridCol w:w="1152"/>
              <w:gridCol w:w="1233"/>
              <w:gridCol w:w="1236"/>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控制项目</w:t>
                  </w:r>
                </w:p>
              </w:tc>
              <w:tc>
                <w:tcPr>
                  <w:tcW w:w="7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w:t>
                  </w: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污染物平均浓度（mg/L）</w:t>
                  </w:r>
                </w:p>
              </w:tc>
              <w:tc>
                <w:tcPr>
                  <w:tcW w:w="6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废水量（t/a）</w:t>
                  </w: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实际年估排放量</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环评总量控制指标</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是否符合总量要求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7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b w:val="0"/>
                      <w:bCs/>
                      <w:color w:val="auto"/>
                      <w:sz w:val="21"/>
                      <w:szCs w:val="21"/>
                    </w:rPr>
                    <w:t>化学需氧量</w:t>
                  </w:r>
                </w:p>
              </w:tc>
              <w:tc>
                <w:tcPr>
                  <w:tcW w:w="1237" w:type="dxa"/>
                  <w:tcBorders>
                    <w:tl2br w:val="nil"/>
                    <w:tr2bl w:val="nil"/>
                  </w:tcBorders>
                  <w:noWrap w:val="0"/>
                  <w:vAlign w:val="center"/>
                </w:tcPr>
                <w:p>
                  <w:pPr>
                    <w:keepNext w:val="0"/>
                    <w:keepLines w:val="0"/>
                    <w:widowControl w:val="0"/>
                    <w:suppressLineNumbers w:val="0"/>
                    <w:spacing w:line="320" w:lineRule="exact"/>
                    <w:jc w:val="center"/>
                    <w:textAlignment w:val="auto"/>
                    <w:outlineLvl w:val="9"/>
                    <w:rPr>
                      <w:rFonts w:hint="eastAsia" w:eastAsia="宋体"/>
                      <w:b w:val="0"/>
                      <w:bCs w:val="0"/>
                      <w:color w:val="auto"/>
                      <w:sz w:val="21"/>
                      <w:szCs w:val="21"/>
                      <w:lang w:val="en-US" w:eastAsia="zh-CN"/>
                    </w:rPr>
                  </w:pPr>
                  <w:r>
                    <w:rPr>
                      <w:rFonts w:hint="eastAsia" w:ascii="Times New Roman" w:hAnsi="Times New Roman" w:eastAsia="宋体" w:cs="Times New Roman"/>
                      <w:i w:val="0"/>
                      <w:iCs w:val="0"/>
                      <w:color w:val="auto"/>
                      <w:kern w:val="2"/>
                      <w:sz w:val="21"/>
                      <w:szCs w:val="21"/>
                      <w:u w:val="none"/>
                      <w:lang w:val="en-US" w:eastAsia="zh-CN" w:bidi="ar"/>
                    </w:rPr>
                    <w:t>114.5</w:t>
                  </w:r>
                </w:p>
              </w:tc>
              <w:tc>
                <w:tcPr>
                  <w:tcW w:w="6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eastAsia="宋体"/>
                      <w:b w:val="0"/>
                      <w:bCs/>
                      <w:color w:val="auto"/>
                      <w:sz w:val="21"/>
                      <w:szCs w:val="21"/>
                      <w:lang w:val="en-US" w:eastAsia="zh-CN"/>
                    </w:rPr>
                  </w:pPr>
                  <w:r>
                    <w:rPr>
                      <w:rFonts w:hint="eastAsia"/>
                      <w:b w:val="0"/>
                      <w:bCs/>
                      <w:color w:val="auto"/>
                      <w:sz w:val="21"/>
                      <w:szCs w:val="21"/>
                      <w:lang w:val="en-US" w:eastAsia="zh-CN"/>
                    </w:rPr>
                    <w:t>731</w:t>
                  </w: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0.0837</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0.256</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7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eastAsia="宋体"/>
                      <w:b w:val="0"/>
                      <w:bCs/>
                      <w:color w:val="auto"/>
                      <w:sz w:val="21"/>
                      <w:szCs w:val="21"/>
                      <w:lang w:val="en-US" w:eastAsia="zh-CN"/>
                    </w:rPr>
                  </w:pPr>
                  <w:r>
                    <w:rPr>
                      <w:rFonts w:hint="eastAsia"/>
                      <w:b w:val="0"/>
                      <w:bCs/>
                      <w:color w:val="auto"/>
                      <w:sz w:val="21"/>
                      <w:szCs w:val="21"/>
                      <w:lang w:val="en-US" w:eastAsia="zh-CN"/>
                    </w:rPr>
                    <w:t>悬浮物</w:t>
                  </w:r>
                </w:p>
              </w:tc>
              <w:tc>
                <w:tcPr>
                  <w:tcW w:w="1237" w:type="dxa"/>
                  <w:tcBorders>
                    <w:tl2br w:val="nil"/>
                    <w:tr2bl w:val="nil"/>
                  </w:tcBorders>
                  <w:noWrap w:val="0"/>
                  <w:vAlign w:val="center"/>
                </w:tcPr>
                <w:p>
                  <w:pPr>
                    <w:keepNext w:val="0"/>
                    <w:keepLines w:val="0"/>
                    <w:widowControl w:val="0"/>
                    <w:suppressLineNumbers w:val="0"/>
                    <w:spacing w:line="320" w:lineRule="exact"/>
                    <w:jc w:val="center"/>
                    <w:textAlignment w:val="auto"/>
                    <w:outlineLvl w:val="9"/>
                    <w:rPr>
                      <w:rFonts w:hint="eastAsia" w:eastAsia="宋体"/>
                      <w:b w:val="0"/>
                      <w:bCs w:val="0"/>
                      <w:color w:val="auto"/>
                      <w:sz w:val="21"/>
                      <w:szCs w:val="21"/>
                      <w:lang w:val="en-US" w:eastAsia="zh-CN"/>
                    </w:rPr>
                  </w:pPr>
                  <w:r>
                    <w:rPr>
                      <w:rFonts w:hint="eastAsia" w:ascii="Times New Roman" w:hAnsi="Times New Roman" w:eastAsia="宋体" w:cs="Times New Roman"/>
                      <w:i w:val="0"/>
                      <w:iCs w:val="0"/>
                      <w:color w:val="auto"/>
                      <w:kern w:val="2"/>
                      <w:sz w:val="21"/>
                      <w:szCs w:val="21"/>
                      <w:u w:val="none"/>
                      <w:lang w:val="en-US" w:eastAsia="zh-CN" w:bidi="ar"/>
                    </w:rPr>
                    <w:t>25.5</w:t>
                  </w:r>
                </w:p>
              </w:tc>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b w:val="0"/>
                      <w:bCs/>
                      <w:color w:val="auto"/>
                      <w:sz w:val="21"/>
                      <w:szCs w:val="21"/>
                      <w:lang w:val="en-US" w:eastAsia="zh-CN"/>
                    </w:rPr>
                  </w:pP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0.0186</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0.146</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b w:val="0"/>
                      <w:bCs/>
                      <w:color w:val="auto"/>
                      <w:sz w:val="21"/>
                      <w:szCs w:val="21"/>
                    </w:rPr>
                    <w:t>氨氮</w:t>
                  </w:r>
                </w:p>
              </w:tc>
              <w:tc>
                <w:tcPr>
                  <w:tcW w:w="1237" w:type="dxa"/>
                  <w:tcBorders>
                    <w:tl2br w:val="nil"/>
                    <w:tr2bl w:val="nil"/>
                  </w:tcBorders>
                  <w:noWrap w:val="0"/>
                  <w:vAlign w:val="center"/>
                </w:tcPr>
                <w:p>
                  <w:pPr>
                    <w:keepNext w:val="0"/>
                    <w:keepLines w:val="0"/>
                    <w:widowControl w:val="0"/>
                    <w:suppressLineNumbers w:val="0"/>
                    <w:spacing w:line="320" w:lineRule="exact"/>
                    <w:jc w:val="center"/>
                    <w:textAlignment w:val="auto"/>
                    <w:outlineLvl w:val="9"/>
                    <w:rPr>
                      <w:rFonts w:hint="eastAsia" w:eastAsia="宋体"/>
                      <w:b w:val="0"/>
                      <w:bCs w:val="0"/>
                      <w:color w:val="auto"/>
                      <w:sz w:val="21"/>
                      <w:szCs w:val="21"/>
                      <w:lang w:val="en-US" w:eastAsia="zh-CN"/>
                    </w:rPr>
                  </w:pPr>
                  <w:r>
                    <w:rPr>
                      <w:rFonts w:hint="eastAsia" w:ascii="Times New Roman" w:hAnsi="Times New Roman" w:eastAsia="宋体" w:cs="Times New Roman"/>
                      <w:i w:val="0"/>
                      <w:iCs w:val="0"/>
                      <w:color w:val="auto"/>
                      <w:kern w:val="2"/>
                      <w:sz w:val="21"/>
                      <w:szCs w:val="21"/>
                      <w:u w:val="none"/>
                      <w:lang w:val="en-US" w:eastAsia="zh-CN" w:bidi="ar"/>
                    </w:rPr>
                    <w:t>0.45</w:t>
                  </w:r>
                  <w:r>
                    <w:rPr>
                      <w:rFonts w:hint="eastAsia" w:eastAsia="宋体" w:cs="Times New Roman"/>
                      <w:i w:val="0"/>
                      <w:iCs w:val="0"/>
                      <w:color w:val="auto"/>
                      <w:kern w:val="2"/>
                      <w:sz w:val="21"/>
                      <w:szCs w:val="21"/>
                      <w:u w:val="none"/>
                      <w:lang w:val="en-US" w:eastAsia="zh-CN" w:bidi="ar"/>
                    </w:rPr>
                    <w:t>1</w:t>
                  </w:r>
                </w:p>
              </w:tc>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val="0"/>
                      <w:bCs/>
                      <w:color w:val="auto"/>
                      <w:sz w:val="21"/>
                      <w:szCs w:val="21"/>
                    </w:rPr>
                  </w:pP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0.00033</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0.0256</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b w:val="0"/>
                      <w:bCs/>
                      <w:color w:val="auto"/>
                      <w:sz w:val="21"/>
                      <w:szCs w:val="21"/>
                    </w:rPr>
                    <w:t>总磷</w:t>
                  </w:r>
                </w:p>
              </w:tc>
              <w:tc>
                <w:tcPr>
                  <w:tcW w:w="1237" w:type="dxa"/>
                  <w:tcBorders>
                    <w:tl2br w:val="nil"/>
                    <w:tr2bl w:val="nil"/>
                  </w:tcBorders>
                  <w:noWrap w:val="0"/>
                  <w:vAlign w:val="center"/>
                </w:tcPr>
                <w:p>
                  <w:pPr>
                    <w:keepNext w:val="0"/>
                    <w:keepLines w:val="0"/>
                    <w:widowControl w:val="0"/>
                    <w:suppressLineNumbers w:val="0"/>
                    <w:spacing w:line="320" w:lineRule="exact"/>
                    <w:jc w:val="center"/>
                    <w:textAlignment w:val="auto"/>
                    <w:outlineLvl w:val="9"/>
                    <w:rPr>
                      <w:rFonts w:hint="default" w:eastAsia="宋体"/>
                      <w:b w:val="0"/>
                      <w:bCs w:val="0"/>
                      <w:color w:val="auto"/>
                      <w:sz w:val="21"/>
                      <w:szCs w:val="21"/>
                      <w:lang w:val="en-US" w:eastAsia="zh-CN"/>
                    </w:rPr>
                  </w:pPr>
                  <w:r>
                    <w:rPr>
                      <w:rFonts w:hint="eastAsia" w:ascii="Times New Roman" w:hAnsi="Times New Roman" w:eastAsia="宋体" w:cs="Times New Roman"/>
                      <w:i w:val="0"/>
                      <w:iCs w:val="0"/>
                      <w:color w:val="auto"/>
                      <w:kern w:val="2"/>
                      <w:sz w:val="21"/>
                      <w:szCs w:val="21"/>
                      <w:u w:val="none"/>
                      <w:lang w:val="en-US" w:eastAsia="zh-CN" w:bidi="ar"/>
                    </w:rPr>
                    <w:t>0.4</w:t>
                  </w:r>
                  <w:r>
                    <w:rPr>
                      <w:rFonts w:hint="eastAsia" w:eastAsia="宋体" w:cs="Times New Roman"/>
                      <w:i w:val="0"/>
                      <w:iCs w:val="0"/>
                      <w:color w:val="auto"/>
                      <w:kern w:val="2"/>
                      <w:sz w:val="21"/>
                      <w:szCs w:val="21"/>
                      <w:u w:val="none"/>
                      <w:lang w:val="en-US" w:eastAsia="zh-CN" w:bidi="ar"/>
                    </w:rPr>
                    <w:t>60</w:t>
                  </w:r>
                </w:p>
              </w:tc>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val="0"/>
                      <w:bCs/>
                      <w:color w:val="auto"/>
                      <w:sz w:val="21"/>
                      <w:szCs w:val="21"/>
                    </w:rPr>
                  </w:pP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0.00034</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0.003</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pPr>
              <w:widowControl/>
              <w:adjustRightInd w:val="0"/>
              <w:snapToGrid w:val="0"/>
              <w:spacing w:line="360" w:lineRule="auto"/>
              <w:ind w:firstLine="480"/>
              <w:rPr>
                <w:rFonts w:ascii="Times New Roman" w:hAnsi="Times New Roman" w:eastAsia="宋体"/>
                <w:b/>
                <w:bCs/>
                <w:color w:val="auto"/>
                <w:sz w:val="24"/>
              </w:rPr>
            </w:pPr>
            <w:r>
              <w:rPr>
                <w:rFonts w:hint="eastAsia" w:ascii="Times New Roman" w:hAnsi="Times New Roman" w:eastAsia="宋体"/>
                <w:color w:val="auto"/>
                <w:sz w:val="24"/>
              </w:rPr>
              <w:t>根据现有已批项目，汇总</w:t>
            </w:r>
            <w:r>
              <w:rPr>
                <w:rFonts w:ascii="Times New Roman" w:hAnsi="Times New Roman" w:eastAsia="宋体"/>
                <w:color w:val="auto"/>
                <w:sz w:val="24"/>
              </w:rPr>
              <w:t>现有项目污染物排放情况见表</w:t>
            </w:r>
            <w:r>
              <w:rPr>
                <w:rFonts w:hint="eastAsia" w:ascii="Times New Roman" w:hAnsi="Times New Roman" w:eastAsia="宋体"/>
                <w:color w:val="auto"/>
                <w:sz w:val="24"/>
              </w:rPr>
              <w:t>2</w:t>
            </w:r>
            <w:r>
              <w:rPr>
                <w:rFonts w:ascii="Times New Roman" w:hAnsi="Times New Roman" w:eastAsia="宋体"/>
                <w:color w:val="auto"/>
                <w:sz w:val="24"/>
              </w:rPr>
              <w:t>-</w:t>
            </w:r>
            <w:r>
              <w:rPr>
                <w:rFonts w:hint="eastAsia" w:ascii="Times New Roman" w:hAnsi="Times New Roman" w:eastAsia="宋体"/>
                <w:color w:val="auto"/>
                <w:sz w:val="24"/>
                <w:lang w:val="en-US" w:eastAsia="zh-CN"/>
              </w:rPr>
              <w:t>21</w:t>
            </w:r>
            <w:r>
              <w:rPr>
                <w:rFonts w:hint="eastAsia" w:ascii="Times New Roman" w:hAnsi="Times New Roman" w:eastAsia="宋体"/>
                <w:color w:val="auto"/>
                <w:sz w:val="24"/>
              </w:rPr>
              <w:t>。</w:t>
            </w:r>
          </w:p>
          <w:p>
            <w:pPr>
              <w:pStyle w:val="46"/>
              <w:widowControl w:val="0"/>
              <w:pBdr>
                <w:left w:val="none" w:color="auto" w:sz="0" w:space="0"/>
                <w:bottom w:val="none" w:color="auto" w:sz="0" w:space="0"/>
                <w:right w:val="none" w:color="auto" w:sz="0" w:space="0"/>
              </w:pBdr>
              <w:adjustRightInd w:val="0"/>
              <w:snapToGrid w:val="0"/>
              <w:spacing w:before="0" w:beforeAutospacing="0" w:after="0" w:afterAutospacing="0"/>
              <w:ind w:firstLine="482"/>
              <w:rPr>
                <w:rFonts w:ascii="Times New Roman" w:hAnsi="Times New Roman" w:eastAsia="宋体"/>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rPr>
              <w:t>2</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lang w:val="en-US" w:eastAsia="zh-CN"/>
              </w:rPr>
              <w:t>23</w:t>
            </w:r>
            <w:r>
              <w:rPr>
                <w:rFonts w:ascii="Times New Roman" w:hAnsi="Times New Roman" w:eastAsia="宋体"/>
                <w:b/>
                <w:bCs/>
                <w:color w:val="auto"/>
                <w:sz w:val="21"/>
                <w:szCs w:val="21"/>
              </w:rPr>
              <w:t xml:space="preserve"> 现有项目污染物排放情况 </w:t>
            </w:r>
            <w:r>
              <w:rPr>
                <w:rFonts w:hint="eastAsia" w:ascii="Times New Roman" w:hAnsi="Times New Roman" w:eastAsia="宋体"/>
                <w:b/>
                <w:bCs/>
                <w:color w:val="auto"/>
                <w:sz w:val="21"/>
                <w:szCs w:val="21"/>
              </w:rPr>
              <w:t xml:space="preserve">    单位：</w:t>
            </w:r>
            <w:r>
              <w:rPr>
                <w:rFonts w:ascii="Times New Roman" w:hAnsi="Times New Roman" w:eastAsia="宋体"/>
                <w:b/>
                <w:bCs/>
                <w:color w:val="auto"/>
                <w:sz w:val="21"/>
                <w:szCs w:val="21"/>
              </w:rPr>
              <w:t>t/a</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80"/>
              <w:gridCol w:w="1499"/>
              <w:gridCol w:w="1900"/>
              <w:gridCol w:w="1692"/>
              <w:gridCol w:w="1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46" w:type="dxa"/>
                  <w:gridSpan w:val="3"/>
                  <w:tcBorders>
                    <w:tl2br w:val="nil"/>
                    <w:tr2bl w:val="nil"/>
                  </w:tcBorders>
                  <w:vAlign w:val="center"/>
                </w:tcPr>
                <w:p>
                  <w:pPr>
                    <w:pStyle w:val="9"/>
                    <w:jc w:val="center"/>
                    <w:rPr>
                      <w:rFonts w:ascii="Times New Roman" w:hAnsi="Times New Roman" w:eastAsia="宋体"/>
                      <w:b/>
                      <w:bCs/>
                      <w:color w:val="auto"/>
                      <w:szCs w:val="18"/>
                    </w:rPr>
                  </w:pPr>
                  <w:r>
                    <w:rPr>
                      <w:rFonts w:ascii="Times New Roman" w:hAnsi="Times New Roman" w:eastAsia="宋体"/>
                      <w:b/>
                      <w:bCs/>
                      <w:color w:val="auto"/>
                      <w:szCs w:val="18"/>
                    </w:rPr>
                    <w:t>污染物名称</w:t>
                  </w:r>
                </w:p>
              </w:tc>
              <w:tc>
                <w:tcPr>
                  <w:tcW w:w="1935" w:type="dxa"/>
                  <w:tcBorders>
                    <w:tl2br w:val="nil"/>
                    <w:tr2bl w:val="nil"/>
                  </w:tcBorders>
                  <w:vAlign w:val="center"/>
                </w:tcPr>
                <w:p>
                  <w:pPr>
                    <w:pStyle w:val="9"/>
                    <w:jc w:val="center"/>
                    <w:rPr>
                      <w:rFonts w:ascii="Times New Roman" w:hAnsi="Times New Roman" w:eastAsia="宋体"/>
                      <w:b/>
                      <w:bCs/>
                      <w:color w:val="auto"/>
                      <w:szCs w:val="18"/>
                    </w:rPr>
                  </w:pPr>
                  <w:r>
                    <w:rPr>
                      <w:rFonts w:hint="eastAsia" w:ascii="Times New Roman" w:hAnsi="Times New Roman" w:eastAsia="宋体"/>
                      <w:b/>
                      <w:bCs/>
                      <w:color w:val="auto"/>
                      <w:szCs w:val="18"/>
                    </w:rPr>
                    <w:t>现有项目实际</w:t>
                  </w:r>
                  <w:r>
                    <w:rPr>
                      <w:rFonts w:ascii="Times New Roman" w:hAnsi="Times New Roman" w:eastAsia="宋体"/>
                      <w:b/>
                      <w:bCs/>
                      <w:color w:val="auto"/>
                      <w:szCs w:val="18"/>
                    </w:rPr>
                    <w:t>排放量</w:t>
                  </w:r>
                </w:p>
              </w:tc>
              <w:tc>
                <w:tcPr>
                  <w:tcW w:w="1722" w:type="dxa"/>
                  <w:tcBorders>
                    <w:tl2br w:val="nil"/>
                    <w:tr2bl w:val="nil"/>
                  </w:tcBorders>
                  <w:vAlign w:val="center"/>
                </w:tcPr>
                <w:p>
                  <w:pPr>
                    <w:pStyle w:val="9"/>
                    <w:jc w:val="center"/>
                    <w:rPr>
                      <w:rFonts w:ascii="Times New Roman" w:hAnsi="Times New Roman" w:eastAsia="宋体"/>
                      <w:b/>
                      <w:bCs/>
                      <w:color w:val="auto"/>
                      <w:szCs w:val="18"/>
                    </w:rPr>
                  </w:pPr>
                  <w:r>
                    <w:rPr>
                      <w:rFonts w:hint="eastAsia" w:ascii="Times New Roman" w:hAnsi="Times New Roman" w:eastAsia="宋体"/>
                      <w:b/>
                      <w:bCs/>
                      <w:color w:val="auto"/>
                      <w:szCs w:val="18"/>
                    </w:rPr>
                    <w:t>环评已批复量</w:t>
                  </w:r>
                </w:p>
              </w:tc>
              <w:tc>
                <w:tcPr>
                  <w:tcW w:w="1723" w:type="dxa"/>
                  <w:tcBorders>
                    <w:tl2br w:val="nil"/>
                    <w:tr2bl w:val="nil"/>
                  </w:tcBorders>
                  <w:vAlign w:val="center"/>
                </w:tcPr>
                <w:p>
                  <w:pPr>
                    <w:pStyle w:val="9"/>
                    <w:jc w:val="center"/>
                    <w:rPr>
                      <w:rFonts w:hint="eastAsia" w:ascii="Times New Roman" w:hAnsi="Times New Roman" w:eastAsia="宋体"/>
                      <w:b/>
                      <w:bCs/>
                      <w:color w:val="auto"/>
                      <w:szCs w:val="18"/>
                    </w:rPr>
                  </w:pPr>
                  <w:r>
                    <w:rPr>
                      <w:rFonts w:hint="eastAsia" w:ascii="Times New Roman" w:hAnsi="Times New Roman" w:eastAsia="宋体"/>
                      <w:b/>
                      <w:bCs/>
                      <w:color w:val="auto"/>
                      <w:szCs w:val="18"/>
                    </w:rPr>
                    <w:t>外排环境量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27" w:type="dxa"/>
                  <w:tcBorders>
                    <w:tl2br w:val="nil"/>
                    <w:tr2bl w:val="nil"/>
                  </w:tcBorders>
                  <w:vAlign w:val="center"/>
                </w:tcPr>
                <w:p>
                  <w:pPr>
                    <w:pStyle w:val="9"/>
                    <w:jc w:val="center"/>
                    <w:rPr>
                      <w:rFonts w:ascii="Times New Roman" w:hAnsi="Times New Roman" w:eastAsia="宋体"/>
                      <w:color w:val="auto"/>
                      <w:szCs w:val="18"/>
                    </w:rPr>
                  </w:pPr>
                  <w:r>
                    <w:rPr>
                      <w:rFonts w:ascii="Times New Roman" w:hAnsi="Times New Roman" w:eastAsia="宋体"/>
                      <w:color w:val="auto"/>
                      <w:szCs w:val="18"/>
                    </w:rPr>
                    <w:t>废气</w:t>
                  </w:r>
                </w:p>
              </w:tc>
              <w:tc>
                <w:tcPr>
                  <w:tcW w:w="894"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无组织</w:t>
                  </w:r>
                </w:p>
              </w:tc>
              <w:tc>
                <w:tcPr>
                  <w:tcW w:w="1525" w:type="dxa"/>
                  <w:tcBorders>
                    <w:tl2br w:val="nil"/>
                    <w:tr2bl w:val="nil"/>
                  </w:tcBorders>
                  <w:vAlign w:val="center"/>
                </w:tcPr>
                <w:p>
                  <w:pPr>
                    <w:jc w:val="center"/>
                    <w:rPr>
                      <w:rFonts w:ascii="Times New Roman" w:hAnsi="Times New Roman" w:eastAsia="宋体"/>
                      <w:color w:val="auto"/>
                      <w:szCs w:val="18"/>
                    </w:rPr>
                  </w:pPr>
                  <w:r>
                    <w:rPr>
                      <w:rFonts w:hint="eastAsia" w:ascii="Times New Roman" w:hAnsi="Times New Roman" w:eastAsia="宋体"/>
                      <w:color w:val="auto"/>
                      <w:szCs w:val="18"/>
                    </w:rPr>
                    <w:t>颗粒物</w:t>
                  </w:r>
                </w:p>
              </w:tc>
              <w:tc>
                <w:tcPr>
                  <w:tcW w:w="1935" w:type="dxa"/>
                  <w:tcBorders>
                    <w:tl2br w:val="nil"/>
                    <w:tr2bl w:val="nil"/>
                  </w:tcBorders>
                  <w:vAlign w:val="center"/>
                </w:tcPr>
                <w:p>
                  <w:pPr>
                    <w:widowControl/>
                    <w:jc w:val="center"/>
                    <w:textAlignment w:val="center"/>
                    <w:rPr>
                      <w:rFonts w:ascii="Times New Roman" w:hAnsi="Times New Roman" w:eastAsia="宋体"/>
                      <w:color w:val="auto"/>
                      <w:kern w:val="0"/>
                      <w:szCs w:val="18"/>
                      <w:lang w:bidi="ar"/>
                    </w:rPr>
                  </w:pPr>
                  <w:r>
                    <w:rPr>
                      <w:rFonts w:hint="eastAsia" w:ascii="Times New Roman" w:hAnsi="Times New Roman" w:eastAsia="宋体"/>
                      <w:color w:val="auto"/>
                      <w:kern w:val="0"/>
                      <w:szCs w:val="18"/>
                      <w:lang w:bidi="ar"/>
                    </w:rPr>
                    <w:t>/</w:t>
                  </w:r>
                </w:p>
              </w:tc>
              <w:tc>
                <w:tcPr>
                  <w:tcW w:w="1722" w:type="dxa"/>
                  <w:tcBorders>
                    <w:tl2br w:val="nil"/>
                    <w:tr2bl w:val="nil"/>
                  </w:tcBorders>
                  <w:vAlign w:val="center"/>
                </w:tcPr>
                <w:p>
                  <w:pPr>
                    <w:widowControl/>
                    <w:jc w:val="center"/>
                    <w:textAlignment w:val="center"/>
                    <w:rPr>
                      <w:rFonts w:ascii="Times New Roman" w:hAnsi="Times New Roman" w:eastAsia="宋体"/>
                      <w:color w:val="auto"/>
                      <w:kern w:val="0"/>
                      <w:szCs w:val="18"/>
                      <w:lang w:bidi="ar"/>
                    </w:rPr>
                  </w:pPr>
                  <w:r>
                    <w:rPr>
                      <w:rFonts w:hint="eastAsia" w:ascii="Times New Roman" w:hAnsi="Times New Roman" w:eastAsia="宋体"/>
                      <w:sz w:val="21"/>
                      <w:szCs w:val="21"/>
                    </w:rPr>
                    <w:t>0.08856</w:t>
                  </w:r>
                </w:p>
              </w:tc>
              <w:tc>
                <w:tcPr>
                  <w:tcW w:w="1723"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sz w:val="21"/>
                      <w:szCs w:val="21"/>
                    </w:rPr>
                    <w:t>0.08856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restart"/>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废水</w:t>
                  </w:r>
                </w:p>
              </w:tc>
              <w:tc>
                <w:tcPr>
                  <w:tcW w:w="1525" w:type="dxa"/>
                  <w:tcBorders>
                    <w:tl2br w:val="nil"/>
                    <w:tr2bl w:val="nil"/>
                  </w:tcBorders>
                  <w:vAlign w:val="center"/>
                </w:tcPr>
                <w:p>
                  <w:pPr>
                    <w:jc w:val="center"/>
                    <w:rPr>
                      <w:rFonts w:ascii="Times New Roman" w:hAnsi="Times New Roman" w:eastAsia="宋体"/>
                      <w:color w:val="auto"/>
                      <w:szCs w:val="18"/>
                    </w:rPr>
                  </w:pPr>
                  <w:r>
                    <w:rPr>
                      <w:rFonts w:ascii="Times New Roman" w:hAnsi="Times New Roman" w:eastAsia="宋体"/>
                      <w:color w:val="auto"/>
                      <w:szCs w:val="18"/>
                    </w:rPr>
                    <w:t>废水量</w:t>
                  </w:r>
                </w:p>
              </w:tc>
              <w:tc>
                <w:tcPr>
                  <w:tcW w:w="1935" w:type="dxa"/>
                  <w:tcBorders>
                    <w:tl2br w:val="nil"/>
                    <w:tr2bl w:val="nil"/>
                  </w:tcBorders>
                  <w:vAlign w:val="center"/>
                </w:tcPr>
                <w:p>
                  <w:pPr>
                    <w:widowControl/>
                    <w:jc w:val="center"/>
                    <w:textAlignment w:val="center"/>
                    <w:rPr>
                      <w:rFonts w:ascii="Times New Roman" w:hAnsi="Times New Roman" w:eastAsia="宋体"/>
                      <w:color w:val="auto"/>
                      <w:kern w:val="0"/>
                      <w:szCs w:val="18"/>
                      <w:lang w:bidi="ar"/>
                    </w:rPr>
                  </w:pPr>
                  <w:r>
                    <w:rPr>
                      <w:rFonts w:hint="eastAsia" w:ascii="Times New Roman" w:hAnsi="Times New Roman" w:eastAsia="宋体"/>
                      <w:color w:val="auto"/>
                      <w:kern w:val="0"/>
                      <w:szCs w:val="18"/>
                      <w:lang w:bidi="ar"/>
                    </w:rPr>
                    <w:t>731</w:t>
                  </w:r>
                </w:p>
              </w:tc>
              <w:tc>
                <w:tcPr>
                  <w:tcW w:w="1722" w:type="dxa"/>
                  <w:tcBorders>
                    <w:tl2br w:val="nil"/>
                    <w:tr2bl w:val="nil"/>
                  </w:tcBorders>
                  <w:vAlign w:val="center"/>
                </w:tcPr>
                <w:p>
                  <w:pPr>
                    <w:widowControl/>
                    <w:jc w:val="center"/>
                    <w:textAlignment w:val="center"/>
                    <w:rPr>
                      <w:rFonts w:ascii="Times New Roman" w:hAnsi="Times New Roman" w:eastAsia="宋体"/>
                      <w:color w:val="auto"/>
                      <w:kern w:val="0"/>
                      <w:szCs w:val="18"/>
                      <w:lang w:bidi="ar"/>
                    </w:rPr>
                  </w:pPr>
                  <w:r>
                    <w:rPr>
                      <w:rFonts w:hint="eastAsia" w:ascii="Times New Roman" w:hAnsi="Times New Roman" w:eastAsia="宋体"/>
                      <w:color w:val="auto"/>
                      <w:kern w:val="0"/>
                      <w:szCs w:val="18"/>
                      <w:lang w:bidi="ar"/>
                    </w:rPr>
                    <w:t>731</w:t>
                  </w:r>
                </w:p>
              </w:tc>
              <w:tc>
                <w:tcPr>
                  <w:tcW w:w="1723" w:type="dxa"/>
                  <w:tcBorders>
                    <w:tl2br w:val="nil"/>
                    <w:tr2bl w:val="nil"/>
                  </w:tcBorders>
                  <w:vAlign w:val="center"/>
                </w:tcPr>
                <w:p>
                  <w:pPr>
                    <w:widowControl/>
                    <w:jc w:val="center"/>
                    <w:textAlignment w:val="center"/>
                    <w:rPr>
                      <w:rFonts w:hint="default" w:ascii="Times New Roman" w:hAnsi="Times New Roman" w:eastAsia="宋体"/>
                      <w:color w:val="auto"/>
                      <w:kern w:val="0"/>
                      <w:szCs w:val="18"/>
                      <w:lang w:val="en-US" w:eastAsia="zh-CN" w:bidi="ar"/>
                    </w:rPr>
                  </w:pPr>
                  <w:r>
                    <w:rPr>
                      <w:rFonts w:hint="default" w:ascii="Times New Roman" w:hAnsi="Times New Roman" w:eastAsia="宋体"/>
                      <w:color w:val="auto"/>
                      <w:kern w:val="0"/>
                      <w:szCs w:val="18"/>
                      <w:lang w:val="en-US" w:eastAsia="zh-CN" w:bidi="ar"/>
                    </w:rPr>
                    <w:t>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jc w:val="center"/>
                    <w:rPr>
                      <w:rFonts w:ascii="Times New Roman" w:hAnsi="Times New Roman" w:eastAsia="宋体"/>
                      <w:color w:val="auto"/>
                      <w:szCs w:val="18"/>
                    </w:rPr>
                  </w:pPr>
                  <w:r>
                    <w:rPr>
                      <w:rFonts w:ascii="Times New Roman" w:hAnsi="Times New Roman" w:eastAsia="宋体"/>
                      <w:color w:val="auto"/>
                      <w:szCs w:val="18"/>
                    </w:rPr>
                    <w:t>COD</w:t>
                  </w:r>
                </w:p>
              </w:tc>
              <w:tc>
                <w:tcPr>
                  <w:tcW w:w="193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18"/>
                      <w:lang w:val="en-US" w:eastAsia="en-US" w:bidi="ar"/>
                    </w:rPr>
                  </w:pPr>
                  <w:r>
                    <w:rPr>
                      <w:rFonts w:hint="eastAsia" w:ascii="Times New Roman" w:hAnsi="Times New Roman" w:eastAsia="宋体" w:cs="Times New Roman"/>
                      <w:color w:val="auto"/>
                      <w:lang w:val="en-US" w:eastAsia="zh-CN"/>
                    </w:rPr>
                    <w:t>0.08</w:t>
                  </w:r>
                  <w:r>
                    <w:rPr>
                      <w:rFonts w:hint="eastAsia" w:cs="Times New Roman"/>
                      <w:color w:val="auto"/>
                      <w:lang w:val="en-US" w:eastAsia="zh-CN"/>
                    </w:rPr>
                    <w:t>37</w:t>
                  </w:r>
                </w:p>
              </w:tc>
              <w:tc>
                <w:tcPr>
                  <w:tcW w:w="1722"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en-US" w:bidi="ar"/>
                    </w:rPr>
                  </w:pPr>
                  <w:r>
                    <w:rPr>
                      <w:rFonts w:hint="eastAsia" w:ascii="Times New Roman" w:hAnsi="Times New Roman" w:eastAsia="宋体" w:cs="Times New Roman"/>
                      <w:color w:val="auto"/>
                      <w:kern w:val="0"/>
                      <w:szCs w:val="18"/>
                      <w:lang w:val="en-US" w:eastAsia="zh-CN" w:bidi="ar"/>
                    </w:rPr>
                    <w:t>0.256</w:t>
                  </w:r>
                </w:p>
              </w:tc>
              <w:tc>
                <w:tcPr>
                  <w:tcW w:w="172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jc w:val="center"/>
                    <w:rPr>
                      <w:rFonts w:ascii="Times New Roman" w:hAnsi="Times New Roman" w:eastAsia="宋体"/>
                      <w:color w:val="auto"/>
                      <w:szCs w:val="18"/>
                    </w:rPr>
                  </w:pPr>
                  <w:r>
                    <w:rPr>
                      <w:rFonts w:hint="eastAsia" w:ascii="Times New Roman" w:hAnsi="Times New Roman" w:eastAsia="宋体"/>
                      <w:color w:val="auto"/>
                      <w:szCs w:val="18"/>
                    </w:rPr>
                    <w:t>SS</w:t>
                  </w:r>
                </w:p>
              </w:tc>
              <w:tc>
                <w:tcPr>
                  <w:tcW w:w="193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0.018</w:t>
                  </w:r>
                  <w:r>
                    <w:rPr>
                      <w:rFonts w:hint="eastAsia" w:cs="Times New Roman"/>
                      <w:color w:val="auto"/>
                      <w:kern w:val="0"/>
                      <w:szCs w:val="18"/>
                      <w:lang w:val="en-US" w:eastAsia="zh-CN" w:bidi="ar"/>
                    </w:rPr>
                    <w:t>6</w:t>
                  </w:r>
                </w:p>
              </w:tc>
              <w:tc>
                <w:tcPr>
                  <w:tcW w:w="1722"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en-US" w:bidi="ar"/>
                    </w:rPr>
                  </w:pPr>
                  <w:r>
                    <w:rPr>
                      <w:rFonts w:hint="eastAsia" w:ascii="Times New Roman" w:hAnsi="Times New Roman" w:eastAsia="宋体" w:cs="Times New Roman"/>
                      <w:color w:val="auto"/>
                      <w:kern w:val="0"/>
                      <w:szCs w:val="18"/>
                      <w:lang w:val="en-US" w:eastAsia="zh-CN" w:bidi="ar"/>
                    </w:rPr>
                    <w:t>0.146</w:t>
                  </w:r>
                </w:p>
              </w:tc>
              <w:tc>
                <w:tcPr>
                  <w:tcW w:w="1723"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jc w:val="center"/>
                    <w:rPr>
                      <w:rFonts w:ascii="Times New Roman" w:hAnsi="Times New Roman" w:eastAsia="宋体"/>
                      <w:color w:val="auto"/>
                      <w:szCs w:val="18"/>
                    </w:rPr>
                  </w:pPr>
                  <w:r>
                    <w:rPr>
                      <w:rFonts w:hint="eastAsia" w:ascii="Times New Roman" w:hAnsi="Times New Roman" w:eastAsia="宋体"/>
                      <w:color w:val="auto"/>
                      <w:szCs w:val="18"/>
                    </w:rPr>
                    <w:t>NH</w:t>
                  </w:r>
                  <w:r>
                    <w:rPr>
                      <w:rFonts w:hint="eastAsia" w:ascii="Times New Roman" w:hAnsi="Times New Roman" w:eastAsia="宋体"/>
                      <w:color w:val="auto"/>
                      <w:szCs w:val="18"/>
                      <w:vertAlign w:val="subscript"/>
                    </w:rPr>
                    <w:t>3</w:t>
                  </w:r>
                  <w:r>
                    <w:rPr>
                      <w:rFonts w:hint="eastAsia" w:ascii="Times New Roman" w:hAnsi="Times New Roman" w:eastAsia="宋体"/>
                      <w:color w:val="auto"/>
                      <w:szCs w:val="18"/>
                    </w:rPr>
                    <w:t>-N</w:t>
                  </w:r>
                </w:p>
              </w:tc>
              <w:tc>
                <w:tcPr>
                  <w:tcW w:w="193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0.00033</w:t>
                  </w:r>
                </w:p>
              </w:tc>
              <w:tc>
                <w:tcPr>
                  <w:tcW w:w="1722"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0.0256</w:t>
                  </w:r>
                </w:p>
              </w:tc>
              <w:tc>
                <w:tcPr>
                  <w:tcW w:w="1723"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jc w:val="center"/>
                    <w:rPr>
                      <w:rFonts w:ascii="Times New Roman" w:hAnsi="Times New Roman" w:eastAsia="宋体"/>
                      <w:color w:val="auto"/>
                      <w:szCs w:val="18"/>
                    </w:rPr>
                  </w:pPr>
                  <w:r>
                    <w:rPr>
                      <w:rFonts w:hint="eastAsia" w:ascii="Times New Roman" w:hAnsi="Times New Roman" w:eastAsia="宋体"/>
                      <w:color w:val="auto"/>
                      <w:szCs w:val="18"/>
                    </w:rPr>
                    <w:t>TP</w:t>
                  </w:r>
                </w:p>
              </w:tc>
              <w:tc>
                <w:tcPr>
                  <w:tcW w:w="1935"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18"/>
                      <w:lang w:val="en-US" w:eastAsia="en-US" w:bidi="ar"/>
                    </w:rPr>
                  </w:pPr>
                  <w:r>
                    <w:rPr>
                      <w:rFonts w:hint="eastAsia" w:ascii="Times New Roman" w:hAnsi="Times New Roman" w:eastAsia="宋体" w:cs="Times New Roman"/>
                      <w:color w:val="auto"/>
                      <w:kern w:val="0"/>
                      <w:szCs w:val="18"/>
                      <w:lang w:val="en-US" w:eastAsia="zh-CN" w:bidi="ar"/>
                    </w:rPr>
                    <w:t>0.00034</w:t>
                  </w:r>
                </w:p>
              </w:tc>
              <w:tc>
                <w:tcPr>
                  <w:tcW w:w="1722"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en-US" w:bidi="ar"/>
                    </w:rPr>
                  </w:pPr>
                  <w:r>
                    <w:rPr>
                      <w:rFonts w:hint="eastAsia" w:ascii="Times New Roman" w:hAnsi="Times New Roman" w:eastAsia="宋体" w:cs="Times New Roman"/>
                      <w:color w:val="auto"/>
                      <w:kern w:val="0"/>
                      <w:szCs w:val="18"/>
                      <w:lang w:val="en-US" w:eastAsia="zh-CN" w:bidi="ar"/>
                    </w:rPr>
                    <w:t>0.003</w:t>
                  </w:r>
                </w:p>
              </w:tc>
              <w:tc>
                <w:tcPr>
                  <w:tcW w:w="1723"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jc w:val="center"/>
                    <w:rPr>
                      <w:rFonts w:ascii="Times New Roman" w:hAnsi="Times New Roman" w:eastAsia="宋体"/>
                      <w:color w:val="auto"/>
                      <w:szCs w:val="18"/>
                    </w:rPr>
                  </w:pPr>
                  <w:r>
                    <w:rPr>
                      <w:rFonts w:hint="eastAsia" w:ascii="Times New Roman" w:hAnsi="Times New Roman" w:eastAsia="宋体"/>
                      <w:color w:val="auto"/>
                      <w:szCs w:val="18"/>
                    </w:rPr>
                    <w:t>TN</w:t>
                  </w:r>
                </w:p>
              </w:tc>
              <w:tc>
                <w:tcPr>
                  <w:tcW w:w="1935" w:type="dxa"/>
                  <w:tcBorders>
                    <w:tl2br w:val="nil"/>
                    <w:tr2bl w:val="nil"/>
                  </w:tcBorders>
                  <w:vAlign w:val="center"/>
                </w:tcPr>
                <w:p>
                  <w:pPr>
                    <w:widowControl/>
                    <w:jc w:val="center"/>
                    <w:textAlignment w:val="center"/>
                    <w:rPr>
                      <w:rFonts w:hint="default" w:ascii="Times New Roman" w:hAnsi="Times New Roman" w:eastAsia="宋体"/>
                      <w:color w:val="auto"/>
                      <w:kern w:val="0"/>
                      <w:szCs w:val="18"/>
                      <w:lang w:val="en-US" w:eastAsia="zh-CN" w:bidi="ar"/>
                    </w:rPr>
                  </w:pPr>
                  <w:r>
                    <w:rPr>
                      <w:rFonts w:hint="eastAsia" w:ascii="Times New Roman" w:hAnsi="Times New Roman" w:eastAsia="宋体"/>
                      <w:color w:val="auto"/>
                      <w:kern w:val="0"/>
                      <w:szCs w:val="18"/>
                      <w:lang w:val="en-US" w:eastAsia="zh-CN" w:bidi="ar"/>
                    </w:rPr>
                    <w:t>0.0</w:t>
                  </w:r>
                  <w:r>
                    <w:rPr>
                      <w:rFonts w:hint="eastAsia"/>
                      <w:color w:val="auto"/>
                      <w:kern w:val="0"/>
                      <w:szCs w:val="18"/>
                      <w:lang w:val="en-US" w:eastAsia="zh-CN" w:bidi="ar"/>
                    </w:rPr>
                    <w:t>295</w:t>
                  </w:r>
                </w:p>
              </w:tc>
              <w:tc>
                <w:tcPr>
                  <w:tcW w:w="1722" w:type="dxa"/>
                  <w:tcBorders>
                    <w:tl2br w:val="nil"/>
                    <w:tr2bl w:val="nil"/>
                  </w:tcBorders>
                  <w:vAlign w:val="center"/>
                </w:tcPr>
                <w:p>
                  <w:pPr>
                    <w:widowControl/>
                    <w:jc w:val="center"/>
                    <w:textAlignment w:val="center"/>
                    <w:rPr>
                      <w:rFonts w:hint="default" w:ascii="Times New Roman" w:hAnsi="Times New Roman" w:eastAsia="宋体"/>
                      <w:color w:val="auto"/>
                      <w:kern w:val="0"/>
                      <w:szCs w:val="18"/>
                      <w:lang w:val="en-US" w:eastAsia="zh-CN" w:bidi="ar"/>
                    </w:rPr>
                  </w:pPr>
                  <w:r>
                    <w:rPr>
                      <w:rFonts w:hint="eastAsia" w:ascii="Times New Roman" w:hAnsi="Times New Roman" w:eastAsia="宋体"/>
                      <w:color w:val="auto"/>
                      <w:kern w:val="0"/>
                      <w:szCs w:val="18"/>
                      <w:lang w:val="en-US" w:eastAsia="zh-CN" w:bidi="ar"/>
                    </w:rPr>
                    <w:t>/</w:t>
                  </w:r>
                </w:p>
              </w:tc>
              <w:tc>
                <w:tcPr>
                  <w:tcW w:w="172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18"/>
                      <w:lang w:val="en-US" w:eastAsia="zh-CN" w:bidi="ar"/>
                    </w:rPr>
                  </w:pPr>
                  <w:r>
                    <w:rPr>
                      <w:rFonts w:hint="eastAsia" w:ascii="Times New Roman" w:hAnsi="Times New Roman" w:eastAsia="宋体" w:cs="Times New Roman"/>
                      <w:color w:val="auto"/>
                      <w:kern w:val="0"/>
                      <w:szCs w:val="18"/>
                      <w:lang w:val="en-US" w:eastAsia="zh-CN" w:bidi="ar"/>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restart"/>
                  <w:tcBorders>
                    <w:tl2br w:val="nil"/>
                    <w:tr2bl w:val="nil"/>
                  </w:tcBorders>
                  <w:vAlign w:val="center"/>
                </w:tcPr>
                <w:p>
                  <w:pPr>
                    <w:pStyle w:val="9"/>
                    <w:jc w:val="center"/>
                    <w:rPr>
                      <w:rFonts w:ascii="Times New Roman" w:hAnsi="Times New Roman" w:eastAsia="宋体"/>
                      <w:color w:val="auto"/>
                      <w:szCs w:val="18"/>
                    </w:rPr>
                  </w:pPr>
                  <w:r>
                    <w:rPr>
                      <w:rFonts w:ascii="Times New Roman" w:hAnsi="Times New Roman" w:eastAsia="宋体"/>
                      <w:color w:val="auto"/>
                      <w:szCs w:val="18"/>
                    </w:rPr>
                    <w:t>固废</w:t>
                  </w:r>
                </w:p>
              </w:tc>
              <w:tc>
                <w:tcPr>
                  <w:tcW w:w="1525" w:type="dxa"/>
                  <w:tcBorders>
                    <w:tl2br w:val="nil"/>
                    <w:tr2bl w:val="nil"/>
                  </w:tcBorders>
                  <w:vAlign w:val="center"/>
                </w:tcPr>
                <w:p>
                  <w:pPr>
                    <w:pStyle w:val="9"/>
                    <w:jc w:val="center"/>
                    <w:rPr>
                      <w:rFonts w:ascii="Times New Roman" w:hAnsi="Times New Roman" w:eastAsia="宋体"/>
                      <w:color w:val="auto"/>
                      <w:szCs w:val="18"/>
                    </w:rPr>
                  </w:pPr>
                  <w:r>
                    <w:rPr>
                      <w:rFonts w:ascii="Times New Roman" w:hAnsi="Times New Roman" w:eastAsia="宋体"/>
                      <w:color w:val="auto"/>
                      <w:szCs w:val="18"/>
                    </w:rPr>
                    <w:t>一般固废</w:t>
                  </w:r>
                </w:p>
              </w:tc>
              <w:tc>
                <w:tcPr>
                  <w:tcW w:w="1935"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0</w:t>
                  </w:r>
                </w:p>
              </w:tc>
              <w:tc>
                <w:tcPr>
                  <w:tcW w:w="1722"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0</w:t>
                  </w:r>
                </w:p>
              </w:tc>
              <w:tc>
                <w:tcPr>
                  <w:tcW w:w="1723" w:type="dxa"/>
                  <w:tcBorders>
                    <w:tl2br w:val="nil"/>
                    <w:tr2bl w:val="nil"/>
                  </w:tcBorders>
                  <w:vAlign w:val="center"/>
                </w:tcPr>
                <w:p>
                  <w:pPr>
                    <w:pStyle w:val="9"/>
                    <w:jc w:val="center"/>
                    <w:rPr>
                      <w:rFonts w:hint="eastAsia" w:ascii="Times New Roman" w:hAnsi="Times New Roman" w:eastAsia="宋体"/>
                      <w:color w:val="auto"/>
                      <w:szCs w:val="18"/>
                      <w:lang w:val="en-US" w:eastAsia="zh-CN"/>
                    </w:rPr>
                  </w:pPr>
                  <w:r>
                    <w:rPr>
                      <w:rFonts w:hint="eastAsia" w:ascii="Times New Roman" w:hAnsi="Times New Roman" w:eastAsia="宋体"/>
                      <w:color w:val="auto"/>
                      <w:szCs w:val="18"/>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pStyle w:val="9"/>
                    <w:jc w:val="center"/>
                    <w:rPr>
                      <w:rFonts w:ascii="Times New Roman" w:hAnsi="Times New Roman" w:eastAsia="宋体"/>
                      <w:color w:val="auto"/>
                      <w:szCs w:val="18"/>
                    </w:rPr>
                  </w:pPr>
                  <w:r>
                    <w:rPr>
                      <w:rFonts w:ascii="Times New Roman" w:hAnsi="Times New Roman" w:eastAsia="宋体"/>
                      <w:color w:val="auto"/>
                      <w:szCs w:val="18"/>
                    </w:rPr>
                    <w:t>危险固废</w:t>
                  </w:r>
                </w:p>
              </w:tc>
              <w:tc>
                <w:tcPr>
                  <w:tcW w:w="1935"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0</w:t>
                  </w:r>
                </w:p>
              </w:tc>
              <w:tc>
                <w:tcPr>
                  <w:tcW w:w="1722"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0</w:t>
                  </w:r>
                </w:p>
              </w:tc>
              <w:tc>
                <w:tcPr>
                  <w:tcW w:w="1723" w:type="dxa"/>
                  <w:tcBorders>
                    <w:tl2br w:val="nil"/>
                    <w:tr2bl w:val="nil"/>
                  </w:tcBorders>
                  <w:vAlign w:val="center"/>
                </w:tcPr>
                <w:p>
                  <w:pPr>
                    <w:pStyle w:val="9"/>
                    <w:jc w:val="center"/>
                    <w:rPr>
                      <w:rFonts w:hint="eastAsia" w:ascii="Times New Roman" w:hAnsi="Times New Roman" w:eastAsia="宋体"/>
                      <w:color w:val="auto"/>
                      <w:szCs w:val="18"/>
                      <w:lang w:val="en-US" w:eastAsia="zh-CN"/>
                    </w:rPr>
                  </w:pPr>
                  <w:r>
                    <w:rPr>
                      <w:rFonts w:hint="eastAsia" w:ascii="Times New Roman" w:hAnsi="Times New Roman" w:eastAsia="宋体"/>
                      <w:color w:val="auto"/>
                      <w:szCs w:val="18"/>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1" w:type="dxa"/>
                  <w:gridSpan w:val="2"/>
                  <w:vMerge w:val="continue"/>
                  <w:tcBorders>
                    <w:tl2br w:val="nil"/>
                    <w:tr2bl w:val="nil"/>
                  </w:tcBorders>
                  <w:vAlign w:val="center"/>
                </w:tcPr>
                <w:p>
                  <w:pPr>
                    <w:pStyle w:val="9"/>
                    <w:jc w:val="center"/>
                    <w:rPr>
                      <w:rFonts w:ascii="Times New Roman" w:hAnsi="Times New Roman" w:eastAsia="宋体"/>
                      <w:color w:val="auto"/>
                      <w:szCs w:val="18"/>
                    </w:rPr>
                  </w:pPr>
                </w:p>
              </w:tc>
              <w:tc>
                <w:tcPr>
                  <w:tcW w:w="1525" w:type="dxa"/>
                  <w:tcBorders>
                    <w:tl2br w:val="nil"/>
                    <w:tr2bl w:val="nil"/>
                  </w:tcBorders>
                  <w:vAlign w:val="center"/>
                </w:tcPr>
                <w:p>
                  <w:pPr>
                    <w:pStyle w:val="9"/>
                    <w:jc w:val="center"/>
                    <w:rPr>
                      <w:rFonts w:ascii="Times New Roman" w:hAnsi="Times New Roman" w:eastAsia="宋体"/>
                      <w:color w:val="auto"/>
                      <w:szCs w:val="18"/>
                    </w:rPr>
                  </w:pPr>
                  <w:r>
                    <w:rPr>
                      <w:rFonts w:ascii="Times New Roman" w:hAnsi="Times New Roman" w:eastAsia="宋体"/>
                      <w:color w:val="auto"/>
                      <w:szCs w:val="18"/>
                    </w:rPr>
                    <w:t>生活垃圾</w:t>
                  </w:r>
                </w:p>
              </w:tc>
              <w:tc>
                <w:tcPr>
                  <w:tcW w:w="1935"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0</w:t>
                  </w:r>
                </w:p>
              </w:tc>
              <w:tc>
                <w:tcPr>
                  <w:tcW w:w="1722" w:type="dxa"/>
                  <w:tcBorders>
                    <w:tl2br w:val="nil"/>
                    <w:tr2bl w:val="nil"/>
                  </w:tcBorders>
                  <w:vAlign w:val="center"/>
                </w:tcPr>
                <w:p>
                  <w:pPr>
                    <w:pStyle w:val="9"/>
                    <w:jc w:val="center"/>
                    <w:rPr>
                      <w:rFonts w:ascii="Times New Roman" w:hAnsi="Times New Roman" w:eastAsia="宋体"/>
                      <w:color w:val="auto"/>
                      <w:szCs w:val="18"/>
                    </w:rPr>
                  </w:pPr>
                  <w:r>
                    <w:rPr>
                      <w:rFonts w:hint="eastAsia" w:ascii="Times New Roman" w:hAnsi="Times New Roman" w:eastAsia="宋体"/>
                      <w:color w:val="auto"/>
                      <w:szCs w:val="18"/>
                    </w:rPr>
                    <w:t>0</w:t>
                  </w:r>
                </w:p>
              </w:tc>
              <w:tc>
                <w:tcPr>
                  <w:tcW w:w="1723" w:type="dxa"/>
                  <w:tcBorders>
                    <w:tl2br w:val="nil"/>
                    <w:tr2bl w:val="nil"/>
                  </w:tcBorders>
                  <w:vAlign w:val="center"/>
                </w:tcPr>
                <w:p>
                  <w:pPr>
                    <w:pStyle w:val="9"/>
                    <w:jc w:val="center"/>
                    <w:rPr>
                      <w:rFonts w:hint="eastAsia" w:ascii="Times New Roman" w:hAnsi="Times New Roman" w:eastAsia="宋体"/>
                      <w:color w:val="auto"/>
                      <w:szCs w:val="18"/>
                      <w:lang w:val="en-US" w:eastAsia="zh-CN"/>
                    </w:rPr>
                  </w:pPr>
                  <w:r>
                    <w:rPr>
                      <w:rFonts w:hint="eastAsia" w:ascii="Times New Roman" w:hAnsi="Times New Roman" w:eastAsia="宋体"/>
                      <w:color w:val="auto"/>
                      <w:szCs w:val="18"/>
                      <w:lang w:val="en-US" w:eastAsia="zh-CN"/>
                    </w:rPr>
                    <w:t>0</w:t>
                  </w:r>
                </w:p>
              </w:tc>
            </w:tr>
          </w:tbl>
          <w:p>
            <w:pPr>
              <w:widowControl/>
              <w:adjustRightInd w:val="0"/>
              <w:snapToGrid w:val="0"/>
              <w:spacing w:line="360" w:lineRule="auto"/>
              <w:rPr>
                <w:rFonts w:ascii="Times New Roman" w:hAnsi="Times New Roman" w:eastAsia="宋体"/>
                <w:b/>
                <w:bCs/>
                <w:color w:val="auto"/>
                <w:sz w:val="24"/>
              </w:rPr>
            </w:pPr>
            <w:r>
              <w:rPr>
                <w:rFonts w:hint="eastAsia" w:ascii="Times New Roman" w:hAnsi="Times New Roman" w:eastAsia="宋体"/>
                <w:b/>
                <w:bCs/>
                <w:color w:val="auto"/>
                <w:szCs w:val="21"/>
                <w:lang w:val="en-US" w:eastAsia="zh-CN"/>
              </w:rPr>
              <w:t>注：</w:t>
            </w:r>
            <w:r>
              <w:rPr>
                <w:rFonts w:hint="eastAsia" w:ascii="Times New Roman" w:hAnsi="Times New Roman" w:eastAsia="宋体"/>
                <w:b/>
                <w:bCs/>
                <w:color w:val="auto"/>
                <w:szCs w:val="21"/>
              </w:rPr>
              <w:t>现有项目</w:t>
            </w:r>
            <w:r>
              <w:rPr>
                <w:rFonts w:hint="eastAsia" w:ascii="Times New Roman" w:hAnsi="Times New Roman" w:eastAsia="宋体"/>
                <w:b/>
                <w:bCs/>
                <w:color w:val="auto"/>
                <w:szCs w:val="21"/>
                <w:lang w:val="en-US" w:eastAsia="zh-CN"/>
              </w:rPr>
              <w:t>TN</w:t>
            </w:r>
            <w:r>
              <w:rPr>
                <w:rFonts w:hint="eastAsia" w:ascii="Times New Roman" w:hAnsi="Times New Roman" w:eastAsia="宋体"/>
                <w:b/>
                <w:bCs/>
                <w:color w:val="auto"/>
                <w:szCs w:val="21"/>
              </w:rPr>
              <w:t>根据本项目废水污染因子</w:t>
            </w:r>
            <w:r>
              <w:rPr>
                <w:rFonts w:hint="eastAsia" w:ascii="Times New Roman" w:hAnsi="Times New Roman" w:eastAsia="宋体"/>
                <w:b/>
                <w:bCs/>
                <w:color w:val="auto"/>
                <w:szCs w:val="21"/>
                <w:lang w:val="en-US" w:eastAsia="zh-CN"/>
              </w:rPr>
              <w:t>进行</w:t>
            </w:r>
            <w:r>
              <w:rPr>
                <w:rFonts w:hint="eastAsia" w:ascii="Times New Roman" w:hAnsi="Times New Roman" w:eastAsia="宋体"/>
                <w:b/>
                <w:bCs/>
                <w:color w:val="auto"/>
                <w:szCs w:val="21"/>
              </w:rPr>
              <w:t>核算。</w:t>
            </w:r>
          </w:p>
          <w:p>
            <w:pPr>
              <w:widowControl/>
              <w:adjustRightInd w:val="0"/>
              <w:snapToGrid w:val="0"/>
              <w:spacing w:line="360" w:lineRule="auto"/>
              <w:rPr>
                <w:rFonts w:ascii="Times New Roman" w:hAnsi="Times New Roman" w:eastAsia="宋体"/>
                <w:b/>
                <w:bCs/>
                <w:color w:val="auto"/>
                <w:sz w:val="24"/>
              </w:rPr>
            </w:pPr>
            <w:r>
              <w:rPr>
                <w:rFonts w:ascii="Times New Roman" w:hAnsi="Times New Roman" w:eastAsia="宋体"/>
                <w:b/>
                <w:bCs/>
                <w:color w:val="auto"/>
                <w:sz w:val="24"/>
              </w:rPr>
              <w:t>（</w:t>
            </w:r>
            <w:r>
              <w:rPr>
                <w:rFonts w:hint="eastAsia" w:ascii="Times New Roman" w:hAnsi="Times New Roman" w:eastAsia="宋体"/>
                <w:b/>
                <w:bCs/>
                <w:color w:val="auto"/>
                <w:sz w:val="24"/>
              </w:rPr>
              <w:t>六</w:t>
            </w:r>
            <w:r>
              <w:rPr>
                <w:rFonts w:ascii="Times New Roman" w:hAnsi="Times New Roman" w:eastAsia="宋体"/>
                <w:b/>
                <w:bCs/>
                <w:color w:val="auto"/>
                <w:sz w:val="24"/>
              </w:rPr>
              <w:t>）排污许可手续情况</w:t>
            </w:r>
          </w:p>
          <w:p>
            <w:pPr>
              <w:adjustRightInd w:val="0"/>
              <w:snapToGrid w:val="0"/>
              <w:spacing w:line="360" w:lineRule="auto"/>
              <w:ind w:firstLine="480"/>
              <w:rPr>
                <w:rFonts w:ascii="Times New Roman" w:hAnsi="Times New Roman" w:eastAsia="宋体"/>
                <w:color w:val="auto"/>
                <w:sz w:val="24"/>
              </w:rPr>
            </w:pPr>
            <w:r>
              <w:rPr>
                <w:rFonts w:hint="eastAsia" w:ascii="Times New Roman" w:hAnsi="Times New Roman" w:eastAsia="宋体"/>
                <w:color w:val="auto"/>
                <w:kern w:val="0"/>
                <w:sz w:val="24"/>
                <w:lang w:val="en-US" w:eastAsia="zh-CN"/>
              </w:rPr>
              <w:t>企业暂未申请排污许可。</w:t>
            </w:r>
          </w:p>
          <w:p>
            <w:pPr>
              <w:widowControl/>
              <w:adjustRightInd w:val="0"/>
              <w:snapToGrid w:val="0"/>
              <w:spacing w:line="360" w:lineRule="auto"/>
              <w:rPr>
                <w:rFonts w:ascii="Times New Roman" w:hAnsi="Times New Roman" w:eastAsia="宋体"/>
                <w:b/>
                <w:bCs/>
                <w:color w:val="auto"/>
                <w:sz w:val="24"/>
              </w:rPr>
            </w:pPr>
            <w:r>
              <w:rPr>
                <w:rFonts w:hint="eastAsia" w:ascii="Times New Roman" w:hAnsi="Times New Roman" w:eastAsia="宋体"/>
                <w:b/>
                <w:bCs/>
                <w:color w:val="auto"/>
                <w:sz w:val="24"/>
              </w:rPr>
              <w:t>（七）</w:t>
            </w:r>
            <w:r>
              <w:rPr>
                <w:rFonts w:ascii="Times New Roman" w:hAnsi="Times New Roman" w:eastAsia="宋体"/>
                <w:b/>
                <w:bCs/>
                <w:color w:val="auto"/>
                <w:sz w:val="24"/>
              </w:rPr>
              <w:t>环境信访情况</w:t>
            </w:r>
          </w:p>
          <w:p>
            <w:pPr>
              <w:adjustRightInd w:val="0"/>
              <w:snapToGrid w:val="0"/>
              <w:spacing w:line="360" w:lineRule="auto"/>
              <w:ind w:firstLine="480"/>
              <w:rPr>
                <w:rFonts w:ascii="Times New Roman" w:hAnsi="Times New Roman" w:eastAsia="宋体"/>
                <w:b/>
                <w:bCs/>
                <w:color w:val="auto"/>
                <w:sz w:val="24"/>
              </w:rPr>
            </w:pPr>
            <w:r>
              <w:rPr>
                <w:rFonts w:ascii="Times New Roman" w:hAnsi="Times New Roman" w:eastAsia="宋体"/>
                <w:color w:val="auto"/>
                <w:kern w:val="0"/>
                <w:sz w:val="24"/>
              </w:rPr>
              <w:t>现有项目目前正常生产，</w:t>
            </w:r>
            <w:r>
              <w:rPr>
                <w:rFonts w:hint="eastAsia" w:ascii="Times New Roman" w:hAnsi="Times New Roman" w:eastAsia="宋体"/>
                <w:color w:val="auto"/>
                <w:kern w:val="0"/>
                <w:sz w:val="24"/>
              </w:rPr>
              <w:t>近3年</w:t>
            </w:r>
            <w:r>
              <w:rPr>
                <w:rFonts w:ascii="Times New Roman" w:hAnsi="Times New Roman" w:eastAsia="宋体"/>
                <w:color w:val="auto"/>
                <w:kern w:val="0"/>
                <w:sz w:val="24"/>
              </w:rPr>
              <w:t>未发生过环境污染事故，无异味等环境投诉问题。</w:t>
            </w:r>
          </w:p>
          <w:p>
            <w:pPr>
              <w:widowControl/>
              <w:adjustRightInd w:val="0"/>
              <w:snapToGrid w:val="0"/>
              <w:spacing w:line="360" w:lineRule="auto"/>
              <w:rPr>
                <w:rFonts w:ascii="Times New Roman" w:hAnsi="Times New Roman" w:eastAsia="宋体"/>
                <w:b/>
                <w:bCs/>
                <w:color w:val="auto"/>
                <w:sz w:val="24"/>
              </w:rPr>
            </w:pPr>
            <w:r>
              <w:rPr>
                <w:rFonts w:hint="eastAsia" w:ascii="Times New Roman" w:hAnsi="Times New Roman" w:eastAsia="宋体"/>
                <w:b/>
                <w:bCs/>
                <w:color w:val="auto"/>
                <w:sz w:val="24"/>
              </w:rPr>
              <w:t>（八）</w:t>
            </w:r>
            <w:r>
              <w:rPr>
                <w:rFonts w:ascii="Times New Roman" w:hAnsi="Times New Roman" w:eastAsia="宋体"/>
                <w:b/>
                <w:bCs/>
                <w:color w:val="auto"/>
                <w:sz w:val="24"/>
              </w:rPr>
              <w:t>现有项目存在问题及“以新带老”措施</w:t>
            </w:r>
          </w:p>
          <w:p>
            <w:pPr>
              <w:adjustRightInd w:val="0"/>
              <w:snapToGrid w:val="0"/>
              <w:spacing w:line="360" w:lineRule="auto"/>
              <w:ind w:firstLine="482"/>
              <w:outlineLvl w:val="0"/>
              <w:rPr>
                <w:rFonts w:ascii="Times New Roman" w:hAnsi="Times New Roman" w:eastAsia="宋体"/>
                <w:b/>
                <w:bCs/>
                <w:color w:val="auto"/>
                <w:sz w:val="24"/>
              </w:rPr>
            </w:pPr>
            <w:r>
              <w:rPr>
                <w:rFonts w:hint="eastAsia" w:ascii="Times New Roman" w:hAnsi="Times New Roman" w:eastAsia="宋体"/>
                <w:b/>
                <w:bCs/>
                <w:color w:val="auto"/>
                <w:sz w:val="24"/>
              </w:rPr>
              <w:t>1、</w:t>
            </w:r>
            <w:r>
              <w:rPr>
                <w:rFonts w:ascii="Times New Roman" w:hAnsi="Times New Roman" w:eastAsia="宋体"/>
                <w:b/>
                <w:bCs/>
                <w:color w:val="auto"/>
                <w:sz w:val="24"/>
              </w:rPr>
              <w:t>存在问题</w:t>
            </w:r>
          </w:p>
          <w:p>
            <w:pPr>
              <w:adjustRightInd w:val="0"/>
              <w:snapToGrid w:val="0"/>
              <w:spacing w:line="360" w:lineRule="auto"/>
              <w:ind w:firstLine="480" w:firstLineChars="200"/>
              <w:outlineLvl w:val="0"/>
              <w:rPr>
                <w:rFonts w:hint="eastAsia" w:ascii="Times New Roman" w:hAnsi="Times New Roman" w:eastAsia="宋体"/>
                <w:color w:val="auto"/>
                <w:sz w:val="24"/>
              </w:rPr>
            </w:pPr>
            <w:r>
              <w:rPr>
                <w:rFonts w:hint="eastAsia" w:ascii="Times New Roman" w:hAnsi="Times New Roman" w:eastAsia="宋体"/>
                <w:color w:val="auto"/>
                <w:sz w:val="24"/>
              </w:rPr>
              <w:t>①</w:t>
            </w:r>
            <w:r>
              <w:rPr>
                <w:rFonts w:ascii="Times New Roman" w:hAnsi="Times New Roman" w:eastAsia="宋体"/>
                <w:color w:val="auto"/>
                <w:kern w:val="0"/>
                <w:sz w:val="24"/>
              </w:rPr>
              <w:t>企业</w:t>
            </w:r>
            <w:r>
              <w:rPr>
                <w:rFonts w:hint="eastAsia" w:ascii="Times New Roman" w:hAnsi="Times New Roman" w:eastAsia="宋体"/>
                <w:color w:val="auto"/>
                <w:kern w:val="0"/>
                <w:sz w:val="24"/>
              </w:rPr>
              <w:t>未编制突发环境事件应急预案</w:t>
            </w:r>
            <w:r>
              <w:rPr>
                <w:rFonts w:hint="eastAsia" w:ascii="Times New Roman" w:hAnsi="Times New Roman" w:eastAsia="宋体"/>
                <w:color w:val="auto"/>
                <w:sz w:val="24"/>
              </w:rPr>
              <w:t>。</w:t>
            </w:r>
          </w:p>
          <w:p>
            <w:pPr>
              <w:pStyle w:val="3"/>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②企业暂未申请排污许可手续</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0"/>
              <w:rPr>
                <w:rFonts w:ascii="Times New Roman" w:hAnsi="Times New Roman" w:eastAsia="宋体"/>
                <w:color w:val="auto"/>
                <w:sz w:val="24"/>
              </w:rPr>
            </w:pPr>
            <w:r>
              <w:rPr>
                <w:rFonts w:hint="eastAsia" w:ascii="Times New Roman" w:hAnsi="Times New Roman" w:eastAsia="宋体"/>
                <w:color w:val="auto"/>
                <w:sz w:val="24"/>
                <w:lang w:val="en-US" w:eastAsia="zh-CN"/>
              </w:rPr>
              <w:t>③</w:t>
            </w:r>
            <w:r>
              <w:rPr>
                <w:rFonts w:hint="eastAsia" w:ascii="Times New Roman" w:hAnsi="Times New Roman" w:eastAsia="宋体"/>
                <w:color w:val="auto"/>
                <w:sz w:val="24"/>
              </w:rPr>
              <w:t>企业废气、废水、噪声未按照要求进行年度监测。</w:t>
            </w:r>
          </w:p>
          <w:p>
            <w:pPr>
              <w:adjustRightInd w:val="0"/>
              <w:snapToGrid w:val="0"/>
              <w:spacing w:line="360" w:lineRule="auto"/>
              <w:ind w:firstLine="482" w:firstLineChars="200"/>
              <w:outlineLvl w:val="0"/>
              <w:rPr>
                <w:rFonts w:ascii="Times New Roman" w:hAnsi="Times New Roman" w:eastAsia="宋体"/>
                <w:b/>
                <w:bCs/>
                <w:color w:val="auto"/>
                <w:sz w:val="24"/>
              </w:rPr>
            </w:pPr>
            <w:r>
              <w:rPr>
                <w:rFonts w:hint="eastAsia" w:ascii="Times New Roman" w:hAnsi="Times New Roman" w:eastAsia="宋体"/>
                <w:b/>
                <w:bCs/>
                <w:color w:val="auto"/>
                <w:sz w:val="24"/>
              </w:rPr>
              <w:t>2、</w:t>
            </w:r>
            <w:r>
              <w:rPr>
                <w:rFonts w:ascii="Times New Roman" w:hAnsi="Times New Roman" w:eastAsia="宋体"/>
                <w:b/>
                <w:bCs/>
                <w:color w:val="auto"/>
                <w:sz w:val="24"/>
              </w:rPr>
              <w:t>“以新带老”措施</w:t>
            </w:r>
          </w:p>
          <w:p>
            <w:pPr>
              <w:adjustRightInd w:val="0"/>
              <w:snapToGrid w:val="0"/>
              <w:spacing w:line="360" w:lineRule="auto"/>
              <w:ind w:firstLine="480" w:firstLineChars="200"/>
              <w:outlineLvl w:val="0"/>
              <w:rPr>
                <w:rFonts w:ascii="Times New Roman" w:hAnsi="Times New Roman" w:eastAsia="宋体"/>
                <w:color w:val="auto"/>
                <w:sz w:val="24"/>
              </w:rPr>
            </w:pPr>
            <w:r>
              <w:rPr>
                <w:rFonts w:hint="eastAsia" w:ascii="Times New Roman" w:hAnsi="Times New Roman" w:eastAsia="宋体"/>
                <w:color w:val="auto"/>
                <w:sz w:val="24"/>
              </w:rPr>
              <w:t>①企业应尽快编制应急预案并备案，并按照要求进行应急演练。</w:t>
            </w:r>
          </w:p>
          <w:p>
            <w:pPr>
              <w:adjustRightInd w:val="0"/>
              <w:snapToGrid w:val="0"/>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②企业在技改项目完成后一并申请排污许可手续</w:t>
            </w:r>
          </w:p>
          <w:p>
            <w:pPr>
              <w:adjustRightInd w:val="0"/>
              <w:snapToGrid w:val="0"/>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③</w:t>
            </w:r>
            <w:r>
              <w:rPr>
                <w:rFonts w:hint="eastAsia" w:ascii="Times New Roman" w:hAnsi="Times New Roman" w:eastAsia="宋体"/>
                <w:color w:val="auto"/>
                <w:sz w:val="24"/>
              </w:rPr>
              <w:t>已将废气、废水、噪声年度监测纳入全厂年度监测计划，企业需按要求进行监测。</w:t>
            </w:r>
          </w:p>
          <w:p>
            <w:pPr>
              <w:adjustRightInd w:val="0"/>
              <w:snapToGrid w:val="0"/>
              <w:spacing w:line="360" w:lineRule="auto"/>
              <w:ind w:firstLine="480" w:firstLineChars="200"/>
              <w:rPr>
                <w:rFonts w:hint="default" w:ascii="Times New Roman" w:hAnsi="Times New Roman" w:eastAsia="宋体"/>
                <w:bCs/>
                <w:color w:val="auto"/>
                <w:szCs w:val="21"/>
                <w:lang w:val="en-US" w:eastAsia="zh-CN"/>
              </w:rPr>
            </w:pPr>
            <w:r>
              <w:rPr>
                <w:rFonts w:hint="eastAsia" w:ascii="Times New Roman" w:hAnsi="Times New Roman" w:eastAsia="宋体"/>
                <w:color w:val="auto"/>
                <w:sz w:val="24"/>
                <w:lang w:val="en-US" w:eastAsia="zh-CN"/>
              </w:rPr>
              <w:t>④现有项目并未计算机加工废气，该部分废气与本次技改废气一同核算。</w:t>
            </w:r>
          </w:p>
        </w:tc>
      </w:tr>
    </w:tbl>
    <w:p>
      <w:pPr>
        <w:pStyle w:val="16"/>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r>
        <w:rPr>
          <w:rFonts w:hint="eastAsia" w:ascii="黑体" w:hAnsi="黑体" w:eastAsia="黑体"/>
          <w:snapToGrid w:val="0"/>
          <w:color w:val="auto"/>
          <w:sz w:val="30"/>
          <w:szCs w:val="30"/>
        </w:rPr>
        <w:t>三、区域环境质量现状、环境保护目标及评价标准</w:t>
      </w:r>
    </w:p>
    <w:tbl>
      <w:tblPr>
        <w:tblStyle w:val="21"/>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8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636"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现状</w:t>
            </w:r>
          </w:p>
        </w:tc>
        <w:tc>
          <w:tcPr>
            <w:tcW w:w="8425" w:type="dxa"/>
            <w:vAlign w:val="center"/>
          </w:tcPr>
          <w:p>
            <w:pPr>
              <w:spacing w:line="360" w:lineRule="auto"/>
              <w:ind w:firstLine="482" w:firstLineChars="200"/>
              <w:rPr>
                <w:b/>
                <w:color w:val="auto"/>
                <w:sz w:val="24"/>
              </w:rPr>
            </w:pPr>
            <w:r>
              <w:rPr>
                <w:b/>
                <w:color w:val="auto"/>
                <w:sz w:val="24"/>
              </w:rPr>
              <w:t>1、环境空气质量现状</w:t>
            </w:r>
          </w:p>
          <w:p>
            <w:pPr>
              <w:spacing w:line="360" w:lineRule="auto"/>
              <w:ind w:firstLine="480" w:firstLineChars="200"/>
              <w:rPr>
                <w:color w:val="auto"/>
                <w:kern w:val="24"/>
                <w:sz w:val="24"/>
              </w:rPr>
            </w:pPr>
            <w:r>
              <w:rPr>
                <w:color w:val="auto"/>
                <w:sz w:val="24"/>
              </w:rPr>
              <w:t>（1）</w:t>
            </w:r>
            <w:r>
              <w:rPr>
                <w:color w:val="auto"/>
                <w:kern w:val="24"/>
                <w:sz w:val="24"/>
              </w:rPr>
              <w:t xml:space="preserve">项目所在区域基本污染物达标情况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eastAsia" w:ascii="Times New Roman" w:hAnsi="Times New Roman" w:cs="Times New Roman"/>
                <w:color w:val="auto"/>
                <w:sz w:val="24"/>
                <w:szCs w:val="24"/>
                <w:highlight w:val="none"/>
                <w:lang w:eastAsia="zh-CN"/>
              </w:rPr>
              <w:t>南通</w:t>
            </w:r>
            <w:r>
              <w:rPr>
                <w:rFonts w:hint="default" w:ascii="Times New Roman" w:hAnsi="Times New Roman" w:eastAsia="宋体" w:cs="Times New Roman"/>
                <w:color w:val="auto"/>
                <w:sz w:val="24"/>
                <w:szCs w:val="24"/>
                <w:highlight w:val="none"/>
              </w:rPr>
              <w:t>市生态环境状况公报（</w:t>
            </w:r>
            <w:r>
              <w:rPr>
                <w:rFonts w:hint="eastAsia"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）》中的数据，20</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如皋</w:t>
            </w:r>
            <w:r>
              <w:rPr>
                <w:rFonts w:hint="default" w:ascii="Times New Roman" w:hAnsi="Times New Roman" w:eastAsia="宋体" w:cs="Times New Roman"/>
                <w:color w:val="auto"/>
                <w:sz w:val="24"/>
                <w:szCs w:val="24"/>
                <w:highlight w:val="none"/>
              </w:rPr>
              <w:t>市主要空气污染物指标监测结果见表3-1。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表3-1  202</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年</w:t>
            </w:r>
            <w:r>
              <w:rPr>
                <w:rFonts w:hint="eastAsia" w:ascii="Times New Roman" w:hAnsi="Times New Roman" w:cs="Times New Roman"/>
                <w:b/>
                <w:bCs/>
                <w:color w:val="auto"/>
                <w:sz w:val="24"/>
                <w:szCs w:val="24"/>
                <w:lang w:val="en-US" w:eastAsia="zh-CN"/>
              </w:rPr>
              <w:t>如皋</w:t>
            </w:r>
            <w:r>
              <w:rPr>
                <w:rFonts w:hint="default" w:ascii="Times New Roman" w:hAnsi="Times New Roman" w:eastAsia="宋体" w:cs="Times New Roman"/>
                <w:b/>
                <w:bCs/>
                <w:color w:val="auto"/>
                <w:sz w:val="24"/>
                <w:szCs w:val="24"/>
              </w:rPr>
              <w:t>市环境空气主要污染指标</w:t>
            </w:r>
            <w:r>
              <w:rPr>
                <w:rFonts w:hint="eastAsia" w:ascii="Times New Roman" w:hAnsi="Times New Roman" w:cs="Times New Roman"/>
                <w:b/>
                <w:bCs/>
                <w:color w:val="auto"/>
                <w:sz w:val="24"/>
                <w:szCs w:val="24"/>
                <w:lang w:eastAsia="zh-CN"/>
              </w:rPr>
              <w:t>监测</w:t>
            </w:r>
            <w:r>
              <w:rPr>
                <w:rFonts w:hint="default" w:ascii="Times New Roman" w:hAnsi="Times New Roman" w:eastAsia="宋体" w:cs="Times New Roman"/>
                <w:b/>
                <w:bCs/>
                <w:color w:val="auto"/>
                <w:sz w:val="24"/>
                <w:szCs w:val="24"/>
              </w:rPr>
              <w:t>结果</w:t>
            </w:r>
          </w:p>
          <w:p>
            <w:pPr>
              <w:pStyle w:val="18"/>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righ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val="0"/>
                <w:snapToGrid w:val="0"/>
                <w:color w:val="auto"/>
                <w:kern w:val="0"/>
                <w:sz w:val="24"/>
                <w:szCs w:val="24"/>
                <w:highlight w:val="none"/>
                <w:lang w:bidi="en-US"/>
              </w:rPr>
              <w:t>单位：μg/m</w:t>
            </w:r>
            <w:r>
              <w:rPr>
                <w:rFonts w:hint="default" w:ascii="Times New Roman" w:hAnsi="Times New Roman" w:eastAsia="宋体" w:cs="Times New Roman"/>
                <w:b/>
                <w:bCs w:val="0"/>
                <w:snapToGrid w:val="0"/>
                <w:color w:val="auto"/>
                <w:kern w:val="0"/>
                <w:sz w:val="24"/>
                <w:szCs w:val="24"/>
                <w:highlight w:val="none"/>
                <w:vertAlign w:val="superscript"/>
                <w:lang w:bidi="en-US"/>
              </w:rPr>
              <w:t>3</w:t>
            </w:r>
            <w:r>
              <w:rPr>
                <w:rFonts w:hint="default" w:ascii="Times New Roman" w:hAnsi="Times New Roman" w:eastAsia="宋体" w:cs="Times New Roman"/>
                <w:b/>
                <w:bCs w:val="0"/>
                <w:snapToGrid w:val="0"/>
                <w:color w:val="auto"/>
                <w:kern w:val="0"/>
                <w:sz w:val="24"/>
                <w:szCs w:val="24"/>
                <w:highlight w:val="none"/>
                <w:lang w:eastAsia="zh-CN" w:bidi="en-US"/>
              </w:rPr>
              <w:t>（</w:t>
            </w:r>
            <w:r>
              <w:rPr>
                <w:rFonts w:hint="default" w:ascii="Times New Roman" w:hAnsi="Times New Roman" w:eastAsia="宋体" w:cs="Times New Roman"/>
                <w:b/>
                <w:bCs w:val="0"/>
                <w:snapToGrid w:val="0"/>
                <w:color w:val="auto"/>
                <w:kern w:val="0"/>
                <w:sz w:val="24"/>
                <w:szCs w:val="24"/>
                <w:highlight w:val="none"/>
                <w:lang w:bidi="en-US"/>
              </w:rPr>
              <w:t>CO为mg/m</w:t>
            </w:r>
            <w:r>
              <w:rPr>
                <w:rFonts w:hint="default" w:ascii="Times New Roman" w:hAnsi="Times New Roman" w:eastAsia="宋体" w:cs="Times New Roman"/>
                <w:b/>
                <w:bCs w:val="0"/>
                <w:snapToGrid w:val="0"/>
                <w:color w:val="auto"/>
                <w:kern w:val="0"/>
                <w:sz w:val="24"/>
                <w:szCs w:val="24"/>
                <w:highlight w:val="none"/>
                <w:vertAlign w:val="superscript"/>
                <w:lang w:bidi="en-US"/>
              </w:rPr>
              <w:t>3</w:t>
            </w:r>
            <w:r>
              <w:rPr>
                <w:rFonts w:hint="default" w:ascii="Times New Roman" w:hAnsi="Times New Roman" w:eastAsia="宋体" w:cs="Times New Roman"/>
                <w:b/>
                <w:bCs w:val="0"/>
                <w:snapToGrid w:val="0"/>
                <w:color w:val="auto"/>
                <w:kern w:val="0"/>
                <w:sz w:val="24"/>
                <w:szCs w:val="24"/>
                <w:highlight w:val="none"/>
                <w:lang w:eastAsia="zh-CN" w:bidi="en-US"/>
              </w:rPr>
              <w:t>）</w:t>
            </w:r>
          </w:p>
          <w:tbl>
            <w:tblPr>
              <w:tblStyle w:val="21"/>
              <w:tblpPr w:leftFromText="180" w:rightFromText="180" w:vertAnchor="text" w:horzAnchor="margin" w:tblpXSpec="center" w:tblpY="10"/>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662"/>
              <w:gridCol w:w="1192"/>
              <w:gridCol w:w="1111"/>
              <w:gridCol w:w="1191"/>
              <w:gridCol w:w="1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年评价指标</w:t>
                  </w:r>
                </w:p>
              </w:tc>
              <w:tc>
                <w:tcPr>
                  <w:tcW w:w="7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w:t>
                  </w:r>
                </w:p>
              </w:tc>
              <w:tc>
                <w:tcPr>
                  <w:tcW w:w="67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w:t>
                  </w:r>
                </w:p>
              </w:tc>
              <w:tc>
                <w:tcPr>
                  <w:tcW w:w="727"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6" w:type="dxa"/>
                  <w:tcBorders>
                    <w:tl2br w:val="nil"/>
                    <w:tr2bl w:val="nil"/>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9</w:t>
                  </w:r>
                </w:p>
              </w:tc>
              <w:tc>
                <w:tcPr>
                  <w:tcW w:w="110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sz w:val="21"/>
                      <w:szCs w:val="21"/>
                      <w:highlight w:val="none"/>
                    </w:rPr>
                    <w:t>60</w:t>
                  </w:r>
                </w:p>
              </w:tc>
              <w:tc>
                <w:tcPr>
                  <w:tcW w:w="118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6"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w:t>
                  </w:r>
                </w:p>
              </w:tc>
              <w:tc>
                <w:tcPr>
                  <w:tcW w:w="110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sz w:val="21"/>
                      <w:szCs w:val="21"/>
                      <w:highlight w:val="none"/>
                    </w:rPr>
                    <w:t>40</w:t>
                  </w:r>
                </w:p>
              </w:tc>
              <w:tc>
                <w:tcPr>
                  <w:tcW w:w="118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6"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49</w:t>
                  </w:r>
                </w:p>
              </w:tc>
              <w:tc>
                <w:tcPr>
                  <w:tcW w:w="110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sz w:val="21"/>
                      <w:szCs w:val="21"/>
                      <w:highlight w:val="none"/>
                    </w:rPr>
                    <w:t>70</w:t>
                  </w:r>
                </w:p>
              </w:tc>
              <w:tc>
                <w:tcPr>
                  <w:tcW w:w="118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6"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31</w:t>
                  </w:r>
                </w:p>
              </w:tc>
              <w:tc>
                <w:tcPr>
                  <w:tcW w:w="110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sz w:val="21"/>
                      <w:szCs w:val="21"/>
                      <w:highlight w:val="none"/>
                    </w:rPr>
                    <w:t>35</w:t>
                  </w:r>
                </w:p>
              </w:tc>
              <w:tc>
                <w:tcPr>
                  <w:tcW w:w="118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88.6</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日均值第95分位质量浓度</w:t>
                  </w:r>
                </w:p>
              </w:tc>
              <w:tc>
                <w:tcPr>
                  <w:tcW w:w="1186"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w:t>
                  </w:r>
                </w:p>
              </w:tc>
              <w:tc>
                <w:tcPr>
                  <w:tcW w:w="110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4</w:t>
                  </w:r>
                </w:p>
              </w:tc>
              <w:tc>
                <w:tcPr>
                  <w:tcW w:w="118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8h平均第90分位质量浓度</w:t>
                  </w:r>
                </w:p>
              </w:tc>
              <w:tc>
                <w:tcPr>
                  <w:tcW w:w="1186"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152</w:t>
                  </w:r>
                </w:p>
              </w:tc>
              <w:tc>
                <w:tcPr>
                  <w:tcW w:w="110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160</w:t>
                  </w:r>
                </w:p>
              </w:tc>
              <w:tc>
                <w:tcPr>
                  <w:tcW w:w="1184"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95</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bl>
          <w:p>
            <w:pPr>
              <w:spacing w:line="360" w:lineRule="auto"/>
              <w:ind w:firstLine="480" w:firstLineChars="200"/>
              <w:rPr>
                <w:rFonts w:hint="eastAsia"/>
                <w:color w:val="auto"/>
                <w:sz w:val="24"/>
                <w:szCs w:val="24"/>
              </w:rPr>
            </w:pPr>
            <w:r>
              <w:rPr>
                <w:rFonts w:hint="default" w:ascii="Times New Roman" w:hAnsi="Times New Roman" w:eastAsia="宋体" w:cs="Times New Roman"/>
                <w:color w:val="auto"/>
                <w:sz w:val="24"/>
                <w:szCs w:val="24"/>
                <w:highlight w:val="none"/>
              </w:rPr>
              <w:t>根据《环境影响评价技术导则 大气环境》（HJ2.2-2018），基本项目污染物包括：SO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、CO、O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，当6项污染物全部达标即为城市环境空气质量达标。20</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年如皋SO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、CO</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O</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eastAsia="zh-CN"/>
              </w:rPr>
              <w:t>均能</w:t>
            </w:r>
            <w:r>
              <w:rPr>
                <w:rFonts w:hint="default" w:ascii="Times New Roman" w:hAnsi="Times New Roman" w:eastAsia="宋体" w:cs="Times New Roman"/>
                <w:color w:val="auto"/>
                <w:sz w:val="24"/>
                <w:szCs w:val="24"/>
                <w:highlight w:val="none"/>
              </w:rPr>
              <w:t>满足《环境空气质量标准》（GB3095-2012）二级标准</w:t>
            </w:r>
            <w:r>
              <w:rPr>
                <w:rFonts w:hint="eastAsia" w:ascii="Times New Roman" w:hAnsi="宋体" w:cs="Times New Roman"/>
                <w:color w:val="auto"/>
                <w:sz w:val="24"/>
                <w:szCs w:val="24"/>
                <w:lang w:eastAsia="zh-CN"/>
              </w:rPr>
              <w:t>，</w:t>
            </w: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所在</w:t>
            </w:r>
            <w:r>
              <w:rPr>
                <w:rFonts w:hint="default" w:ascii="Times New Roman" w:hAnsi="Times New Roman" w:eastAsia="宋体" w:cs="Times New Roman"/>
                <w:color w:val="auto"/>
                <w:sz w:val="24"/>
                <w:szCs w:val="24"/>
                <w:highlight w:val="none"/>
              </w:rPr>
              <w:t>区域属于</w:t>
            </w:r>
            <w:r>
              <w:rPr>
                <w:rFonts w:hint="default" w:ascii="Times New Roman" w:hAnsi="Times New Roman" w:cs="Times New Roman"/>
                <w:snapToGrid w:val="0"/>
                <w:color w:val="auto"/>
                <w:kern w:val="0"/>
                <w:sz w:val="24"/>
                <w:szCs w:val="24"/>
              </w:rPr>
              <w:t>达标区</w:t>
            </w:r>
            <w:r>
              <w:rPr>
                <w:rFonts w:hint="default" w:ascii="Times New Roman" w:hAnsi="Times New Roman" w:cs="Times New Roman"/>
                <w:color w:val="auto"/>
                <w:sz w:val="24"/>
                <w:szCs w:val="24"/>
              </w:rPr>
              <w:t>。</w:t>
            </w:r>
          </w:p>
          <w:p>
            <w:pPr>
              <w:spacing w:line="360" w:lineRule="auto"/>
              <w:ind w:firstLine="480" w:firstLineChars="200"/>
              <w:rPr>
                <w:color w:val="auto"/>
                <w:sz w:val="24"/>
              </w:rPr>
            </w:pPr>
            <w:r>
              <w:rPr>
                <w:color w:val="auto"/>
                <w:sz w:val="24"/>
              </w:rPr>
              <w:t>（2）</w:t>
            </w:r>
            <w:r>
              <w:rPr>
                <w:rFonts w:hint="eastAsia"/>
                <w:snapToGrid w:val="0"/>
                <w:color w:val="auto"/>
                <w:kern w:val="0"/>
                <w:sz w:val="24"/>
                <w:lang w:val="en-US" w:eastAsia="zh-CN"/>
              </w:rPr>
              <w:t>本项目</w:t>
            </w:r>
            <w:r>
              <w:rPr>
                <w:snapToGrid w:val="0"/>
                <w:color w:val="auto"/>
                <w:kern w:val="0"/>
                <w:sz w:val="24"/>
              </w:rPr>
              <w:t>污染物环境质量现状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sz w:val="24"/>
                <w:szCs w:val="24"/>
                <w:vertAlign w:val="baseline"/>
                <w:lang w:val="en-US" w:eastAsia="zh-CN"/>
              </w:rPr>
            </w:pPr>
            <w:r>
              <w:rPr>
                <w:rFonts w:hint="eastAsia"/>
                <w:color w:val="000000"/>
                <w:sz w:val="24"/>
                <w:szCs w:val="24"/>
              </w:rPr>
              <w:t>本项目评价因子为</w:t>
            </w:r>
            <w:r>
              <w:rPr>
                <w:rFonts w:hint="eastAsia"/>
                <w:color w:val="000000"/>
                <w:sz w:val="24"/>
                <w:szCs w:val="24"/>
                <w:lang w:val="en-US" w:eastAsia="zh-CN"/>
              </w:rPr>
              <w:t>TSP、非甲烷总烃</w:t>
            </w:r>
            <w:r>
              <w:rPr>
                <w:rFonts w:hint="eastAsia"/>
                <w:color w:val="000000"/>
                <w:sz w:val="24"/>
                <w:szCs w:val="24"/>
              </w:rPr>
              <w:t>。非甲烷总烃无国家和地方环境空气质量标准，无需补充监测</w:t>
            </w:r>
            <w:r>
              <w:rPr>
                <w:rFonts w:hint="eastAsia"/>
                <w:color w:val="000000"/>
                <w:sz w:val="24"/>
                <w:szCs w:val="24"/>
                <w:vertAlign w:val="baseline"/>
                <w:lang w:val="en-US" w:eastAsia="zh-CN"/>
              </w:rPr>
              <w:t>。TSP本底监测引用江苏恒远环境科技有限公司于2024年10月8日~14日对南通成泽机械配件有限公司西北侧本底监测报告（报告编号：（2024）恒远检（综）字第（041）号）。引用数据在3年有效期内，本项目距离南通成泽机械配件有限公司东北侧约988m，不超过2.5km，因此，本项目引用南通成泽机械配件有限公司监测报告中数据是有效的。</w:t>
            </w:r>
          </w:p>
          <w:p>
            <w:pPr>
              <w:pStyle w:val="17"/>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color w:val="000000"/>
                <w:lang w:val="en-US" w:eastAsia="zh-CN"/>
              </w:rPr>
            </w:pPr>
            <w:r>
              <w:rPr>
                <w:rFonts w:hint="eastAsia"/>
                <w:b/>
                <w:bCs/>
                <w:color w:val="000000"/>
                <w:sz w:val="24"/>
                <w:szCs w:val="24"/>
                <w:vertAlign w:val="baseline"/>
                <w:lang w:val="en-US" w:eastAsia="zh-CN"/>
              </w:rPr>
              <w:t>表3-2  大气监测结果分析表</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318"/>
              <w:gridCol w:w="1595"/>
              <w:gridCol w:w="1318"/>
              <w:gridCol w:w="1318"/>
              <w:gridCol w:w="1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监测因子</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监测点位</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浓度范围mg/m</w:t>
                  </w:r>
                  <w:r>
                    <w:rPr>
                      <w:rFonts w:hint="eastAsia"/>
                      <w:b/>
                      <w:bCs/>
                      <w:color w:val="000000"/>
                      <w:sz w:val="21"/>
                      <w:szCs w:val="21"/>
                      <w:vertAlign w:val="superscript"/>
                      <w:lang w:val="en-US" w:eastAsia="zh-CN"/>
                    </w:rPr>
                    <w:t>3</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标准</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b/>
                      <w:bCs/>
                      <w:color w:val="000000"/>
                      <w:sz w:val="21"/>
                      <w:szCs w:val="21"/>
                      <w:vertAlign w:val="baseline"/>
                    </w:rPr>
                  </w:pPr>
                  <w:r>
                    <w:rPr>
                      <w:rFonts w:hint="default"/>
                      <w:b/>
                      <w:bCs/>
                      <w:color w:val="000000"/>
                      <w:sz w:val="21"/>
                      <w:szCs w:val="21"/>
                      <w:vertAlign w:val="baseline"/>
                    </w:rPr>
                    <w:t>最大浓度占标率/%</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b/>
                      <w:bCs/>
                      <w:color w:val="000000"/>
                      <w:sz w:val="21"/>
                      <w:szCs w:val="21"/>
                      <w:vertAlign w:val="baseline"/>
                    </w:rPr>
                  </w:pPr>
                  <w:r>
                    <w:rPr>
                      <w:rFonts w:hint="default"/>
                      <w:b/>
                      <w:bCs/>
                      <w:color w:val="000000"/>
                      <w:sz w:val="21"/>
                      <w:szCs w:val="21"/>
                      <w:vertAlign w:val="baseline"/>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val="0"/>
                      <w:bCs w:val="0"/>
                      <w:color w:val="000000"/>
                      <w:sz w:val="21"/>
                      <w:szCs w:val="21"/>
                      <w:vertAlign w:val="baseline"/>
                      <w:lang w:val="en-US" w:eastAsia="zh-CN"/>
                    </w:rPr>
                  </w:pPr>
                  <w:r>
                    <w:rPr>
                      <w:rFonts w:hint="eastAsia"/>
                      <w:b w:val="0"/>
                      <w:bCs w:val="0"/>
                      <w:color w:val="000000"/>
                      <w:sz w:val="21"/>
                      <w:szCs w:val="21"/>
                      <w:vertAlign w:val="baseline"/>
                      <w:lang w:val="en-US" w:eastAsia="zh-CN"/>
                    </w:rPr>
                    <w:t>TSP</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b w:val="0"/>
                      <w:bCs w:val="0"/>
                      <w:color w:val="000000"/>
                      <w:sz w:val="21"/>
                      <w:szCs w:val="21"/>
                      <w:vertAlign w:val="baseline"/>
                    </w:rPr>
                  </w:pPr>
                  <w:r>
                    <w:rPr>
                      <w:rFonts w:hint="eastAsia"/>
                      <w:b w:val="0"/>
                      <w:bCs w:val="0"/>
                      <w:color w:val="000000"/>
                      <w:sz w:val="21"/>
                      <w:szCs w:val="21"/>
                      <w:vertAlign w:val="baseline"/>
                      <w:lang w:eastAsia="zh-CN"/>
                    </w:rPr>
                    <w:t>南通成泽机械配件有限公司</w:t>
                  </w:r>
                  <w:r>
                    <w:rPr>
                      <w:rFonts w:hint="eastAsia"/>
                      <w:b w:val="0"/>
                      <w:bCs w:val="0"/>
                      <w:color w:val="000000"/>
                      <w:sz w:val="21"/>
                      <w:szCs w:val="21"/>
                      <w:vertAlign w:val="baseline"/>
                      <w:lang w:val="en-US" w:eastAsia="zh-CN"/>
                    </w:rPr>
                    <w:t>西北</w:t>
                  </w:r>
                  <w:r>
                    <w:rPr>
                      <w:rFonts w:hint="default"/>
                      <w:b w:val="0"/>
                      <w:bCs w:val="0"/>
                      <w:color w:val="000000"/>
                      <w:sz w:val="21"/>
                      <w:szCs w:val="21"/>
                      <w:vertAlign w:val="baseline"/>
                    </w:rPr>
                    <w:t>侧</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val="0"/>
                      <w:bCs w:val="0"/>
                      <w:color w:val="000000"/>
                      <w:sz w:val="21"/>
                      <w:szCs w:val="21"/>
                      <w:vertAlign w:val="baseline"/>
                      <w:lang w:val="en-US" w:eastAsia="zh-CN"/>
                    </w:rPr>
                  </w:pPr>
                  <w:r>
                    <w:rPr>
                      <w:rFonts w:hint="default"/>
                      <w:b w:val="0"/>
                      <w:bCs w:val="0"/>
                      <w:color w:val="000000"/>
                      <w:sz w:val="21"/>
                      <w:szCs w:val="21"/>
                      <w:vertAlign w:val="baseline"/>
                    </w:rPr>
                    <w:t>0.</w:t>
                  </w:r>
                  <w:r>
                    <w:rPr>
                      <w:rFonts w:hint="eastAsia"/>
                      <w:b w:val="0"/>
                      <w:bCs w:val="0"/>
                      <w:color w:val="000000"/>
                      <w:sz w:val="21"/>
                      <w:szCs w:val="21"/>
                      <w:vertAlign w:val="baseline"/>
                      <w:lang w:val="en-US" w:eastAsia="zh-CN"/>
                    </w:rPr>
                    <w:t>146</w:t>
                  </w:r>
                  <w:r>
                    <w:rPr>
                      <w:rFonts w:hint="default"/>
                      <w:b w:val="0"/>
                      <w:bCs w:val="0"/>
                      <w:color w:val="000000"/>
                      <w:sz w:val="21"/>
                      <w:szCs w:val="21"/>
                      <w:vertAlign w:val="baseline"/>
                    </w:rPr>
                    <w:t>~0.</w:t>
                  </w:r>
                  <w:r>
                    <w:rPr>
                      <w:rFonts w:hint="eastAsia"/>
                      <w:b w:val="0"/>
                      <w:bCs w:val="0"/>
                      <w:color w:val="000000"/>
                      <w:sz w:val="21"/>
                      <w:szCs w:val="21"/>
                      <w:vertAlign w:val="baseline"/>
                      <w:lang w:val="en-US" w:eastAsia="zh-CN"/>
                    </w:rPr>
                    <w:t>178</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val="0"/>
                      <w:bCs w:val="0"/>
                      <w:color w:val="000000"/>
                      <w:sz w:val="21"/>
                      <w:szCs w:val="21"/>
                      <w:vertAlign w:val="baseline"/>
                      <w:lang w:val="en-US" w:eastAsia="zh-CN"/>
                    </w:rPr>
                  </w:pPr>
                  <w:r>
                    <w:rPr>
                      <w:rFonts w:hint="eastAsia"/>
                      <w:b w:val="0"/>
                      <w:bCs w:val="0"/>
                      <w:color w:val="000000"/>
                      <w:sz w:val="21"/>
                      <w:szCs w:val="21"/>
                      <w:vertAlign w:val="baseline"/>
                      <w:lang w:val="en-US" w:eastAsia="zh-CN"/>
                    </w:rPr>
                    <w:t>0.3</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b w:val="0"/>
                      <w:bCs w:val="0"/>
                      <w:color w:val="000000"/>
                      <w:sz w:val="21"/>
                      <w:szCs w:val="21"/>
                      <w:vertAlign w:val="baseline"/>
                    </w:rPr>
                  </w:pPr>
                  <w:r>
                    <w:rPr>
                      <w:rFonts w:hint="eastAsia"/>
                      <w:b w:val="0"/>
                      <w:bCs w:val="0"/>
                      <w:color w:val="000000"/>
                      <w:sz w:val="21"/>
                      <w:szCs w:val="21"/>
                      <w:vertAlign w:val="baseline"/>
                      <w:lang w:val="en-US" w:eastAsia="zh-CN"/>
                    </w:rPr>
                    <w:t>59</w:t>
                  </w:r>
                  <w:r>
                    <w:rPr>
                      <w:rFonts w:hint="default"/>
                      <w:b w:val="0"/>
                      <w:bCs w:val="0"/>
                      <w:color w:val="000000"/>
                      <w:sz w:val="21"/>
                      <w:szCs w:val="21"/>
                      <w:vertAlign w:val="baseline"/>
                    </w:rPr>
                    <w:t>.3</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eastAsia="宋体"/>
                      <w:b w:val="0"/>
                      <w:bCs w:val="0"/>
                      <w:color w:val="000000"/>
                      <w:sz w:val="21"/>
                      <w:szCs w:val="21"/>
                      <w:vertAlign w:val="baseline"/>
                      <w:lang w:val="en-US" w:eastAsia="zh-CN"/>
                    </w:rPr>
                  </w:pPr>
                  <w:r>
                    <w:rPr>
                      <w:rFonts w:hint="eastAsia"/>
                      <w:b w:val="0"/>
                      <w:bCs w:val="0"/>
                      <w:color w:val="000000"/>
                      <w:sz w:val="21"/>
                      <w:szCs w:val="21"/>
                      <w:vertAlign w:val="baseline"/>
                      <w:lang w:val="en-US" w:eastAsia="zh-CN"/>
                    </w:rPr>
                    <w:t>0</w:t>
                  </w:r>
                </w:p>
              </w:tc>
            </w:tr>
          </w:tbl>
          <w:p>
            <w:pPr>
              <w:spacing w:line="360" w:lineRule="auto"/>
              <w:ind w:firstLine="420" w:firstLineChars="200"/>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9" w:type="dxa"/>
                </w:tcPr>
                <w:p>
                  <w:pPr>
                    <w:spacing w:line="360" w:lineRule="auto"/>
                    <w:rPr>
                      <w:rFonts w:hint="eastAsia" w:eastAsia="宋体"/>
                      <w:vertAlign w:val="baseline"/>
                      <w:lang w:eastAsia="zh-CN"/>
                    </w:rPr>
                  </w:pPr>
                  <w:r>
                    <w:rPr>
                      <w:rFonts w:hint="eastAsia" w:eastAsia="宋体"/>
                      <w:vertAlign w:val="baseline"/>
                      <w:lang w:eastAsia="zh-CN"/>
                    </w:rPr>
                    <w:drawing>
                      <wp:inline distT="0" distB="0" distL="114300" distR="114300">
                        <wp:extent cx="5066030" cy="4018915"/>
                        <wp:effectExtent l="0" t="0" r="8890" b="4445"/>
                        <wp:docPr id="3" name="图片 3" descr="微信截图_202601121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60112162022"/>
                                <pic:cNvPicPr>
                                  <a:picLocks noChangeAspect="1"/>
                                </pic:cNvPicPr>
                              </pic:nvPicPr>
                              <pic:blipFill>
                                <a:blip r:embed="rId11"/>
                                <a:stretch>
                                  <a:fillRect/>
                                </a:stretch>
                              </pic:blipFill>
                              <pic:spPr>
                                <a:xfrm>
                                  <a:off x="0" y="0"/>
                                  <a:ext cx="5066030" cy="4018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9" w:type="dxa"/>
                </w:tcPr>
                <w:p>
                  <w:pPr>
                    <w:spacing w:line="360" w:lineRule="auto"/>
                    <w:jc w:val="center"/>
                    <w:rPr>
                      <w:vertAlign w:val="baseline"/>
                    </w:rPr>
                  </w:pPr>
                  <w:r>
                    <w:rPr>
                      <w:vertAlign w:val="baseline"/>
                    </w:rPr>
                    <w:t>项目所在地与引用数据所在地位置图</w:t>
                  </w:r>
                </w:p>
              </w:tc>
            </w:tr>
          </w:tbl>
          <w:p>
            <w:pPr>
              <w:spacing w:line="360" w:lineRule="auto"/>
              <w:ind w:firstLine="482" w:firstLineChars="200"/>
              <w:rPr>
                <w:color w:val="auto"/>
                <w:sz w:val="24"/>
              </w:rPr>
            </w:pPr>
            <w:r>
              <w:rPr>
                <w:b/>
                <w:color w:val="auto"/>
                <w:sz w:val="24"/>
              </w:rPr>
              <w:t>2、</w:t>
            </w:r>
            <w:r>
              <w:rPr>
                <w:rFonts w:hint="eastAsia"/>
                <w:b/>
                <w:color w:val="auto"/>
                <w:sz w:val="24"/>
              </w:rPr>
              <w:t>地表</w:t>
            </w:r>
            <w:r>
              <w:rPr>
                <w:b/>
                <w:color w:val="auto"/>
                <w:sz w:val="24"/>
              </w:rPr>
              <w:t>水环境质量现状</w:t>
            </w:r>
          </w:p>
          <w:p>
            <w:pPr>
              <w:spacing w:line="360" w:lineRule="auto"/>
              <w:ind w:firstLine="480" w:firstLineChars="200"/>
              <w:rPr>
                <w:color w:val="auto"/>
                <w:sz w:val="24"/>
              </w:rPr>
            </w:pPr>
            <w:r>
              <w:rPr>
                <w:rFonts w:hint="default" w:ascii="Times New Roman" w:hAnsi="Times New Roman" w:cs="Times New Roman"/>
                <w:color w:val="auto"/>
                <w:sz w:val="24"/>
                <w:szCs w:val="24"/>
              </w:rPr>
              <w:t>根据《202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年度南通市生态环境状况公报》，南通市共有16个国家考核断面，均达到或优于《地表水环境质量标准》（GB3838-2002）Ⅲ类标准。55个省考以上断面中，</w:t>
            </w:r>
            <w:r>
              <w:rPr>
                <w:rFonts w:hint="default" w:ascii="Times New Roman" w:hAnsi="Times New Roman" w:cs="Times New Roman"/>
                <w:color w:val="auto"/>
                <w:sz w:val="24"/>
              </w:rPr>
              <w:t>九圩港桥</w:t>
            </w:r>
            <w:r>
              <w:rPr>
                <w:rFonts w:hint="default" w:ascii="Times New Roman" w:hAnsi="Times New Roman" w:cs="Times New Roman"/>
                <w:color w:val="auto"/>
                <w:sz w:val="24"/>
                <w:szCs w:val="24"/>
              </w:rPr>
              <w:t>、聚南大桥、营船港闸、通吕二号桥等1</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个断面水质符合Ⅱ类标准，孙窑大桥、</w:t>
            </w:r>
            <w:r>
              <w:rPr>
                <w:rFonts w:hint="default" w:ascii="Times New Roman" w:hAnsi="Times New Roman" w:cs="Times New Roman"/>
                <w:color w:val="auto"/>
                <w:sz w:val="24"/>
              </w:rPr>
              <w:t>碾砣港闸、勇敢大桥、东方大道桥、城港路桥</w:t>
            </w:r>
            <w:r>
              <w:rPr>
                <w:rFonts w:hint="default" w:ascii="Times New Roman" w:hAnsi="Times New Roman" w:cs="Times New Roman"/>
                <w:color w:val="auto"/>
                <w:sz w:val="24"/>
                <w:szCs w:val="24"/>
              </w:rPr>
              <w:t>等3</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个断面水质符合Ⅲ类标准，优Ⅲ类比例100%，无Ⅴ类和劣Ⅴ类断面</w:t>
            </w:r>
            <w:r>
              <w:rPr>
                <w:rFonts w:hint="default" w:ascii="Times New Roman" w:hAnsi="Times New Roman" w:eastAsia="宋体" w:cs="Times New Roman"/>
                <w:color w:val="000000"/>
                <w:sz w:val="24"/>
                <w:szCs w:val="24"/>
              </w:rPr>
              <w:t>。</w:t>
            </w:r>
          </w:p>
          <w:p>
            <w:pPr>
              <w:spacing w:line="360" w:lineRule="auto"/>
              <w:ind w:firstLine="482" w:firstLineChars="200"/>
              <w:rPr>
                <w:b/>
                <w:color w:val="auto"/>
                <w:sz w:val="24"/>
              </w:rPr>
            </w:pPr>
            <w:r>
              <w:rPr>
                <w:b/>
                <w:color w:val="auto"/>
                <w:sz w:val="24"/>
              </w:rPr>
              <w:t>3、声环境质量现状</w:t>
            </w:r>
          </w:p>
          <w:p>
            <w:pPr>
              <w:spacing w:line="360" w:lineRule="auto"/>
              <w:ind w:firstLine="480" w:firstLineChars="200"/>
              <w:rPr>
                <w:rFonts w:hint="eastAsia"/>
                <w:color w:val="auto"/>
                <w:sz w:val="24"/>
              </w:rPr>
            </w:pPr>
            <w:r>
              <w:rPr>
                <w:rFonts w:hint="default" w:ascii="Times New Roman" w:hAnsi="Times New Roman" w:eastAsia="宋体" w:cs="Times New Roman"/>
                <w:color w:val="0000FF"/>
                <w:sz w:val="24"/>
                <w:szCs w:val="24"/>
                <w:lang w:val="en-US" w:eastAsia="zh-CN"/>
              </w:rPr>
              <w:t>根据市政府关于印发《如皋市声环境功能区和噪声敏感建筑物集中区划分方案》的通知</w:t>
            </w:r>
            <w:r>
              <w:rPr>
                <w:rFonts w:hint="eastAsia" w:ascii="Times New Roman" w:hAnsi="Times New Roman" w:eastAsia="宋体" w:cs="Times New Roman"/>
                <w:color w:val="0000FF"/>
                <w:sz w:val="24"/>
                <w:szCs w:val="24"/>
                <w:lang w:val="en-US" w:eastAsia="zh-CN"/>
              </w:rPr>
              <w:t>（皋政发〔2025〕20号）</w:t>
            </w:r>
            <w:r>
              <w:rPr>
                <w:rFonts w:hint="default" w:ascii="Times New Roman" w:hAnsi="Times New Roman" w:eastAsia="宋体" w:cs="Times New Roman"/>
                <w:color w:val="0000FF"/>
                <w:sz w:val="24"/>
                <w:szCs w:val="24"/>
                <w:lang w:val="en-US" w:eastAsia="zh-CN"/>
              </w:rPr>
              <w:t>，项目所在地声环境功能属于</w:t>
            </w:r>
            <w:r>
              <w:rPr>
                <w:rFonts w:hint="eastAsia" w:ascii="Times New Roman" w:hAnsi="Times New Roman" w:eastAsia="宋体" w:cs="Times New Roman"/>
                <w:color w:val="0000FF"/>
                <w:sz w:val="24"/>
                <w:szCs w:val="24"/>
                <w:lang w:val="en-US" w:eastAsia="zh-CN"/>
              </w:rPr>
              <w:t>3</w:t>
            </w:r>
            <w:r>
              <w:rPr>
                <w:rFonts w:hint="default" w:ascii="Times New Roman" w:hAnsi="Times New Roman" w:eastAsia="宋体" w:cs="Times New Roman"/>
                <w:color w:val="0000FF"/>
                <w:sz w:val="24"/>
                <w:szCs w:val="24"/>
                <w:lang w:val="en-US" w:eastAsia="zh-CN"/>
              </w:rPr>
              <w:t>类声环境功能区，执行《声环境质量标准》（GB3096-2008）中</w:t>
            </w:r>
            <w:r>
              <w:rPr>
                <w:rFonts w:hint="eastAsia" w:ascii="Times New Roman" w:hAnsi="Times New Roman" w:eastAsia="宋体" w:cs="Times New Roman"/>
                <w:color w:val="0000FF"/>
                <w:sz w:val="24"/>
                <w:szCs w:val="24"/>
                <w:lang w:val="en-US" w:eastAsia="zh-CN"/>
              </w:rPr>
              <w:t>3</w:t>
            </w:r>
            <w:r>
              <w:rPr>
                <w:rFonts w:hint="default" w:ascii="Times New Roman" w:hAnsi="Times New Roman" w:eastAsia="宋体" w:cs="Times New Roman"/>
                <w:color w:val="0000FF"/>
                <w:sz w:val="24"/>
                <w:szCs w:val="24"/>
                <w:lang w:val="en-US" w:eastAsia="zh-CN"/>
              </w:rPr>
              <w:t>类标准</w:t>
            </w:r>
          </w:p>
          <w:p>
            <w:pPr>
              <w:spacing w:line="360" w:lineRule="auto"/>
              <w:ind w:firstLine="480" w:firstLineChars="200"/>
              <w:rPr>
                <w:color w:val="auto"/>
                <w:sz w:val="24"/>
              </w:rPr>
            </w:pPr>
            <w:r>
              <w:rPr>
                <w:rFonts w:hint="eastAsia"/>
                <w:color w:val="auto"/>
                <w:sz w:val="24"/>
              </w:rPr>
              <w:t>建设项目厂区位于</w:t>
            </w:r>
            <w:r>
              <w:rPr>
                <w:rFonts w:hint="eastAsia"/>
                <w:color w:val="auto"/>
                <w:sz w:val="24"/>
                <w:lang w:eastAsia="zh-CN"/>
              </w:rPr>
              <w:t>如皋市下原镇兴原路58-7号</w:t>
            </w:r>
            <w:r>
              <w:rPr>
                <w:rFonts w:hint="eastAsia"/>
                <w:color w:val="auto"/>
                <w:sz w:val="24"/>
              </w:rPr>
              <w:t>。</w:t>
            </w:r>
            <w:r>
              <w:rPr>
                <w:color w:val="auto"/>
                <w:sz w:val="24"/>
              </w:rPr>
              <w:t>根据《建设项目环境影响报告表编制技术指南（污染影响类</w:t>
            </w:r>
            <w:r>
              <w:rPr>
                <w:rFonts w:hint="eastAsia"/>
                <w:color w:val="auto"/>
                <w:sz w:val="24"/>
              </w:rPr>
              <w:t>）</w:t>
            </w:r>
            <w:r>
              <w:rPr>
                <w:color w:val="auto"/>
                <w:sz w:val="24"/>
              </w:rPr>
              <w:t>》</w:t>
            </w:r>
            <w:r>
              <w:rPr>
                <w:rFonts w:hint="eastAsia"/>
                <w:color w:val="auto"/>
                <w:sz w:val="24"/>
              </w:rPr>
              <w:t>“厂界外周边50米范围内存在声环境保护目标的建设项目，应监测保护目标声环境质量现状并评价达标情况。各点位应监测昼夜间噪声，监测时间不少于1天，项目夜间不生产则仅监测昼间噪声。”项目周边50m范围内有声环境敏感目标。需要进行现状监测。</w:t>
            </w:r>
          </w:p>
          <w:p>
            <w:pPr>
              <w:spacing w:line="360" w:lineRule="auto"/>
              <w:ind w:firstLine="480" w:firstLineChars="200"/>
              <w:rPr>
                <w:color w:val="auto"/>
                <w:sz w:val="24"/>
                <w:highlight w:val="yellow"/>
              </w:rPr>
            </w:pPr>
            <w:r>
              <w:rPr>
                <w:color w:val="auto"/>
                <w:sz w:val="24"/>
              </w:rPr>
              <w:t>企业于202</w:t>
            </w:r>
            <w:r>
              <w:rPr>
                <w:rFonts w:hint="eastAsia"/>
                <w:color w:val="auto"/>
                <w:sz w:val="24"/>
                <w:lang w:val="en-US" w:eastAsia="zh-CN"/>
              </w:rPr>
              <w:t>5</w:t>
            </w:r>
            <w:r>
              <w:rPr>
                <w:color w:val="auto"/>
                <w:sz w:val="24"/>
              </w:rPr>
              <w:t>年</w:t>
            </w:r>
            <w:r>
              <w:rPr>
                <w:rFonts w:hint="eastAsia"/>
                <w:color w:val="auto"/>
                <w:sz w:val="24"/>
                <w:lang w:val="en-US" w:eastAsia="zh-CN"/>
              </w:rPr>
              <w:t>1</w:t>
            </w:r>
            <w:r>
              <w:rPr>
                <w:color w:val="auto"/>
                <w:sz w:val="24"/>
              </w:rPr>
              <w:t>月</w:t>
            </w:r>
            <w:r>
              <w:rPr>
                <w:rFonts w:hint="eastAsia"/>
                <w:color w:val="auto"/>
                <w:sz w:val="24"/>
                <w:lang w:val="en-US" w:eastAsia="zh-CN"/>
              </w:rPr>
              <w:t>16</w:t>
            </w:r>
            <w:r>
              <w:rPr>
                <w:color w:val="auto"/>
                <w:sz w:val="24"/>
              </w:rPr>
              <w:t>日委托</w:t>
            </w:r>
            <w:r>
              <w:rPr>
                <w:rFonts w:hint="eastAsia"/>
                <w:color w:val="auto"/>
                <w:sz w:val="24"/>
              </w:rPr>
              <w:t>南通科瑞环境科技有限公司</w:t>
            </w:r>
            <w:r>
              <w:rPr>
                <w:color w:val="auto"/>
                <w:sz w:val="24"/>
              </w:rPr>
              <w:t>对项目各厂界布设</w:t>
            </w:r>
            <w:r>
              <w:rPr>
                <w:rFonts w:hint="eastAsia"/>
                <w:color w:val="auto"/>
                <w:sz w:val="24"/>
              </w:rPr>
              <w:t>6</w:t>
            </w:r>
            <w:r>
              <w:rPr>
                <w:color w:val="auto"/>
                <w:sz w:val="24"/>
              </w:rPr>
              <w:t>个监测点N1、N2、N3、N4及</w:t>
            </w:r>
            <w:r>
              <w:rPr>
                <w:rFonts w:hint="eastAsia"/>
                <w:color w:val="auto"/>
                <w:sz w:val="24"/>
              </w:rPr>
              <w:t>南</w:t>
            </w:r>
            <w:r>
              <w:rPr>
                <w:color w:val="auto"/>
                <w:sz w:val="24"/>
              </w:rPr>
              <w:t>侧敏感点N5</w:t>
            </w:r>
            <w:r>
              <w:rPr>
                <w:rFonts w:hint="eastAsia"/>
                <w:color w:val="auto"/>
                <w:sz w:val="24"/>
                <w:lang w:val="en-US" w:eastAsia="zh-CN"/>
              </w:rPr>
              <w:t>~N7</w:t>
            </w:r>
            <w:r>
              <w:rPr>
                <w:color w:val="auto"/>
                <w:sz w:val="24"/>
              </w:rPr>
              <w:t>进行昼间噪声实测（监测报告编号：（202</w:t>
            </w:r>
            <w:r>
              <w:rPr>
                <w:rFonts w:hint="eastAsia"/>
                <w:color w:val="auto"/>
                <w:sz w:val="24"/>
                <w:lang w:val="en-US" w:eastAsia="zh-CN"/>
              </w:rPr>
              <w:t>5</w:t>
            </w:r>
            <w:r>
              <w:rPr>
                <w:color w:val="auto"/>
                <w:sz w:val="24"/>
              </w:rPr>
              <w:t>）</w:t>
            </w:r>
            <w:r>
              <w:rPr>
                <w:rFonts w:hint="eastAsia"/>
                <w:color w:val="auto"/>
                <w:sz w:val="24"/>
              </w:rPr>
              <w:t>科瑞</w:t>
            </w:r>
            <w:r>
              <w:rPr>
                <w:color w:val="auto"/>
                <w:sz w:val="24"/>
              </w:rPr>
              <w:t>（</w:t>
            </w:r>
            <w:r>
              <w:rPr>
                <w:rFonts w:hint="eastAsia"/>
                <w:color w:val="auto"/>
                <w:sz w:val="24"/>
              </w:rPr>
              <w:t>环</w:t>
            </w:r>
            <w:r>
              <w:rPr>
                <w:color w:val="auto"/>
                <w:sz w:val="24"/>
              </w:rPr>
              <w:t>）字第（</w:t>
            </w:r>
            <w:r>
              <w:rPr>
                <w:rFonts w:hint="eastAsia"/>
                <w:color w:val="auto"/>
                <w:sz w:val="24"/>
                <w:lang w:val="en-US" w:eastAsia="zh-CN"/>
              </w:rPr>
              <w:t>00</w:t>
            </w:r>
            <w:r>
              <w:rPr>
                <w:rFonts w:hint="eastAsia"/>
                <w:color w:val="auto"/>
                <w:sz w:val="24"/>
              </w:rPr>
              <w:t>2</w:t>
            </w:r>
            <w:r>
              <w:rPr>
                <w:color w:val="auto"/>
                <w:sz w:val="24"/>
              </w:rPr>
              <w:t>）</w:t>
            </w:r>
            <w:r>
              <w:rPr>
                <w:rFonts w:hint="eastAsia"/>
                <w:color w:val="auto"/>
                <w:sz w:val="24"/>
                <w:lang w:val="en-US" w:eastAsia="zh-CN"/>
              </w:rPr>
              <w:t>号</w:t>
            </w:r>
            <w:r>
              <w:rPr>
                <w:color w:val="auto"/>
                <w:sz w:val="24"/>
              </w:rPr>
              <w:t>）。</w:t>
            </w:r>
          </w:p>
          <w:p>
            <w:pPr>
              <w:adjustRightInd w:val="0"/>
              <w:snapToGrid w:val="0"/>
              <w:jc w:val="center"/>
              <w:rPr>
                <w:b/>
                <w:bCs/>
                <w:color w:val="auto"/>
                <w:szCs w:val="21"/>
              </w:rPr>
            </w:pPr>
            <w:r>
              <w:rPr>
                <w:b/>
                <w:bCs/>
                <w:color w:val="auto"/>
                <w:szCs w:val="21"/>
              </w:rPr>
              <w:t>表3-</w:t>
            </w:r>
            <w:r>
              <w:rPr>
                <w:rFonts w:hint="eastAsia"/>
                <w:b/>
                <w:bCs/>
                <w:color w:val="auto"/>
                <w:szCs w:val="21"/>
                <w:lang w:val="en-US" w:eastAsia="zh-CN"/>
              </w:rPr>
              <w:t>3</w:t>
            </w:r>
            <w:r>
              <w:rPr>
                <w:b/>
                <w:bCs/>
                <w:color w:val="auto"/>
                <w:szCs w:val="21"/>
              </w:rPr>
              <w:t xml:space="preserve">  声环境质量现状监测数据（单位：dB（A））</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232"/>
              <w:gridCol w:w="1155"/>
              <w:gridCol w:w="1269"/>
              <w:gridCol w:w="1358"/>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0" w:type="pct"/>
                  <w:vMerge w:val="restart"/>
                  <w:tcBorders>
                    <w:tl2br w:val="nil"/>
                    <w:tr2bl w:val="nil"/>
                  </w:tcBorders>
                  <w:vAlign w:val="center"/>
                </w:tcPr>
                <w:p>
                  <w:pPr>
                    <w:jc w:val="center"/>
                    <w:rPr>
                      <w:color w:val="auto"/>
                      <w:szCs w:val="21"/>
                    </w:rPr>
                  </w:pPr>
                  <w:r>
                    <w:rPr>
                      <w:color w:val="auto"/>
                      <w:szCs w:val="21"/>
                    </w:rPr>
                    <w:t>监测时间</w:t>
                  </w:r>
                </w:p>
              </w:tc>
              <w:tc>
                <w:tcPr>
                  <w:tcW w:w="1368" w:type="pct"/>
                  <w:vMerge w:val="restart"/>
                  <w:tcBorders>
                    <w:tl2br w:val="nil"/>
                    <w:tr2bl w:val="nil"/>
                  </w:tcBorders>
                  <w:vAlign w:val="center"/>
                </w:tcPr>
                <w:p>
                  <w:pPr>
                    <w:jc w:val="center"/>
                    <w:rPr>
                      <w:color w:val="auto"/>
                      <w:szCs w:val="21"/>
                    </w:rPr>
                  </w:pPr>
                  <w:r>
                    <w:rPr>
                      <w:color w:val="auto"/>
                      <w:szCs w:val="21"/>
                    </w:rPr>
                    <w:t>监测点</w:t>
                  </w:r>
                </w:p>
              </w:tc>
              <w:tc>
                <w:tcPr>
                  <w:tcW w:w="710" w:type="pct"/>
                  <w:vMerge w:val="restart"/>
                  <w:tcBorders>
                    <w:tl2br w:val="nil"/>
                    <w:tr2bl w:val="nil"/>
                  </w:tcBorders>
                  <w:vAlign w:val="center"/>
                </w:tcPr>
                <w:p>
                  <w:pPr>
                    <w:jc w:val="center"/>
                    <w:rPr>
                      <w:color w:val="auto"/>
                      <w:szCs w:val="21"/>
                    </w:rPr>
                  </w:pPr>
                  <w:r>
                    <w:rPr>
                      <w:color w:val="auto"/>
                      <w:szCs w:val="21"/>
                    </w:rPr>
                    <w:t>标准级别</w:t>
                  </w:r>
                </w:p>
              </w:tc>
              <w:tc>
                <w:tcPr>
                  <w:tcW w:w="1614" w:type="pct"/>
                  <w:gridSpan w:val="2"/>
                  <w:tcBorders>
                    <w:tl2br w:val="nil"/>
                    <w:tr2bl w:val="nil"/>
                  </w:tcBorders>
                  <w:vAlign w:val="center"/>
                </w:tcPr>
                <w:p>
                  <w:pPr>
                    <w:jc w:val="center"/>
                    <w:rPr>
                      <w:color w:val="auto"/>
                      <w:szCs w:val="21"/>
                    </w:rPr>
                  </w:pPr>
                  <w:r>
                    <w:rPr>
                      <w:color w:val="auto"/>
                      <w:szCs w:val="21"/>
                    </w:rPr>
                    <w:t>昼间</w:t>
                  </w:r>
                </w:p>
              </w:tc>
              <w:tc>
                <w:tcPr>
                  <w:tcW w:w="546" w:type="pct"/>
                  <w:vMerge w:val="restart"/>
                  <w:tcBorders>
                    <w:tl2br w:val="nil"/>
                    <w:tr2bl w:val="nil"/>
                  </w:tcBorders>
                  <w:vAlign w:val="center"/>
                </w:tcPr>
                <w:p>
                  <w:pPr>
                    <w:jc w:val="center"/>
                    <w:rPr>
                      <w:color w:val="auto"/>
                      <w:szCs w:val="21"/>
                    </w:rPr>
                  </w:pPr>
                  <w:r>
                    <w:rPr>
                      <w:color w:val="auto"/>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0" w:type="pct"/>
                  <w:vMerge w:val="continue"/>
                  <w:tcBorders>
                    <w:tl2br w:val="nil"/>
                    <w:tr2bl w:val="nil"/>
                  </w:tcBorders>
                  <w:vAlign w:val="center"/>
                </w:tcPr>
                <w:p>
                  <w:pPr>
                    <w:jc w:val="center"/>
                    <w:rPr>
                      <w:color w:val="auto"/>
                      <w:szCs w:val="21"/>
                    </w:rPr>
                  </w:pPr>
                </w:p>
              </w:tc>
              <w:tc>
                <w:tcPr>
                  <w:tcW w:w="1368" w:type="pct"/>
                  <w:vMerge w:val="continue"/>
                  <w:tcBorders>
                    <w:tl2br w:val="nil"/>
                    <w:tr2bl w:val="nil"/>
                  </w:tcBorders>
                  <w:vAlign w:val="center"/>
                </w:tcPr>
                <w:p>
                  <w:pPr>
                    <w:jc w:val="center"/>
                    <w:rPr>
                      <w:color w:val="auto"/>
                      <w:szCs w:val="21"/>
                    </w:rPr>
                  </w:pPr>
                </w:p>
              </w:tc>
              <w:tc>
                <w:tcPr>
                  <w:tcW w:w="710" w:type="pct"/>
                  <w:vMerge w:val="continue"/>
                  <w:tcBorders>
                    <w:tl2br w:val="nil"/>
                    <w:tr2bl w:val="nil"/>
                  </w:tcBorders>
                  <w:vAlign w:val="center"/>
                </w:tcPr>
                <w:p>
                  <w:pPr>
                    <w:jc w:val="center"/>
                    <w:rPr>
                      <w:color w:val="auto"/>
                      <w:szCs w:val="21"/>
                    </w:rPr>
                  </w:pPr>
                </w:p>
              </w:tc>
              <w:tc>
                <w:tcPr>
                  <w:tcW w:w="780" w:type="pct"/>
                  <w:tcBorders>
                    <w:tl2br w:val="nil"/>
                    <w:tr2bl w:val="nil"/>
                  </w:tcBorders>
                  <w:vAlign w:val="center"/>
                </w:tcPr>
                <w:p>
                  <w:pPr>
                    <w:jc w:val="center"/>
                    <w:rPr>
                      <w:color w:val="auto"/>
                      <w:szCs w:val="21"/>
                    </w:rPr>
                  </w:pPr>
                  <w:r>
                    <w:rPr>
                      <w:color w:val="auto"/>
                      <w:szCs w:val="21"/>
                    </w:rPr>
                    <w:t>监测值</w:t>
                  </w:r>
                </w:p>
              </w:tc>
              <w:tc>
                <w:tcPr>
                  <w:tcW w:w="834" w:type="pct"/>
                  <w:tcBorders>
                    <w:tl2br w:val="nil"/>
                    <w:tr2bl w:val="nil"/>
                  </w:tcBorders>
                  <w:vAlign w:val="center"/>
                </w:tcPr>
                <w:p>
                  <w:pPr>
                    <w:jc w:val="center"/>
                    <w:rPr>
                      <w:color w:val="auto"/>
                      <w:szCs w:val="21"/>
                    </w:rPr>
                  </w:pPr>
                  <w:r>
                    <w:rPr>
                      <w:color w:val="auto"/>
                      <w:szCs w:val="21"/>
                    </w:rPr>
                    <w:t>标准限值</w:t>
                  </w:r>
                </w:p>
              </w:tc>
              <w:tc>
                <w:tcPr>
                  <w:tcW w:w="546" w:type="pct"/>
                  <w:vMerge w:val="continue"/>
                  <w:tcBorders>
                    <w:tl2br w:val="nil"/>
                    <w:tr2bl w:val="nil"/>
                  </w:tcBorders>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restart"/>
                  <w:tcBorders>
                    <w:tl2br w:val="nil"/>
                    <w:tr2bl w:val="nil"/>
                  </w:tcBorders>
                  <w:vAlign w:val="center"/>
                </w:tcPr>
                <w:p>
                  <w:pPr>
                    <w:jc w:val="center"/>
                    <w:rPr>
                      <w:rFonts w:hint="default" w:eastAsia="宋体"/>
                      <w:color w:val="auto"/>
                      <w:szCs w:val="21"/>
                      <w:lang w:val="en-US" w:eastAsia="zh-CN"/>
                    </w:rPr>
                  </w:pPr>
                  <w:r>
                    <w:rPr>
                      <w:color w:val="auto"/>
                      <w:szCs w:val="21"/>
                    </w:rPr>
                    <w:t>202</w:t>
                  </w:r>
                  <w:r>
                    <w:rPr>
                      <w:rFonts w:hint="eastAsia"/>
                      <w:color w:val="auto"/>
                      <w:szCs w:val="21"/>
                      <w:lang w:val="en-US" w:eastAsia="zh-CN"/>
                    </w:rPr>
                    <w:t>5</w:t>
                  </w:r>
                  <w:r>
                    <w:rPr>
                      <w:color w:val="auto"/>
                      <w:szCs w:val="21"/>
                    </w:rPr>
                    <w:t>.</w:t>
                  </w:r>
                  <w:r>
                    <w:rPr>
                      <w:rFonts w:hint="eastAsia"/>
                      <w:color w:val="auto"/>
                      <w:szCs w:val="21"/>
                      <w:lang w:val="en-US" w:eastAsia="zh-CN"/>
                    </w:rPr>
                    <w:t>1</w:t>
                  </w:r>
                  <w:r>
                    <w:rPr>
                      <w:rFonts w:hint="eastAsia"/>
                      <w:color w:val="auto"/>
                      <w:szCs w:val="21"/>
                    </w:rPr>
                    <w:t>.</w:t>
                  </w:r>
                  <w:r>
                    <w:rPr>
                      <w:rFonts w:hint="eastAsia"/>
                      <w:color w:val="auto"/>
                      <w:szCs w:val="21"/>
                      <w:lang w:val="en-US" w:eastAsia="zh-CN"/>
                    </w:rPr>
                    <w:t>16</w:t>
                  </w:r>
                </w:p>
              </w:tc>
              <w:tc>
                <w:tcPr>
                  <w:tcW w:w="1368" w:type="pct"/>
                  <w:tcBorders>
                    <w:tl2br w:val="nil"/>
                    <w:tr2bl w:val="nil"/>
                  </w:tcBorders>
                  <w:vAlign w:val="center"/>
                </w:tcPr>
                <w:p>
                  <w:pPr>
                    <w:jc w:val="center"/>
                    <w:rPr>
                      <w:color w:val="auto"/>
                      <w:szCs w:val="21"/>
                    </w:rPr>
                  </w:pPr>
                  <w:r>
                    <w:rPr>
                      <w:color w:val="auto"/>
                      <w:szCs w:val="21"/>
                    </w:rPr>
                    <w:t>N1</w:t>
                  </w:r>
                  <w:r>
                    <w:rPr>
                      <w:rFonts w:hint="eastAsia"/>
                      <w:color w:val="auto"/>
                      <w:szCs w:val="21"/>
                    </w:rPr>
                    <w:t>东</w:t>
                  </w:r>
                  <w:r>
                    <w:rPr>
                      <w:color w:val="auto"/>
                      <w:szCs w:val="21"/>
                    </w:rPr>
                    <w:t>厂界</w:t>
                  </w:r>
                </w:p>
              </w:tc>
              <w:tc>
                <w:tcPr>
                  <w:tcW w:w="710" w:type="pct"/>
                  <w:tcBorders>
                    <w:tl2br w:val="nil"/>
                    <w:tr2bl w:val="nil"/>
                  </w:tcBorders>
                  <w:vAlign w:val="center"/>
                </w:tcPr>
                <w:p>
                  <w:pPr>
                    <w:jc w:val="center"/>
                    <w:rPr>
                      <w:color w:val="auto"/>
                      <w:szCs w:val="21"/>
                    </w:rPr>
                  </w:pPr>
                  <w:r>
                    <w:rPr>
                      <w:rFonts w:hint="eastAsia"/>
                      <w:color w:val="auto"/>
                      <w:szCs w:val="21"/>
                      <w:lang w:val="en-US" w:eastAsia="zh-CN"/>
                    </w:rPr>
                    <w:t>3</w:t>
                  </w:r>
                  <w:r>
                    <w:rPr>
                      <w:color w:val="auto"/>
                      <w:szCs w:val="21"/>
                    </w:rPr>
                    <w:t>类</w:t>
                  </w:r>
                </w:p>
              </w:tc>
              <w:tc>
                <w:tcPr>
                  <w:tcW w:w="780"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62.0</w:t>
                  </w:r>
                </w:p>
              </w:tc>
              <w:tc>
                <w:tcPr>
                  <w:tcW w:w="83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546" w:type="pct"/>
                  <w:tcBorders>
                    <w:tl2br w:val="nil"/>
                    <w:tr2bl w:val="nil"/>
                  </w:tcBorders>
                  <w:vAlign w:val="center"/>
                </w:tcPr>
                <w:p>
                  <w:pPr>
                    <w:jc w:val="center"/>
                    <w:rPr>
                      <w:color w:val="auto"/>
                      <w:szCs w:val="21"/>
                    </w:rPr>
                  </w:pPr>
                  <w:r>
                    <w:rPr>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continue"/>
                  <w:tcBorders>
                    <w:tl2br w:val="nil"/>
                    <w:tr2bl w:val="nil"/>
                  </w:tcBorders>
                  <w:vAlign w:val="center"/>
                </w:tcPr>
                <w:p>
                  <w:pPr>
                    <w:jc w:val="center"/>
                    <w:rPr>
                      <w:color w:val="auto"/>
                      <w:szCs w:val="21"/>
                    </w:rPr>
                  </w:pPr>
                </w:p>
              </w:tc>
              <w:tc>
                <w:tcPr>
                  <w:tcW w:w="1368" w:type="pct"/>
                  <w:tcBorders>
                    <w:tl2br w:val="nil"/>
                    <w:tr2bl w:val="nil"/>
                  </w:tcBorders>
                  <w:vAlign w:val="center"/>
                </w:tcPr>
                <w:p>
                  <w:pPr>
                    <w:jc w:val="center"/>
                    <w:rPr>
                      <w:color w:val="auto"/>
                      <w:szCs w:val="21"/>
                    </w:rPr>
                  </w:pPr>
                  <w:r>
                    <w:rPr>
                      <w:color w:val="auto"/>
                      <w:szCs w:val="21"/>
                    </w:rPr>
                    <w:t>N2</w:t>
                  </w:r>
                  <w:r>
                    <w:rPr>
                      <w:rFonts w:hint="eastAsia"/>
                      <w:color w:val="auto"/>
                      <w:szCs w:val="21"/>
                    </w:rPr>
                    <w:t>南</w:t>
                  </w:r>
                  <w:r>
                    <w:rPr>
                      <w:color w:val="auto"/>
                      <w:szCs w:val="21"/>
                    </w:rPr>
                    <w:t>厂界</w:t>
                  </w:r>
                </w:p>
              </w:tc>
              <w:tc>
                <w:tcPr>
                  <w:tcW w:w="710" w:type="pct"/>
                  <w:tcBorders>
                    <w:tl2br w:val="nil"/>
                    <w:tr2bl w:val="nil"/>
                  </w:tcBorders>
                  <w:vAlign w:val="center"/>
                </w:tcPr>
                <w:p>
                  <w:pPr>
                    <w:jc w:val="center"/>
                    <w:rPr>
                      <w:color w:val="auto"/>
                      <w:szCs w:val="21"/>
                    </w:rPr>
                  </w:pPr>
                  <w:r>
                    <w:rPr>
                      <w:rFonts w:hint="eastAsia"/>
                      <w:color w:val="auto"/>
                      <w:szCs w:val="21"/>
                      <w:lang w:val="en-US" w:eastAsia="zh-CN"/>
                    </w:rPr>
                    <w:t>3</w:t>
                  </w:r>
                  <w:r>
                    <w:rPr>
                      <w:color w:val="auto"/>
                      <w:szCs w:val="21"/>
                    </w:rPr>
                    <w:t>类</w:t>
                  </w:r>
                </w:p>
              </w:tc>
              <w:tc>
                <w:tcPr>
                  <w:tcW w:w="780"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62.1</w:t>
                  </w:r>
                </w:p>
              </w:tc>
              <w:tc>
                <w:tcPr>
                  <w:tcW w:w="83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546" w:type="pct"/>
                  <w:tcBorders>
                    <w:tl2br w:val="nil"/>
                    <w:tr2bl w:val="nil"/>
                  </w:tcBorders>
                  <w:vAlign w:val="center"/>
                </w:tcPr>
                <w:p>
                  <w:pPr>
                    <w:jc w:val="center"/>
                    <w:rPr>
                      <w:color w:val="auto"/>
                      <w:szCs w:val="21"/>
                    </w:rPr>
                  </w:pPr>
                  <w:r>
                    <w:rPr>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continue"/>
                  <w:tcBorders>
                    <w:tl2br w:val="nil"/>
                    <w:tr2bl w:val="nil"/>
                  </w:tcBorders>
                  <w:vAlign w:val="center"/>
                </w:tcPr>
                <w:p>
                  <w:pPr>
                    <w:jc w:val="center"/>
                    <w:rPr>
                      <w:color w:val="auto"/>
                      <w:szCs w:val="21"/>
                    </w:rPr>
                  </w:pPr>
                </w:p>
              </w:tc>
              <w:tc>
                <w:tcPr>
                  <w:tcW w:w="1368" w:type="pct"/>
                  <w:tcBorders>
                    <w:tl2br w:val="nil"/>
                    <w:tr2bl w:val="nil"/>
                  </w:tcBorders>
                  <w:vAlign w:val="center"/>
                </w:tcPr>
                <w:p>
                  <w:pPr>
                    <w:jc w:val="center"/>
                    <w:rPr>
                      <w:color w:val="auto"/>
                      <w:szCs w:val="21"/>
                    </w:rPr>
                  </w:pPr>
                  <w:r>
                    <w:rPr>
                      <w:color w:val="auto"/>
                      <w:szCs w:val="21"/>
                    </w:rPr>
                    <w:t>N3</w:t>
                  </w:r>
                  <w:r>
                    <w:rPr>
                      <w:rFonts w:hint="eastAsia"/>
                      <w:color w:val="auto"/>
                      <w:szCs w:val="21"/>
                    </w:rPr>
                    <w:t>西</w:t>
                  </w:r>
                  <w:r>
                    <w:rPr>
                      <w:color w:val="auto"/>
                      <w:szCs w:val="21"/>
                    </w:rPr>
                    <w:t>厂界</w:t>
                  </w:r>
                </w:p>
              </w:tc>
              <w:tc>
                <w:tcPr>
                  <w:tcW w:w="710" w:type="pct"/>
                  <w:tcBorders>
                    <w:tl2br w:val="nil"/>
                    <w:tr2bl w:val="nil"/>
                  </w:tcBorders>
                  <w:vAlign w:val="center"/>
                </w:tcPr>
                <w:p>
                  <w:pPr>
                    <w:jc w:val="center"/>
                    <w:rPr>
                      <w:color w:val="auto"/>
                      <w:szCs w:val="21"/>
                    </w:rPr>
                  </w:pPr>
                  <w:r>
                    <w:rPr>
                      <w:rFonts w:hint="eastAsia"/>
                      <w:color w:val="auto"/>
                      <w:szCs w:val="21"/>
                      <w:lang w:val="en-US" w:eastAsia="zh-CN"/>
                    </w:rPr>
                    <w:t>3</w:t>
                  </w:r>
                  <w:r>
                    <w:rPr>
                      <w:color w:val="auto"/>
                      <w:szCs w:val="21"/>
                    </w:rPr>
                    <w:t>类</w:t>
                  </w:r>
                </w:p>
              </w:tc>
              <w:tc>
                <w:tcPr>
                  <w:tcW w:w="780"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61.3</w:t>
                  </w:r>
                </w:p>
              </w:tc>
              <w:tc>
                <w:tcPr>
                  <w:tcW w:w="83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546" w:type="pct"/>
                  <w:tcBorders>
                    <w:tl2br w:val="nil"/>
                    <w:tr2bl w:val="nil"/>
                  </w:tcBorders>
                  <w:vAlign w:val="center"/>
                </w:tcPr>
                <w:p>
                  <w:pPr>
                    <w:jc w:val="center"/>
                    <w:rPr>
                      <w:color w:val="auto"/>
                      <w:szCs w:val="21"/>
                    </w:rPr>
                  </w:pPr>
                  <w:r>
                    <w:rPr>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60" w:type="pct"/>
                  <w:vMerge w:val="continue"/>
                  <w:tcBorders>
                    <w:tl2br w:val="nil"/>
                    <w:tr2bl w:val="nil"/>
                  </w:tcBorders>
                  <w:vAlign w:val="center"/>
                </w:tcPr>
                <w:p>
                  <w:pPr>
                    <w:jc w:val="center"/>
                    <w:rPr>
                      <w:color w:val="auto"/>
                      <w:szCs w:val="21"/>
                    </w:rPr>
                  </w:pPr>
                </w:p>
              </w:tc>
              <w:tc>
                <w:tcPr>
                  <w:tcW w:w="1368" w:type="pct"/>
                  <w:tcBorders>
                    <w:tl2br w:val="nil"/>
                    <w:tr2bl w:val="nil"/>
                  </w:tcBorders>
                  <w:vAlign w:val="center"/>
                </w:tcPr>
                <w:p>
                  <w:pPr>
                    <w:jc w:val="center"/>
                    <w:rPr>
                      <w:color w:val="auto"/>
                      <w:szCs w:val="21"/>
                    </w:rPr>
                  </w:pPr>
                  <w:r>
                    <w:rPr>
                      <w:color w:val="auto"/>
                      <w:szCs w:val="21"/>
                    </w:rPr>
                    <w:t>N4</w:t>
                  </w:r>
                  <w:r>
                    <w:rPr>
                      <w:rFonts w:hint="eastAsia"/>
                      <w:color w:val="auto"/>
                      <w:szCs w:val="21"/>
                    </w:rPr>
                    <w:t>北</w:t>
                  </w:r>
                  <w:r>
                    <w:rPr>
                      <w:color w:val="auto"/>
                      <w:szCs w:val="21"/>
                    </w:rPr>
                    <w:t>厂界</w:t>
                  </w:r>
                </w:p>
              </w:tc>
              <w:tc>
                <w:tcPr>
                  <w:tcW w:w="710" w:type="pct"/>
                  <w:tcBorders>
                    <w:tl2br w:val="nil"/>
                    <w:tr2bl w:val="nil"/>
                  </w:tcBorders>
                  <w:vAlign w:val="center"/>
                </w:tcPr>
                <w:p>
                  <w:pPr>
                    <w:jc w:val="center"/>
                    <w:rPr>
                      <w:color w:val="auto"/>
                      <w:szCs w:val="21"/>
                    </w:rPr>
                  </w:pPr>
                  <w:r>
                    <w:rPr>
                      <w:rFonts w:hint="eastAsia"/>
                      <w:color w:val="auto"/>
                      <w:szCs w:val="21"/>
                      <w:lang w:val="en-US" w:eastAsia="zh-CN"/>
                    </w:rPr>
                    <w:t>3</w:t>
                  </w:r>
                  <w:r>
                    <w:rPr>
                      <w:color w:val="auto"/>
                      <w:szCs w:val="21"/>
                    </w:rPr>
                    <w:t>类</w:t>
                  </w:r>
                </w:p>
              </w:tc>
              <w:tc>
                <w:tcPr>
                  <w:tcW w:w="780"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58.5</w:t>
                  </w:r>
                </w:p>
              </w:tc>
              <w:tc>
                <w:tcPr>
                  <w:tcW w:w="834" w:type="pct"/>
                  <w:tcBorders>
                    <w:tl2br w:val="nil"/>
                    <w:tr2bl w:val="nil"/>
                  </w:tcBorders>
                  <w:vAlign w:val="center"/>
                </w:tcPr>
                <w:p>
                  <w:pPr>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5</w:t>
                  </w:r>
                </w:p>
              </w:tc>
              <w:tc>
                <w:tcPr>
                  <w:tcW w:w="546" w:type="pct"/>
                  <w:tcBorders>
                    <w:tl2br w:val="nil"/>
                    <w:tr2bl w:val="nil"/>
                  </w:tcBorders>
                  <w:vAlign w:val="center"/>
                </w:tcPr>
                <w:p>
                  <w:pPr>
                    <w:jc w:val="center"/>
                    <w:rPr>
                      <w:color w:val="auto"/>
                      <w:szCs w:val="21"/>
                    </w:rPr>
                  </w:pPr>
                  <w:r>
                    <w:rPr>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continue"/>
                  <w:tcBorders>
                    <w:tl2br w:val="nil"/>
                    <w:tr2bl w:val="nil"/>
                  </w:tcBorders>
                  <w:vAlign w:val="center"/>
                </w:tcPr>
                <w:p>
                  <w:pPr>
                    <w:jc w:val="center"/>
                    <w:rPr>
                      <w:color w:val="auto"/>
                      <w:szCs w:val="21"/>
                    </w:rPr>
                  </w:pPr>
                </w:p>
              </w:tc>
              <w:tc>
                <w:tcPr>
                  <w:tcW w:w="1368" w:type="pct"/>
                  <w:tcBorders>
                    <w:tl2br w:val="nil"/>
                    <w:tr2bl w:val="nil"/>
                  </w:tcBorders>
                  <w:vAlign w:val="center"/>
                </w:tcPr>
                <w:p>
                  <w:pPr>
                    <w:jc w:val="center"/>
                    <w:rPr>
                      <w:color w:val="auto"/>
                      <w:szCs w:val="21"/>
                    </w:rPr>
                  </w:pPr>
                  <w:r>
                    <w:rPr>
                      <w:color w:val="auto"/>
                      <w:szCs w:val="21"/>
                    </w:rPr>
                    <w:t>N5</w:t>
                  </w:r>
                  <w:r>
                    <w:rPr>
                      <w:rFonts w:hint="eastAsia"/>
                      <w:color w:val="auto"/>
                      <w:szCs w:val="21"/>
                    </w:rPr>
                    <w:t>南</w:t>
                  </w:r>
                  <w:r>
                    <w:rPr>
                      <w:color w:val="auto"/>
                      <w:szCs w:val="21"/>
                    </w:rPr>
                    <w:t>侧</w:t>
                  </w:r>
                  <w:r>
                    <w:rPr>
                      <w:rFonts w:hint="eastAsia" w:ascii="Times New Roman" w:hAnsi="Times New Roman" w:eastAsia="宋体" w:cs="Times New Roman"/>
                      <w:color w:val="auto"/>
                      <w:szCs w:val="21"/>
                      <w:lang w:val="en-US" w:eastAsia="zh-CN"/>
                    </w:rPr>
                    <w:t>下原居委28组</w:t>
                  </w:r>
                </w:p>
              </w:tc>
              <w:tc>
                <w:tcPr>
                  <w:tcW w:w="710" w:type="pct"/>
                  <w:tcBorders>
                    <w:tl2br w:val="nil"/>
                    <w:tr2bl w:val="nil"/>
                  </w:tcBorders>
                  <w:vAlign w:val="center"/>
                </w:tcPr>
                <w:p>
                  <w:pPr>
                    <w:jc w:val="center"/>
                    <w:rPr>
                      <w:color w:val="auto"/>
                      <w:szCs w:val="21"/>
                    </w:rPr>
                  </w:pPr>
                  <w:r>
                    <w:rPr>
                      <w:rFonts w:hint="eastAsia"/>
                      <w:color w:val="auto"/>
                      <w:szCs w:val="21"/>
                      <w:lang w:val="en-US" w:eastAsia="zh-CN"/>
                    </w:rPr>
                    <w:t>2</w:t>
                  </w:r>
                  <w:r>
                    <w:rPr>
                      <w:color w:val="auto"/>
                      <w:szCs w:val="21"/>
                    </w:rPr>
                    <w:t>类</w:t>
                  </w:r>
                </w:p>
              </w:tc>
              <w:tc>
                <w:tcPr>
                  <w:tcW w:w="780"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53.4</w:t>
                  </w:r>
                </w:p>
              </w:tc>
              <w:tc>
                <w:tcPr>
                  <w:tcW w:w="83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60</w:t>
                  </w:r>
                </w:p>
              </w:tc>
              <w:tc>
                <w:tcPr>
                  <w:tcW w:w="546" w:type="pct"/>
                  <w:tcBorders>
                    <w:tl2br w:val="nil"/>
                    <w:tr2bl w:val="nil"/>
                  </w:tcBorders>
                  <w:vAlign w:val="center"/>
                </w:tcPr>
                <w:p>
                  <w:pPr>
                    <w:jc w:val="center"/>
                    <w:rPr>
                      <w:color w:val="auto"/>
                      <w:szCs w:val="21"/>
                    </w:rPr>
                  </w:pPr>
                  <w:r>
                    <w:rPr>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continue"/>
                  <w:tcBorders>
                    <w:tl2br w:val="nil"/>
                    <w:tr2bl w:val="nil"/>
                  </w:tcBorders>
                  <w:vAlign w:val="center"/>
                </w:tcPr>
                <w:p>
                  <w:pPr>
                    <w:jc w:val="center"/>
                    <w:rPr>
                      <w:color w:val="auto"/>
                      <w:szCs w:val="21"/>
                    </w:rPr>
                  </w:pPr>
                </w:p>
              </w:tc>
              <w:tc>
                <w:tcPr>
                  <w:tcW w:w="1368" w:type="pct"/>
                  <w:tcBorders>
                    <w:tl2br w:val="nil"/>
                    <w:tr2bl w:val="nil"/>
                  </w:tcBorders>
                  <w:vAlign w:val="center"/>
                </w:tcPr>
                <w:p>
                  <w:pPr>
                    <w:jc w:val="center"/>
                    <w:rPr>
                      <w:color w:val="auto"/>
                      <w:szCs w:val="21"/>
                    </w:rPr>
                  </w:pPr>
                  <w:r>
                    <w:rPr>
                      <w:rFonts w:hint="eastAsia"/>
                      <w:color w:val="auto"/>
                      <w:szCs w:val="21"/>
                    </w:rPr>
                    <w:t>N6南</w:t>
                  </w:r>
                  <w:r>
                    <w:rPr>
                      <w:color w:val="auto"/>
                      <w:szCs w:val="21"/>
                    </w:rPr>
                    <w:t>侧</w:t>
                  </w:r>
                  <w:r>
                    <w:rPr>
                      <w:rFonts w:hint="eastAsia" w:ascii="Times New Roman" w:hAnsi="Times New Roman" w:eastAsia="宋体" w:cs="Times New Roman"/>
                      <w:color w:val="auto"/>
                      <w:szCs w:val="21"/>
                      <w:lang w:val="en-US" w:eastAsia="zh-CN"/>
                    </w:rPr>
                    <w:t>下原居委28组</w:t>
                  </w:r>
                </w:p>
              </w:tc>
              <w:tc>
                <w:tcPr>
                  <w:tcW w:w="710" w:type="pct"/>
                  <w:tcBorders>
                    <w:tl2br w:val="nil"/>
                    <w:tr2bl w:val="nil"/>
                  </w:tcBorders>
                  <w:vAlign w:val="center"/>
                </w:tcPr>
                <w:p>
                  <w:pPr>
                    <w:jc w:val="center"/>
                    <w:rPr>
                      <w:color w:val="auto"/>
                      <w:szCs w:val="21"/>
                    </w:rPr>
                  </w:pPr>
                  <w:r>
                    <w:rPr>
                      <w:rFonts w:hint="eastAsia"/>
                      <w:color w:val="auto"/>
                      <w:szCs w:val="21"/>
                      <w:lang w:val="en-US" w:eastAsia="zh-CN"/>
                    </w:rPr>
                    <w:t>2</w:t>
                  </w:r>
                  <w:r>
                    <w:rPr>
                      <w:color w:val="auto"/>
                      <w:szCs w:val="21"/>
                    </w:rPr>
                    <w:t>类</w:t>
                  </w:r>
                </w:p>
              </w:tc>
              <w:tc>
                <w:tcPr>
                  <w:tcW w:w="780"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48.6</w:t>
                  </w:r>
                </w:p>
              </w:tc>
              <w:tc>
                <w:tcPr>
                  <w:tcW w:w="834" w:type="pct"/>
                  <w:tcBorders>
                    <w:tl2br w:val="nil"/>
                    <w:tr2bl w:val="nil"/>
                  </w:tcBorders>
                  <w:vAlign w:val="center"/>
                </w:tcPr>
                <w:p>
                  <w:pPr>
                    <w:jc w:val="center"/>
                    <w:rPr>
                      <w:color w:val="auto"/>
                      <w:szCs w:val="21"/>
                    </w:rPr>
                  </w:pPr>
                  <w:r>
                    <w:rPr>
                      <w:rFonts w:hint="eastAsia"/>
                      <w:color w:val="auto"/>
                      <w:szCs w:val="21"/>
                      <w:lang w:val="en-US" w:eastAsia="zh-CN"/>
                    </w:rPr>
                    <w:t>60</w:t>
                  </w:r>
                </w:p>
              </w:tc>
              <w:tc>
                <w:tcPr>
                  <w:tcW w:w="546" w:type="pct"/>
                  <w:tcBorders>
                    <w:tl2br w:val="nil"/>
                    <w:tr2bl w:val="nil"/>
                  </w:tcBorders>
                  <w:vAlign w:val="center"/>
                </w:tcPr>
                <w:p>
                  <w:pPr>
                    <w:jc w:val="center"/>
                    <w:rPr>
                      <w:color w:val="auto"/>
                      <w:szCs w:val="21"/>
                    </w:rPr>
                  </w:pPr>
                  <w:r>
                    <w:rPr>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continue"/>
                  <w:tcBorders>
                    <w:tl2br w:val="nil"/>
                    <w:tr2bl w:val="nil"/>
                  </w:tcBorders>
                  <w:vAlign w:val="center"/>
                </w:tcPr>
                <w:p>
                  <w:pPr>
                    <w:jc w:val="center"/>
                    <w:rPr>
                      <w:color w:val="auto"/>
                      <w:szCs w:val="21"/>
                    </w:rPr>
                  </w:pPr>
                </w:p>
              </w:tc>
              <w:tc>
                <w:tcPr>
                  <w:tcW w:w="1368" w:type="pct"/>
                  <w:tcBorders>
                    <w:tl2br w:val="nil"/>
                    <w:tr2bl w:val="nil"/>
                  </w:tcBorders>
                  <w:vAlign w:val="center"/>
                </w:tcPr>
                <w:p>
                  <w:pPr>
                    <w:jc w:val="center"/>
                    <w:rPr>
                      <w:rFonts w:hint="eastAsia"/>
                      <w:color w:val="auto"/>
                      <w:szCs w:val="21"/>
                    </w:rPr>
                  </w:pPr>
                  <w:r>
                    <w:rPr>
                      <w:rFonts w:hint="eastAsia"/>
                      <w:color w:val="auto"/>
                      <w:szCs w:val="21"/>
                    </w:rPr>
                    <w:t>N</w:t>
                  </w:r>
                  <w:r>
                    <w:rPr>
                      <w:rFonts w:hint="eastAsia"/>
                      <w:color w:val="auto"/>
                      <w:szCs w:val="21"/>
                      <w:lang w:val="en-US" w:eastAsia="zh-CN"/>
                    </w:rPr>
                    <w:t>7</w:t>
                  </w:r>
                  <w:r>
                    <w:rPr>
                      <w:rFonts w:hint="eastAsia"/>
                      <w:color w:val="auto"/>
                      <w:szCs w:val="21"/>
                    </w:rPr>
                    <w:t>南</w:t>
                  </w:r>
                  <w:r>
                    <w:rPr>
                      <w:color w:val="auto"/>
                      <w:szCs w:val="21"/>
                    </w:rPr>
                    <w:t>侧</w:t>
                  </w:r>
                  <w:r>
                    <w:rPr>
                      <w:rFonts w:hint="eastAsia" w:ascii="Times New Roman" w:hAnsi="Times New Roman" w:eastAsia="宋体" w:cs="Times New Roman"/>
                      <w:color w:val="auto"/>
                      <w:szCs w:val="21"/>
                      <w:lang w:val="en-US" w:eastAsia="zh-CN"/>
                    </w:rPr>
                    <w:t>下原居委28组</w:t>
                  </w:r>
                </w:p>
              </w:tc>
              <w:tc>
                <w:tcPr>
                  <w:tcW w:w="710"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r>
                    <w:rPr>
                      <w:color w:val="auto"/>
                      <w:szCs w:val="21"/>
                    </w:rPr>
                    <w:t>类</w:t>
                  </w:r>
                </w:p>
              </w:tc>
              <w:tc>
                <w:tcPr>
                  <w:tcW w:w="780"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49.6</w:t>
                  </w:r>
                </w:p>
              </w:tc>
              <w:tc>
                <w:tcPr>
                  <w:tcW w:w="834"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60</w:t>
                  </w:r>
                </w:p>
              </w:tc>
              <w:tc>
                <w:tcPr>
                  <w:tcW w:w="546"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达标</w:t>
                  </w:r>
                </w:p>
              </w:tc>
            </w:tr>
          </w:tbl>
          <w:p>
            <w:pPr>
              <w:spacing w:line="360" w:lineRule="auto"/>
              <w:ind w:firstLine="480" w:firstLineChars="200"/>
              <w:rPr>
                <w:color w:val="auto"/>
                <w:sz w:val="24"/>
              </w:rPr>
            </w:pPr>
            <w:r>
              <w:rPr>
                <w:color w:val="auto"/>
                <w:sz w:val="24"/>
              </w:rPr>
              <w:t>监测结果表明：本项目厂界昼夜间声环境质量符合《声环境质量标准》（GB3096-2008）中</w:t>
            </w:r>
            <w:r>
              <w:rPr>
                <w:rFonts w:hint="eastAsia"/>
                <w:color w:val="auto"/>
                <w:sz w:val="24"/>
                <w:lang w:val="en-US" w:eastAsia="zh-CN"/>
              </w:rPr>
              <w:t>3</w:t>
            </w:r>
            <w:r>
              <w:rPr>
                <w:color w:val="auto"/>
                <w:sz w:val="24"/>
              </w:rPr>
              <w:t>类标准，</w:t>
            </w:r>
            <w:r>
              <w:rPr>
                <w:rFonts w:hint="eastAsia"/>
                <w:color w:val="auto"/>
                <w:sz w:val="24"/>
              </w:rPr>
              <w:t>敏感点</w:t>
            </w:r>
            <w:r>
              <w:rPr>
                <w:color w:val="auto"/>
                <w:sz w:val="24"/>
              </w:rPr>
              <w:t>昼夜间声环境质量符合</w:t>
            </w:r>
            <w:bookmarkStart w:id="19" w:name="OLE_LINK27"/>
            <w:r>
              <w:rPr>
                <w:color w:val="auto"/>
                <w:sz w:val="24"/>
              </w:rPr>
              <w:t>《声环境质量标准》（GB3096-2008）中</w:t>
            </w:r>
            <w:r>
              <w:rPr>
                <w:rFonts w:hint="eastAsia"/>
                <w:color w:val="auto"/>
                <w:sz w:val="24"/>
                <w:lang w:val="en-US" w:eastAsia="zh-CN"/>
              </w:rPr>
              <w:t>2</w:t>
            </w:r>
            <w:r>
              <w:rPr>
                <w:color w:val="auto"/>
                <w:sz w:val="24"/>
              </w:rPr>
              <w:t>类标准</w:t>
            </w:r>
            <w:bookmarkEnd w:id="19"/>
            <w:r>
              <w:rPr>
                <w:color w:val="auto"/>
                <w:sz w:val="24"/>
              </w:rPr>
              <w:t>。</w:t>
            </w:r>
          </w:p>
          <w:p>
            <w:pPr>
              <w:spacing w:line="360" w:lineRule="auto"/>
              <w:ind w:firstLine="422" w:firstLineChars="200"/>
              <w:rPr>
                <w:rFonts w:hint="eastAsia" w:eastAsia="宋体"/>
                <w:b/>
                <w:bCs/>
                <w:color w:val="auto"/>
                <w:sz w:val="24"/>
                <w:lang w:val="en-US" w:eastAsia="zh-CN"/>
              </w:rPr>
            </w:pPr>
            <w:r>
              <w:rPr>
                <w:rFonts w:hint="eastAsia"/>
                <w:b/>
                <w:bCs/>
                <w:color w:val="auto"/>
                <w:sz w:val="21"/>
                <w:szCs w:val="21"/>
                <w:lang w:val="en-US" w:eastAsia="zh-CN"/>
              </w:rPr>
              <w:t>注：根据市政府关于印发《如皋市声环境功能区和噪声敏感建筑物集中区划分方案》的通知（皋政发〔2025〕20号），对于已划定为3类声环境功能区的，区内居民住宅、学校等噪声敏感点拆迁前执行2 类声环境功能区类别。</w:t>
            </w:r>
          </w:p>
          <w:p>
            <w:pPr>
              <w:spacing w:line="360" w:lineRule="auto"/>
              <w:ind w:firstLine="482" w:firstLineChars="200"/>
              <w:rPr>
                <w:b/>
                <w:bCs/>
                <w:color w:val="auto"/>
                <w:sz w:val="24"/>
              </w:rPr>
            </w:pPr>
            <w:r>
              <w:rPr>
                <w:b/>
                <w:bCs/>
                <w:color w:val="auto"/>
                <w:sz w:val="24"/>
              </w:rPr>
              <w:t>4、生态环境</w:t>
            </w:r>
          </w:p>
          <w:p>
            <w:pPr>
              <w:spacing w:line="360" w:lineRule="auto"/>
              <w:ind w:firstLine="480" w:firstLineChars="200"/>
              <w:rPr>
                <w:color w:val="auto"/>
                <w:sz w:val="24"/>
              </w:rPr>
            </w:pPr>
            <w:r>
              <w:rPr>
                <w:rFonts w:hint="eastAsia"/>
                <w:bCs/>
                <w:color w:val="auto"/>
                <w:sz w:val="24"/>
              </w:rPr>
              <w:t>本项目用地范围内无生态环境保护目标，不需进行生态现状调查</w:t>
            </w:r>
            <w:r>
              <w:rPr>
                <w:color w:val="auto"/>
                <w:sz w:val="24"/>
              </w:rPr>
              <w:t>。</w:t>
            </w:r>
          </w:p>
          <w:p>
            <w:pPr>
              <w:spacing w:line="360" w:lineRule="auto"/>
              <w:ind w:firstLine="482" w:firstLineChars="200"/>
              <w:rPr>
                <w:b/>
                <w:bCs/>
                <w:color w:val="auto"/>
                <w:sz w:val="24"/>
              </w:rPr>
            </w:pPr>
            <w:r>
              <w:rPr>
                <w:b/>
                <w:bCs/>
                <w:color w:val="auto"/>
                <w:sz w:val="24"/>
              </w:rPr>
              <w:t>5、电磁辐射</w:t>
            </w:r>
          </w:p>
          <w:p>
            <w:pPr>
              <w:spacing w:line="360" w:lineRule="auto"/>
              <w:ind w:firstLine="480" w:firstLineChars="200"/>
              <w:rPr>
                <w:color w:val="auto"/>
                <w:sz w:val="24"/>
              </w:rPr>
            </w:pPr>
            <w:r>
              <w:rPr>
                <w:color w:val="auto"/>
                <w:sz w:val="24"/>
              </w:rPr>
              <w:t>本项目不涉及电磁辐射内容。</w:t>
            </w:r>
          </w:p>
          <w:p>
            <w:pPr>
              <w:spacing w:line="360" w:lineRule="auto"/>
              <w:ind w:firstLine="482" w:firstLineChars="200"/>
              <w:rPr>
                <w:b/>
                <w:bCs/>
                <w:color w:val="auto"/>
                <w:sz w:val="24"/>
              </w:rPr>
            </w:pPr>
            <w:r>
              <w:rPr>
                <w:b/>
                <w:bCs/>
                <w:color w:val="auto"/>
                <w:sz w:val="24"/>
              </w:rPr>
              <w:t>6、</w:t>
            </w:r>
            <w:r>
              <w:rPr>
                <w:b/>
                <w:color w:val="auto"/>
                <w:sz w:val="24"/>
              </w:rPr>
              <w:t>土壤、地下水环境质量现状</w:t>
            </w:r>
          </w:p>
          <w:p>
            <w:pPr>
              <w:spacing w:line="360" w:lineRule="auto"/>
              <w:ind w:firstLine="480" w:firstLineChars="200"/>
              <w:rPr>
                <w:color w:val="auto"/>
                <w:szCs w:val="21"/>
              </w:rPr>
            </w:pPr>
            <w:r>
              <w:rPr>
                <w:rFonts w:hint="eastAsia"/>
                <w:color w:val="auto"/>
                <w:kern w:val="0"/>
                <w:sz w:val="24"/>
              </w:rPr>
              <w:t>土壤环境执行《土壤环境质量 建设用地土壤污染风险管控标准（试行）》（GB36600-2018），地下水环境执行《地下水质量标准》（GB/T14848-2017）。</w:t>
            </w:r>
            <w:r>
              <w:rPr>
                <w:rFonts w:hint="eastAsia"/>
                <w:color w:val="0000FF"/>
                <w:kern w:val="0"/>
                <w:sz w:val="24"/>
                <w:lang w:val="en-US" w:eastAsia="zh-CN"/>
              </w:rPr>
              <w:t>项目</w:t>
            </w:r>
            <w:r>
              <w:rPr>
                <w:rFonts w:hint="eastAsia"/>
                <w:color w:val="0000FF"/>
                <w:kern w:val="0"/>
                <w:sz w:val="24"/>
              </w:rPr>
              <w:t>雨污水管路系统、危废仓库、</w:t>
            </w:r>
            <w:r>
              <w:rPr>
                <w:rFonts w:hint="eastAsia"/>
                <w:color w:val="0000FF"/>
                <w:kern w:val="0"/>
                <w:sz w:val="24"/>
                <w:lang w:val="en-US" w:eastAsia="zh-CN"/>
              </w:rPr>
              <w:t>喷漆房</w:t>
            </w:r>
            <w:r>
              <w:rPr>
                <w:rFonts w:hint="eastAsia"/>
                <w:color w:val="0000FF"/>
                <w:kern w:val="0"/>
                <w:sz w:val="24"/>
              </w:rPr>
              <w:t>、原料仓库</w:t>
            </w:r>
            <w:r>
              <w:rPr>
                <w:rFonts w:hint="eastAsia"/>
                <w:color w:val="0000FF"/>
                <w:kern w:val="0"/>
                <w:sz w:val="24"/>
                <w:lang w:eastAsia="zh-CN"/>
              </w:rPr>
              <w:t>、</w:t>
            </w:r>
            <w:r>
              <w:rPr>
                <w:rFonts w:hint="eastAsia"/>
                <w:color w:val="0000FF"/>
                <w:kern w:val="0"/>
                <w:sz w:val="24"/>
                <w:lang w:val="en-US" w:eastAsia="zh-CN"/>
              </w:rPr>
              <w:t>事故应急池为</w:t>
            </w:r>
            <w:r>
              <w:rPr>
                <w:rFonts w:hint="eastAsia"/>
                <w:color w:val="0000FF"/>
                <w:kern w:val="0"/>
                <w:sz w:val="24"/>
              </w:rPr>
              <w:t>重点防渗区</w:t>
            </w:r>
            <w:r>
              <w:rPr>
                <w:rFonts w:hint="eastAsia"/>
                <w:color w:val="0000FF"/>
                <w:kern w:val="0"/>
                <w:sz w:val="24"/>
                <w:lang w:eastAsia="zh-CN"/>
              </w:rPr>
              <w:t>；</w:t>
            </w:r>
            <w:r>
              <w:rPr>
                <w:rFonts w:hint="eastAsia"/>
                <w:color w:val="0000FF"/>
                <w:kern w:val="0"/>
                <w:sz w:val="24"/>
                <w:lang w:val="en-US" w:eastAsia="zh-CN"/>
              </w:rPr>
              <w:t>其他</w:t>
            </w:r>
            <w:r>
              <w:rPr>
                <w:rFonts w:hint="eastAsia"/>
                <w:color w:val="0000FF"/>
                <w:kern w:val="0"/>
                <w:sz w:val="24"/>
              </w:rPr>
              <w:t>生产车间</w:t>
            </w:r>
            <w:r>
              <w:rPr>
                <w:rFonts w:hint="eastAsia"/>
                <w:color w:val="0000FF"/>
                <w:kern w:val="0"/>
                <w:sz w:val="24"/>
                <w:lang w:val="en-US" w:eastAsia="zh-CN"/>
              </w:rPr>
              <w:t>区域为</w:t>
            </w:r>
            <w:r>
              <w:rPr>
                <w:rFonts w:hint="eastAsia"/>
                <w:color w:val="0000FF"/>
                <w:kern w:val="0"/>
                <w:sz w:val="24"/>
              </w:rPr>
              <w:t>一般防渗区</w:t>
            </w:r>
            <w:r>
              <w:rPr>
                <w:rFonts w:hint="eastAsia"/>
                <w:color w:val="0000FF"/>
                <w:kern w:val="0"/>
                <w:sz w:val="24"/>
                <w:lang w:eastAsia="zh-CN"/>
              </w:rPr>
              <w:t>；</w:t>
            </w:r>
            <w:r>
              <w:rPr>
                <w:rFonts w:hint="eastAsia"/>
                <w:color w:val="0000FF"/>
                <w:kern w:val="0"/>
                <w:sz w:val="24"/>
              </w:rPr>
              <w:t>其余辅助区域</w:t>
            </w:r>
            <w:r>
              <w:rPr>
                <w:rFonts w:hint="eastAsia"/>
                <w:color w:val="0000FF"/>
                <w:kern w:val="0"/>
                <w:sz w:val="24"/>
                <w:lang w:val="en-US" w:eastAsia="zh-CN"/>
              </w:rPr>
              <w:t>为</w:t>
            </w:r>
            <w:r>
              <w:rPr>
                <w:rFonts w:hint="eastAsia"/>
                <w:color w:val="0000FF"/>
                <w:kern w:val="0"/>
                <w:sz w:val="24"/>
              </w:rPr>
              <w:t>简单防渗区</w:t>
            </w:r>
            <w:r>
              <w:rPr>
                <w:rFonts w:hint="eastAsia"/>
                <w:color w:val="auto"/>
                <w:kern w:val="0"/>
                <w:sz w:val="24"/>
                <w:lang w:eastAsia="zh-CN"/>
              </w:rPr>
              <w:t>；</w:t>
            </w:r>
            <w:r>
              <w:rPr>
                <w:rFonts w:hint="eastAsia"/>
                <w:color w:val="auto"/>
                <w:kern w:val="0"/>
                <w:sz w:val="24"/>
              </w:rPr>
              <w:t>地面均防腐、防渗，本项目不存在土壤、地下水环境污染途径，不开展环境质量现状调查</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636" w:type="dxa"/>
            <w:vAlign w:val="center"/>
          </w:tcPr>
          <w:p>
            <w:pPr>
              <w:adjustRightInd w:val="0"/>
              <w:snapToGrid w:val="0"/>
              <w:jc w:val="center"/>
              <w:rPr>
                <w:b/>
                <w:color w:val="auto"/>
                <w:kern w:val="0"/>
                <w:szCs w:val="21"/>
              </w:rPr>
            </w:pPr>
            <w:r>
              <w:rPr>
                <w:b/>
                <w:color w:val="auto"/>
                <w:kern w:val="0"/>
                <w:szCs w:val="21"/>
              </w:rPr>
              <w:t>环境</w:t>
            </w:r>
          </w:p>
          <w:p>
            <w:pPr>
              <w:adjustRightInd w:val="0"/>
              <w:snapToGrid w:val="0"/>
              <w:jc w:val="center"/>
              <w:rPr>
                <w:b/>
                <w:color w:val="auto"/>
                <w:kern w:val="0"/>
                <w:szCs w:val="21"/>
              </w:rPr>
            </w:pPr>
            <w:r>
              <w:rPr>
                <w:b/>
                <w:color w:val="auto"/>
                <w:kern w:val="0"/>
                <w:szCs w:val="21"/>
              </w:rPr>
              <w:t>保护</w:t>
            </w:r>
          </w:p>
          <w:p>
            <w:pPr>
              <w:adjustRightInd w:val="0"/>
              <w:snapToGrid w:val="0"/>
              <w:jc w:val="center"/>
              <w:rPr>
                <w:color w:val="auto"/>
                <w:kern w:val="0"/>
                <w:szCs w:val="21"/>
              </w:rPr>
            </w:pPr>
            <w:r>
              <w:rPr>
                <w:b/>
                <w:color w:val="auto"/>
                <w:kern w:val="0"/>
                <w:szCs w:val="21"/>
              </w:rPr>
              <w:t>目标</w:t>
            </w:r>
          </w:p>
        </w:tc>
        <w:tc>
          <w:tcPr>
            <w:tcW w:w="8425" w:type="dxa"/>
            <w:vAlign w:val="center"/>
          </w:tcPr>
          <w:p>
            <w:pPr>
              <w:adjustRightInd w:val="0"/>
              <w:snapToGrid w:val="0"/>
              <w:spacing w:line="360" w:lineRule="auto"/>
              <w:ind w:firstLine="482" w:firstLineChars="200"/>
              <w:rPr>
                <w:b/>
                <w:bCs/>
                <w:color w:val="auto"/>
                <w:sz w:val="24"/>
              </w:rPr>
            </w:pPr>
            <w:r>
              <w:rPr>
                <w:b/>
                <w:bCs/>
                <w:color w:val="auto"/>
                <w:sz w:val="24"/>
              </w:rPr>
              <w:t>1、大气环境</w:t>
            </w:r>
          </w:p>
          <w:p>
            <w:pPr>
              <w:spacing w:line="360" w:lineRule="auto"/>
              <w:ind w:firstLine="480" w:firstLineChars="200"/>
              <w:rPr>
                <w:color w:val="auto"/>
                <w:sz w:val="24"/>
              </w:rPr>
            </w:pPr>
            <w:r>
              <w:rPr>
                <w:color w:val="auto"/>
                <w:sz w:val="24"/>
              </w:rPr>
              <w:t>项目周边500m大气环境敏感目标见表3-</w:t>
            </w:r>
            <w:r>
              <w:rPr>
                <w:rFonts w:hint="eastAsia"/>
                <w:color w:val="auto"/>
                <w:sz w:val="24"/>
                <w:lang w:val="en-US" w:eastAsia="zh-CN"/>
              </w:rPr>
              <w:t>4</w:t>
            </w:r>
            <w:r>
              <w:rPr>
                <w:color w:val="auto"/>
                <w:sz w:val="24"/>
              </w:rPr>
              <w:t>。</w:t>
            </w:r>
          </w:p>
          <w:p>
            <w:pPr>
              <w:jc w:val="center"/>
              <w:rPr>
                <w:b/>
                <w:color w:val="auto"/>
                <w:szCs w:val="21"/>
              </w:rPr>
            </w:pPr>
            <w:r>
              <w:rPr>
                <w:b/>
                <w:color w:val="auto"/>
                <w:szCs w:val="21"/>
              </w:rPr>
              <w:t>表3-</w:t>
            </w:r>
            <w:r>
              <w:rPr>
                <w:rFonts w:hint="eastAsia"/>
                <w:b/>
                <w:color w:val="auto"/>
                <w:szCs w:val="21"/>
                <w:lang w:val="en-US" w:eastAsia="zh-CN"/>
              </w:rPr>
              <w:t>4</w:t>
            </w:r>
            <w:r>
              <w:rPr>
                <w:rFonts w:hint="eastAsia"/>
                <w:b/>
                <w:color w:val="auto"/>
                <w:szCs w:val="21"/>
              </w:rPr>
              <w:t>大气</w:t>
            </w:r>
            <w:r>
              <w:rPr>
                <w:b/>
                <w:color w:val="auto"/>
                <w:szCs w:val="21"/>
              </w:rPr>
              <w:t>环境保护目标一览表</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706"/>
              <w:gridCol w:w="1456"/>
              <w:gridCol w:w="674"/>
              <w:gridCol w:w="1268"/>
              <w:gridCol w:w="778"/>
              <w:gridCol w:w="586"/>
              <w:gridCol w:w="6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vMerge w:val="restart"/>
                  <w:tcBorders>
                    <w:tl2br w:val="nil"/>
                    <w:tr2bl w:val="nil"/>
                  </w:tcBorders>
                  <w:vAlign w:val="center"/>
                </w:tcPr>
                <w:p>
                  <w:pPr>
                    <w:adjustRightInd w:val="0"/>
                    <w:snapToGrid w:val="0"/>
                    <w:jc w:val="center"/>
                    <w:rPr>
                      <w:b/>
                      <w:bCs/>
                      <w:color w:val="auto"/>
                      <w:szCs w:val="21"/>
                    </w:rPr>
                  </w:pPr>
                  <w:r>
                    <w:rPr>
                      <w:b/>
                      <w:bCs/>
                      <w:color w:val="auto"/>
                      <w:szCs w:val="21"/>
                    </w:rPr>
                    <w:t>名称</w:t>
                  </w:r>
                </w:p>
              </w:tc>
              <w:tc>
                <w:tcPr>
                  <w:tcW w:w="1955" w:type="pct"/>
                  <w:gridSpan w:val="2"/>
                  <w:tcBorders>
                    <w:tl2br w:val="nil"/>
                    <w:tr2bl w:val="nil"/>
                  </w:tcBorders>
                  <w:vAlign w:val="center"/>
                </w:tcPr>
                <w:p>
                  <w:pPr>
                    <w:adjustRightInd w:val="0"/>
                    <w:snapToGrid w:val="0"/>
                    <w:jc w:val="center"/>
                    <w:rPr>
                      <w:b/>
                      <w:bCs/>
                      <w:color w:val="auto"/>
                      <w:szCs w:val="21"/>
                    </w:rPr>
                  </w:pPr>
                  <w:r>
                    <w:rPr>
                      <w:b/>
                      <w:bCs/>
                      <w:color w:val="auto"/>
                      <w:szCs w:val="21"/>
                    </w:rPr>
                    <w:t>坐标</w:t>
                  </w:r>
                  <w:r>
                    <w:rPr>
                      <w:b/>
                      <w:snapToGrid w:val="0"/>
                      <w:color w:val="auto"/>
                      <w:kern w:val="18"/>
                      <w:szCs w:val="21"/>
                    </w:rPr>
                    <w:t>/（</w:t>
                  </w:r>
                  <w:r>
                    <w:rPr>
                      <w:b/>
                      <w:snapToGrid w:val="0"/>
                      <w:color w:val="auto"/>
                      <w:kern w:val="18"/>
                      <w:szCs w:val="21"/>
                      <w:vertAlign w:val="superscript"/>
                    </w:rPr>
                    <w:t>o</w:t>
                  </w:r>
                  <w:r>
                    <w:rPr>
                      <w:b/>
                      <w:snapToGrid w:val="0"/>
                      <w:color w:val="auto"/>
                      <w:kern w:val="18"/>
                      <w:szCs w:val="21"/>
                    </w:rPr>
                    <w:t>）</w:t>
                  </w:r>
                </w:p>
              </w:tc>
              <w:tc>
                <w:tcPr>
                  <w:tcW w:w="423" w:type="pct"/>
                  <w:vMerge w:val="restart"/>
                  <w:tcBorders>
                    <w:tl2br w:val="nil"/>
                    <w:tr2bl w:val="nil"/>
                  </w:tcBorders>
                  <w:vAlign w:val="center"/>
                </w:tcPr>
                <w:p>
                  <w:pPr>
                    <w:adjustRightInd w:val="0"/>
                    <w:snapToGrid w:val="0"/>
                    <w:jc w:val="center"/>
                    <w:rPr>
                      <w:b/>
                      <w:bCs/>
                      <w:color w:val="auto"/>
                      <w:szCs w:val="21"/>
                    </w:rPr>
                  </w:pPr>
                  <w:r>
                    <w:rPr>
                      <w:b/>
                      <w:bCs/>
                      <w:color w:val="auto"/>
                      <w:szCs w:val="21"/>
                    </w:rPr>
                    <w:t>保护对象</w:t>
                  </w:r>
                </w:p>
              </w:tc>
              <w:tc>
                <w:tcPr>
                  <w:tcW w:w="696" w:type="pct"/>
                  <w:vMerge w:val="restart"/>
                  <w:tcBorders>
                    <w:tl2br w:val="nil"/>
                    <w:tr2bl w:val="nil"/>
                  </w:tcBorders>
                  <w:vAlign w:val="center"/>
                </w:tcPr>
                <w:p>
                  <w:pPr>
                    <w:adjustRightInd w:val="0"/>
                    <w:snapToGrid w:val="0"/>
                    <w:jc w:val="center"/>
                    <w:rPr>
                      <w:b/>
                      <w:bCs/>
                      <w:color w:val="auto"/>
                      <w:szCs w:val="21"/>
                    </w:rPr>
                  </w:pPr>
                  <w:r>
                    <w:rPr>
                      <w:b/>
                      <w:bCs/>
                      <w:color w:val="auto"/>
                      <w:szCs w:val="21"/>
                    </w:rPr>
                    <w:t>环境功能区</w:t>
                  </w:r>
                </w:p>
              </w:tc>
              <w:tc>
                <w:tcPr>
                  <w:tcW w:w="486" w:type="pct"/>
                  <w:vMerge w:val="restart"/>
                  <w:tcBorders>
                    <w:tl2br w:val="nil"/>
                    <w:tr2bl w:val="nil"/>
                  </w:tcBorders>
                  <w:vAlign w:val="center"/>
                </w:tcPr>
                <w:p>
                  <w:pPr>
                    <w:adjustRightInd w:val="0"/>
                    <w:snapToGrid w:val="0"/>
                    <w:jc w:val="center"/>
                    <w:rPr>
                      <w:b/>
                      <w:bCs/>
                      <w:color w:val="auto"/>
                      <w:szCs w:val="21"/>
                    </w:rPr>
                  </w:pPr>
                  <w:r>
                    <w:rPr>
                      <w:b/>
                      <w:bCs/>
                      <w:color w:val="auto"/>
                      <w:szCs w:val="21"/>
                    </w:rPr>
                    <w:t>规模</w:t>
                  </w:r>
                </w:p>
                <w:p>
                  <w:pPr>
                    <w:adjustRightInd w:val="0"/>
                    <w:snapToGrid w:val="0"/>
                    <w:jc w:val="center"/>
                    <w:rPr>
                      <w:b/>
                      <w:bCs/>
                      <w:color w:val="auto"/>
                      <w:szCs w:val="21"/>
                    </w:rPr>
                  </w:pPr>
                </w:p>
              </w:tc>
              <w:tc>
                <w:tcPr>
                  <w:tcW w:w="369" w:type="pct"/>
                  <w:vMerge w:val="restart"/>
                  <w:tcBorders>
                    <w:tl2br w:val="nil"/>
                    <w:tr2bl w:val="nil"/>
                  </w:tcBorders>
                  <w:vAlign w:val="center"/>
                </w:tcPr>
                <w:p>
                  <w:pPr>
                    <w:adjustRightInd w:val="0"/>
                    <w:snapToGrid w:val="0"/>
                    <w:jc w:val="center"/>
                    <w:rPr>
                      <w:b/>
                      <w:bCs/>
                      <w:color w:val="auto"/>
                      <w:szCs w:val="21"/>
                    </w:rPr>
                  </w:pPr>
                  <w:r>
                    <w:rPr>
                      <w:b/>
                      <w:bCs/>
                      <w:color w:val="auto"/>
                      <w:szCs w:val="21"/>
                    </w:rPr>
                    <w:t>相对厂址方位</w:t>
                  </w:r>
                </w:p>
              </w:tc>
              <w:tc>
                <w:tcPr>
                  <w:tcW w:w="398" w:type="pct"/>
                  <w:vMerge w:val="restart"/>
                  <w:tcBorders>
                    <w:tl2br w:val="nil"/>
                    <w:tr2bl w:val="nil"/>
                  </w:tcBorders>
                  <w:vAlign w:val="center"/>
                </w:tcPr>
                <w:p>
                  <w:pPr>
                    <w:adjustRightInd w:val="0"/>
                    <w:snapToGrid w:val="0"/>
                    <w:jc w:val="center"/>
                    <w:rPr>
                      <w:b/>
                      <w:bCs/>
                      <w:color w:val="auto"/>
                      <w:szCs w:val="21"/>
                    </w:rPr>
                  </w:pPr>
                  <w:r>
                    <w:rPr>
                      <w:b/>
                      <w:bCs/>
                      <w:color w:val="auto"/>
                      <w:szCs w:val="21"/>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vMerge w:val="continue"/>
                  <w:tcBorders>
                    <w:tl2br w:val="nil"/>
                    <w:tr2bl w:val="nil"/>
                  </w:tcBorders>
                  <w:vAlign w:val="center"/>
                </w:tcPr>
                <w:p>
                  <w:pPr>
                    <w:adjustRightInd w:val="0"/>
                    <w:snapToGrid w:val="0"/>
                    <w:jc w:val="center"/>
                    <w:rPr>
                      <w:b/>
                      <w:bCs/>
                      <w:color w:val="auto"/>
                      <w:szCs w:val="21"/>
                    </w:rPr>
                  </w:pPr>
                </w:p>
              </w:tc>
              <w:tc>
                <w:tcPr>
                  <w:tcW w:w="1054" w:type="pct"/>
                  <w:tcBorders>
                    <w:tl2br w:val="nil"/>
                    <w:tr2bl w:val="nil"/>
                  </w:tcBorders>
                  <w:vAlign w:val="center"/>
                </w:tcPr>
                <w:p>
                  <w:pPr>
                    <w:adjustRightInd w:val="0"/>
                    <w:snapToGrid w:val="0"/>
                    <w:jc w:val="center"/>
                    <w:rPr>
                      <w:b/>
                      <w:bCs/>
                      <w:color w:val="auto"/>
                      <w:szCs w:val="21"/>
                    </w:rPr>
                  </w:pPr>
                  <w:r>
                    <w:rPr>
                      <w:b/>
                      <w:bCs/>
                      <w:color w:val="auto"/>
                      <w:szCs w:val="21"/>
                    </w:rPr>
                    <w:t>X</w:t>
                  </w:r>
                </w:p>
              </w:tc>
              <w:tc>
                <w:tcPr>
                  <w:tcW w:w="901" w:type="pct"/>
                  <w:tcBorders>
                    <w:tl2br w:val="nil"/>
                    <w:tr2bl w:val="nil"/>
                  </w:tcBorders>
                  <w:vAlign w:val="center"/>
                </w:tcPr>
                <w:p>
                  <w:pPr>
                    <w:adjustRightInd w:val="0"/>
                    <w:snapToGrid w:val="0"/>
                    <w:jc w:val="center"/>
                    <w:rPr>
                      <w:b/>
                      <w:bCs/>
                      <w:color w:val="auto"/>
                      <w:szCs w:val="21"/>
                    </w:rPr>
                  </w:pPr>
                  <w:r>
                    <w:rPr>
                      <w:b/>
                      <w:bCs/>
                      <w:color w:val="auto"/>
                      <w:szCs w:val="21"/>
                    </w:rPr>
                    <w:t>Y</w:t>
                  </w:r>
                </w:p>
              </w:tc>
              <w:tc>
                <w:tcPr>
                  <w:tcW w:w="423" w:type="pct"/>
                  <w:vMerge w:val="continue"/>
                  <w:tcBorders>
                    <w:tl2br w:val="nil"/>
                    <w:tr2bl w:val="nil"/>
                  </w:tcBorders>
                  <w:vAlign w:val="center"/>
                </w:tcPr>
                <w:p>
                  <w:pPr>
                    <w:adjustRightInd w:val="0"/>
                    <w:snapToGrid w:val="0"/>
                    <w:jc w:val="center"/>
                    <w:rPr>
                      <w:b/>
                      <w:bCs/>
                      <w:color w:val="auto"/>
                      <w:szCs w:val="21"/>
                    </w:rPr>
                  </w:pPr>
                </w:p>
              </w:tc>
              <w:tc>
                <w:tcPr>
                  <w:tcW w:w="696" w:type="pct"/>
                  <w:vMerge w:val="continue"/>
                  <w:tcBorders>
                    <w:tl2br w:val="nil"/>
                    <w:tr2bl w:val="nil"/>
                  </w:tcBorders>
                  <w:vAlign w:val="center"/>
                </w:tcPr>
                <w:p>
                  <w:pPr>
                    <w:adjustRightInd w:val="0"/>
                    <w:snapToGrid w:val="0"/>
                    <w:jc w:val="center"/>
                    <w:rPr>
                      <w:b/>
                      <w:bCs/>
                      <w:color w:val="auto"/>
                      <w:szCs w:val="21"/>
                    </w:rPr>
                  </w:pPr>
                </w:p>
              </w:tc>
              <w:tc>
                <w:tcPr>
                  <w:tcW w:w="486" w:type="pct"/>
                  <w:vMerge w:val="continue"/>
                  <w:tcBorders>
                    <w:tl2br w:val="nil"/>
                    <w:tr2bl w:val="nil"/>
                  </w:tcBorders>
                  <w:vAlign w:val="center"/>
                </w:tcPr>
                <w:p>
                  <w:pPr>
                    <w:adjustRightInd w:val="0"/>
                    <w:snapToGrid w:val="0"/>
                    <w:jc w:val="center"/>
                    <w:rPr>
                      <w:b/>
                      <w:bCs/>
                      <w:color w:val="auto"/>
                      <w:szCs w:val="21"/>
                    </w:rPr>
                  </w:pPr>
                </w:p>
              </w:tc>
              <w:tc>
                <w:tcPr>
                  <w:tcW w:w="369" w:type="pct"/>
                  <w:vMerge w:val="continue"/>
                  <w:tcBorders>
                    <w:tl2br w:val="nil"/>
                    <w:tr2bl w:val="nil"/>
                  </w:tcBorders>
                  <w:vAlign w:val="center"/>
                </w:tcPr>
                <w:p>
                  <w:pPr>
                    <w:adjustRightInd w:val="0"/>
                    <w:snapToGrid w:val="0"/>
                    <w:jc w:val="center"/>
                    <w:rPr>
                      <w:b/>
                      <w:bCs/>
                      <w:color w:val="auto"/>
                      <w:szCs w:val="21"/>
                    </w:rPr>
                  </w:pPr>
                </w:p>
              </w:tc>
              <w:tc>
                <w:tcPr>
                  <w:tcW w:w="398" w:type="pct"/>
                  <w:vMerge w:val="continue"/>
                  <w:tcBorders>
                    <w:tl2br w:val="nil"/>
                    <w:tr2bl w:val="nil"/>
                  </w:tcBorders>
                  <w:vAlign w:val="center"/>
                </w:tcPr>
                <w:p>
                  <w:pPr>
                    <w:adjustRightInd w:val="0"/>
                    <w:snapToGrid w:val="0"/>
                    <w:jc w:val="center"/>
                    <w:rPr>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下原居委28组</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120.641215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32.226116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restart"/>
                  <w:tcBorders>
                    <w:tl2br w:val="nil"/>
                    <w:tr2bl w:val="nil"/>
                  </w:tcBorders>
                  <w:vAlign w:val="center"/>
                </w:tcPr>
                <w:p>
                  <w:pPr>
                    <w:adjustRightInd w:val="0"/>
                    <w:snapToGrid w:val="0"/>
                    <w:jc w:val="center"/>
                    <w:rPr>
                      <w:color w:val="auto"/>
                      <w:szCs w:val="21"/>
                    </w:rPr>
                  </w:pPr>
                  <w:r>
                    <w:rPr>
                      <w:color w:val="auto"/>
                      <w:szCs w:val="21"/>
                    </w:rPr>
                    <w:t>《环境空气质量标准》（GB3095－2012）中的二级标准</w:t>
                  </w:r>
                </w:p>
              </w:tc>
              <w:tc>
                <w:tcPr>
                  <w:tcW w:w="486"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6</w:t>
                  </w:r>
                  <w:r>
                    <w:rPr>
                      <w:rFonts w:hint="eastAsia"/>
                      <w:color w:val="auto"/>
                      <w:szCs w:val="21"/>
                    </w:rPr>
                    <w:t>户</w:t>
                  </w:r>
                  <w:r>
                    <w:rPr>
                      <w:rFonts w:hint="eastAsia"/>
                      <w:color w:val="auto"/>
                      <w:szCs w:val="21"/>
                      <w:lang w:val="en-US" w:eastAsia="zh-CN"/>
                    </w:rPr>
                    <w:t>/18人</w:t>
                  </w:r>
                </w:p>
              </w:tc>
              <w:tc>
                <w:tcPr>
                  <w:tcW w:w="369" w:type="pct"/>
                  <w:tcBorders>
                    <w:tl2br w:val="nil"/>
                    <w:tr2bl w:val="nil"/>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南</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下原居委28组</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120.643576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32.227114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12</w:t>
                  </w:r>
                  <w:r>
                    <w:rPr>
                      <w:rFonts w:hint="eastAsia"/>
                      <w:color w:val="auto"/>
                      <w:szCs w:val="21"/>
                    </w:rPr>
                    <w:t>户</w:t>
                  </w:r>
                  <w:r>
                    <w:rPr>
                      <w:rFonts w:hint="eastAsia"/>
                      <w:color w:val="auto"/>
                      <w:szCs w:val="21"/>
                      <w:lang w:val="en-US" w:eastAsia="zh-CN"/>
                    </w:rPr>
                    <w:t>/36人</w:t>
                  </w:r>
                </w:p>
              </w:tc>
              <w:tc>
                <w:tcPr>
                  <w:tcW w:w="369"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东南</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下原居1</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120.641516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32.225365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15</w:t>
                  </w:r>
                  <w:r>
                    <w:rPr>
                      <w:rFonts w:hint="eastAsia"/>
                      <w:color w:val="auto"/>
                      <w:szCs w:val="21"/>
                    </w:rPr>
                    <w:t>户</w:t>
                  </w:r>
                  <w:r>
                    <w:rPr>
                      <w:rFonts w:hint="eastAsia"/>
                      <w:color w:val="auto"/>
                      <w:szCs w:val="21"/>
                      <w:lang w:val="en-US" w:eastAsia="zh-CN"/>
                    </w:rPr>
                    <w:t>/45人</w:t>
                  </w:r>
                </w:p>
              </w:tc>
              <w:tc>
                <w:tcPr>
                  <w:tcW w:w="369" w:type="pc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南</w:t>
                  </w:r>
                </w:p>
              </w:tc>
              <w:tc>
                <w:tcPr>
                  <w:tcW w:w="398" w:type="pct"/>
                  <w:tcBorders>
                    <w:tl2br w:val="nil"/>
                    <w:tr2bl w:val="nil"/>
                  </w:tcBorders>
                  <w:vAlign w:val="center"/>
                </w:tcPr>
                <w:p>
                  <w:pPr>
                    <w:adjustRightInd w:val="0"/>
                    <w:snapToGrid w:val="0"/>
                    <w:jc w:val="center"/>
                    <w:rPr>
                      <w:rFonts w:hint="default"/>
                      <w:color w:val="auto"/>
                      <w:szCs w:val="21"/>
                      <w:lang w:val="en-US"/>
                    </w:rPr>
                  </w:pPr>
                  <w:r>
                    <w:rPr>
                      <w:rFonts w:hint="eastAsia"/>
                      <w:color w:val="auto"/>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下原居2</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120.643897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32.226545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20</w:t>
                  </w:r>
                  <w:r>
                    <w:rPr>
                      <w:rFonts w:hint="eastAsia"/>
                      <w:color w:val="auto"/>
                      <w:szCs w:val="21"/>
                    </w:rPr>
                    <w:t>户</w:t>
                  </w:r>
                  <w:r>
                    <w:rPr>
                      <w:rFonts w:hint="eastAsia"/>
                      <w:color w:val="auto"/>
                      <w:szCs w:val="21"/>
                      <w:lang w:val="en-US" w:eastAsia="zh-CN"/>
                    </w:rPr>
                    <w:t>/60人</w:t>
                  </w:r>
                </w:p>
              </w:tc>
              <w:tc>
                <w:tcPr>
                  <w:tcW w:w="369"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东南</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下原居委29组</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120.640250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32.228756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13</w:t>
                  </w:r>
                  <w:r>
                    <w:rPr>
                      <w:rFonts w:hint="eastAsia"/>
                      <w:color w:val="auto"/>
                      <w:szCs w:val="21"/>
                    </w:rPr>
                    <w:t>户</w:t>
                  </w:r>
                  <w:r>
                    <w:rPr>
                      <w:rFonts w:hint="eastAsia"/>
                      <w:color w:val="auto"/>
                      <w:szCs w:val="21"/>
                      <w:lang w:val="en-US" w:eastAsia="zh-CN"/>
                    </w:rPr>
                    <w:t>/39人</w:t>
                  </w:r>
                </w:p>
              </w:tc>
              <w:tc>
                <w:tcPr>
                  <w:tcW w:w="369" w:type="pc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北</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下原居委29组</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120.641634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32.229796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15</w:t>
                  </w:r>
                  <w:r>
                    <w:rPr>
                      <w:rFonts w:hint="eastAsia"/>
                      <w:color w:val="auto"/>
                      <w:szCs w:val="21"/>
                    </w:rPr>
                    <w:t>户</w:t>
                  </w:r>
                  <w:r>
                    <w:rPr>
                      <w:rFonts w:hint="eastAsia"/>
                      <w:color w:val="auto"/>
                      <w:szCs w:val="21"/>
                      <w:lang w:val="en-US" w:eastAsia="zh-CN"/>
                    </w:rPr>
                    <w:t>/45人</w:t>
                  </w:r>
                </w:p>
              </w:tc>
              <w:tc>
                <w:tcPr>
                  <w:tcW w:w="369"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北</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下原初级中学</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120.638876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32.231062 </w:t>
                  </w:r>
                </w:p>
              </w:tc>
              <w:tc>
                <w:tcPr>
                  <w:tcW w:w="423" w:type="pc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学校</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600人</w:t>
                  </w:r>
                </w:p>
              </w:tc>
              <w:tc>
                <w:tcPr>
                  <w:tcW w:w="369"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北</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rPr>
                    <w:t>4</w:t>
                  </w:r>
                  <w:r>
                    <w:rPr>
                      <w:rFonts w:hint="eastAsia"/>
                      <w:color w:val="auto"/>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景泰苑</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120.639005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32.224786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120</w:t>
                  </w:r>
                  <w:r>
                    <w:rPr>
                      <w:rFonts w:hint="eastAsia"/>
                      <w:color w:val="auto"/>
                      <w:szCs w:val="21"/>
                    </w:rPr>
                    <w:t>户</w:t>
                  </w:r>
                  <w:r>
                    <w:rPr>
                      <w:rFonts w:hint="eastAsia"/>
                      <w:color w:val="auto"/>
                      <w:szCs w:val="21"/>
                      <w:lang w:val="en-US" w:eastAsia="zh-CN"/>
                    </w:rPr>
                    <w:t>/360人</w:t>
                  </w:r>
                </w:p>
              </w:tc>
              <w:tc>
                <w:tcPr>
                  <w:tcW w:w="369" w:type="pc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西</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富景花苑</w:t>
                  </w:r>
                </w:p>
              </w:tc>
              <w:tc>
                <w:tcPr>
                  <w:tcW w:w="172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120.638093 </w:t>
                  </w:r>
                </w:p>
              </w:tc>
              <w:tc>
                <w:tcPr>
                  <w:tcW w:w="1473"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32.225569 </w:t>
                  </w:r>
                </w:p>
              </w:tc>
              <w:tc>
                <w:tcPr>
                  <w:tcW w:w="423" w:type="pct"/>
                  <w:tcBorders>
                    <w:tl2br w:val="nil"/>
                    <w:tr2bl w:val="nil"/>
                  </w:tcBorders>
                  <w:vAlign w:val="center"/>
                </w:tcPr>
                <w:p>
                  <w:pPr>
                    <w:adjustRightInd w:val="0"/>
                    <w:snapToGrid w:val="0"/>
                    <w:jc w:val="center"/>
                    <w:rPr>
                      <w:color w:val="auto"/>
                      <w:szCs w:val="21"/>
                    </w:rPr>
                  </w:pPr>
                  <w:r>
                    <w:rPr>
                      <w:rFonts w:hint="eastAsia"/>
                      <w:color w:val="auto"/>
                      <w:szCs w:val="21"/>
                    </w:rPr>
                    <w:t>人群</w:t>
                  </w:r>
                </w:p>
              </w:tc>
              <w:tc>
                <w:tcPr>
                  <w:tcW w:w="696" w:type="pct"/>
                  <w:vMerge w:val="continue"/>
                  <w:tcBorders>
                    <w:tl2br w:val="nil"/>
                    <w:tr2bl w:val="nil"/>
                  </w:tcBorders>
                  <w:vAlign w:val="center"/>
                </w:tcPr>
                <w:p>
                  <w:pPr>
                    <w:adjustRightInd w:val="0"/>
                    <w:snapToGrid w:val="0"/>
                    <w:jc w:val="center"/>
                    <w:rPr>
                      <w:color w:val="auto"/>
                      <w:szCs w:val="21"/>
                    </w:rPr>
                  </w:pPr>
                </w:p>
              </w:tc>
              <w:tc>
                <w:tcPr>
                  <w:tcW w:w="486"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200</w:t>
                  </w:r>
                  <w:r>
                    <w:rPr>
                      <w:rFonts w:hint="eastAsia"/>
                      <w:color w:val="auto"/>
                      <w:szCs w:val="21"/>
                    </w:rPr>
                    <w:t>户</w:t>
                  </w:r>
                  <w:r>
                    <w:rPr>
                      <w:rFonts w:hint="eastAsia"/>
                      <w:color w:val="auto"/>
                      <w:szCs w:val="21"/>
                      <w:lang w:val="en-US" w:eastAsia="zh-CN"/>
                    </w:rPr>
                    <w:t>/600人</w:t>
                  </w:r>
                </w:p>
              </w:tc>
              <w:tc>
                <w:tcPr>
                  <w:tcW w:w="369"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西</w:t>
                  </w:r>
                </w:p>
              </w:tc>
              <w:tc>
                <w:tcPr>
                  <w:tcW w:w="398"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240</w:t>
                  </w:r>
                </w:p>
              </w:tc>
            </w:tr>
          </w:tbl>
          <w:p>
            <w:pPr>
              <w:spacing w:line="360" w:lineRule="auto"/>
              <w:ind w:firstLine="482" w:firstLineChars="200"/>
              <w:jc w:val="left"/>
              <w:rPr>
                <w:rFonts w:hint="default"/>
                <w:b/>
                <w:color w:val="auto"/>
                <w:sz w:val="24"/>
                <w:lang w:val="en-US" w:eastAsia="zh-CN"/>
              </w:rPr>
            </w:pPr>
            <w:r>
              <w:rPr>
                <w:rFonts w:hint="eastAsia"/>
                <w:b/>
                <w:color w:val="auto"/>
                <w:sz w:val="24"/>
                <w:lang w:val="en-US" w:eastAsia="zh-CN"/>
              </w:rPr>
              <w:t>注：机加工车间距离最近敏感点</w:t>
            </w:r>
            <w:bookmarkStart w:id="20" w:name="OLE_LINK26"/>
            <w:r>
              <w:rPr>
                <w:rFonts w:hint="eastAsia"/>
                <w:b/>
                <w:color w:val="auto"/>
                <w:sz w:val="24"/>
                <w:lang w:val="en-US" w:eastAsia="zh-CN"/>
              </w:rPr>
              <w:t>（</w:t>
            </w:r>
            <w:bookmarkEnd w:id="20"/>
            <w:r>
              <w:rPr>
                <w:rFonts w:hint="eastAsia"/>
                <w:b/>
                <w:color w:val="auto"/>
                <w:sz w:val="24"/>
                <w:lang w:val="en-US" w:eastAsia="zh-CN"/>
              </w:rPr>
              <w:t>下原居委28组）约62m，喷漆房距离最近敏感点（下原居委28组）约105m，焊接车间距离最近敏感点（下原居委28组）约91m</w:t>
            </w:r>
          </w:p>
          <w:p>
            <w:pPr>
              <w:spacing w:line="360" w:lineRule="auto"/>
              <w:ind w:firstLine="482" w:firstLineChars="200"/>
              <w:jc w:val="left"/>
              <w:rPr>
                <w:b/>
                <w:color w:val="auto"/>
                <w:sz w:val="24"/>
              </w:rPr>
            </w:pPr>
            <w:r>
              <w:rPr>
                <w:rFonts w:hint="eastAsia"/>
                <w:b/>
                <w:color w:val="auto"/>
                <w:sz w:val="24"/>
                <w:lang w:val="en-US" w:eastAsia="zh-CN"/>
              </w:rPr>
              <w:t>2</w:t>
            </w:r>
            <w:r>
              <w:rPr>
                <w:b/>
                <w:color w:val="auto"/>
                <w:sz w:val="24"/>
              </w:rPr>
              <w:t>、声环境</w:t>
            </w:r>
          </w:p>
          <w:p>
            <w:pPr>
              <w:spacing w:line="360" w:lineRule="auto"/>
              <w:ind w:firstLine="480" w:firstLineChars="200"/>
              <w:rPr>
                <w:bCs/>
                <w:color w:val="auto"/>
                <w:sz w:val="24"/>
              </w:rPr>
            </w:pPr>
            <w:r>
              <w:rPr>
                <w:rFonts w:hint="eastAsia"/>
                <w:color w:val="auto"/>
                <w:sz w:val="24"/>
              </w:rPr>
              <w:t>项目周边50m声环境敏感目标见表3-5。</w:t>
            </w:r>
          </w:p>
          <w:p>
            <w:pPr>
              <w:jc w:val="center"/>
              <w:rPr>
                <w:rFonts w:hint="eastAsia" w:hAnsi="宋体"/>
                <w:b/>
                <w:color w:val="auto"/>
                <w:szCs w:val="21"/>
              </w:rPr>
            </w:pPr>
            <w:r>
              <w:rPr>
                <w:rFonts w:hint="eastAsia" w:hAnsi="宋体"/>
                <w:b/>
                <w:color w:val="auto"/>
                <w:szCs w:val="21"/>
              </w:rPr>
              <w:t>表3-5 声环境保护目标一览表</w:t>
            </w:r>
          </w:p>
          <w:tbl>
            <w:tblPr>
              <w:tblStyle w:val="2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486"/>
              <w:gridCol w:w="1352"/>
              <w:gridCol w:w="601"/>
              <w:gridCol w:w="426"/>
              <w:gridCol w:w="2088"/>
              <w:gridCol w:w="426"/>
              <w:gridCol w:w="841"/>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8" w:type="pct"/>
                  <w:vMerge w:val="restart"/>
                  <w:tcBorders>
                    <w:tl2br w:val="nil"/>
                    <w:tr2bl w:val="nil"/>
                  </w:tcBorders>
                  <w:vAlign w:val="center"/>
                </w:tcPr>
                <w:p>
                  <w:pPr>
                    <w:spacing w:line="320" w:lineRule="exact"/>
                    <w:jc w:val="center"/>
                    <w:rPr>
                      <w:color w:val="auto"/>
                      <w:szCs w:val="21"/>
                    </w:rPr>
                  </w:pPr>
                  <w:r>
                    <w:rPr>
                      <w:color w:val="auto"/>
                      <w:szCs w:val="21"/>
                    </w:rPr>
                    <w:t>名称</w:t>
                  </w:r>
                </w:p>
              </w:tc>
              <w:tc>
                <w:tcPr>
                  <w:tcW w:w="1416" w:type="pct"/>
                  <w:gridSpan w:val="2"/>
                  <w:tcBorders>
                    <w:tl2br w:val="nil"/>
                    <w:tr2bl w:val="nil"/>
                  </w:tcBorders>
                  <w:vAlign w:val="center"/>
                </w:tcPr>
                <w:p>
                  <w:pPr>
                    <w:spacing w:line="320" w:lineRule="exact"/>
                    <w:jc w:val="center"/>
                    <w:rPr>
                      <w:color w:val="auto"/>
                      <w:szCs w:val="21"/>
                    </w:rPr>
                  </w:pPr>
                  <w:r>
                    <w:rPr>
                      <w:color w:val="auto"/>
                      <w:szCs w:val="21"/>
                    </w:rPr>
                    <w:t>名称</w:t>
                  </w:r>
                </w:p>
              </w:tc>
              <w:tc>
                <w:tcPr>
                  <w:tcW w:w="538" w:type="pct"/>
                  <w:vMerge w:val="restart"/>
                  <w:tcBorders>
                    <w:tl2br w:val="nil"/>
                    <w:tr2bl w:val="nil"/>
                  </w:tcBorders>
                  <w:vAlign w:val="center"/>
                </w:tcPr>
                <w:p>
                  <w:pPr>
                    <w:spacing w:line="320" w:lineRule="exact"/>
                    <w:jc w:val="center"/>
                    <w:rPr>
                      <w:color w:val="auto"/>
                      <w:szCs w:val="21"/>
                    </w:rPr>
                  </w:pPr>
                  <w:r>
                    <w:rPr>
                      <w:color w:val="auto"/>
                      <w:szCs w:val="21"/>
                    </w:rPr>
                    <w:t>保护对象</w:t>
                  </w:r>
                  <w:r>
                    <w:rPr>
                      <w:rFonts w:hint="eastAsia"/>
                      <w:color w:val="auto"/>
                      <w:szCs w:val="21"/>
                    </w:rPr>
                    <w:t>/人口数</w:t>
                  </w:r>
                </w:p>
              </w:tc>
              <w:tc>
                <w:tcPr>
                  <w:tcW w:w="270" w:type="pct"/>
                  <w:vMerge w:val="restart"/>
                  <w:tcBorders>
                    <w:tl2br w:val="nil"/>
                    <w:tr2bl w:val="nil"/>
                  </w:tcBorders>
                  <w:vAlign w:val="center"/>
                </w:tcPr>
                <w:p>
                  <w:pPr>
                    <w:spacing w:line="320" w:lineRule="exact"/>
                    <w:jc w:val="center"/>
                    <w:rPr>
                      <w:color w:val="auto"/>
                      <w:szCs w:val="21"/>
                    </w:rPr>
                  </w:pPr>
                  <w:r>
                    <w:rPr>
                      <w:color w:val="auto"/>
                      <w:szCs w:val="21"/>
                    </w:rPr>
                    <w:t>保护内容</w:t>
                  </w:r>
                </w:p>
              </w:tc>
              <w:tc>
                <w:tcPr>
                  <w:tcW w:w="1124" w:type="pct"/>
                  <w:vMerge w:val="restart"/>
                  <w:tcBorders>
                    <w:tl2br w:val="nil"/>
                    <w:tr2bl w:val="nil"/>
                  </w:tcBorders>
                  <w:vAlign w:val="center"/>
                </w:tcPr>
                <w:p>
                  <w:pPr>
                    <w:spacing w:line="320" w:lineRule="exact"/>
                    <w:jc w:val="center"/>
                    <w:rPr>
                      <w:color w:val="auto"/>
                      <w:szCs w:val="21"/>
                    </w:rPr>
                  </w:pPr>
                  <w:r>
                    <w:rPr>
                      <w:color w:val="auto"/>
                      <w:szCs w:val="21"/>
                    </w:rPr>
                    <w:t>环境功能区</w:t>
                  </w:r>
                </w:p>
              </w:tc>
              <w:tc>
                <w:tcPr>
                  <w:tcW w:w="282" w:type="pct"/>
                  <w:vMerge w:val="restart"/>
                  <w:tcBorders>
                    <w:tl2br w:val="nil"/>
                    <w:tr2bl w:val="nil"/>
                  </w:tcBorders>
                  <w:vAlign w:val="center"/>
                </w:tcPr>
                <w:p>
                  <w:pPr>
                    <w:spacing w:line="320" w:lineRule="exact"/>
                    <w:jc w:val="center"/>
                    <w:rPr>
                      <w:color w:val="auto"/>
                      <w:szCs w:val="21"/>
                    </w:rPr>
                  </w:pPr>
                  <w:r>
                    <w:rPr>
                      <w:color w:val="auto"/>
                      <w:szCs w:val="21"/>
                    </w:rPr>
                    <w:t>相对厂址方向</w:t>
                  </w:r>
                </w:p>
              </w:tc>
              <w:tc>
                <w:tcPr>
                  <w:tcW w:w="489" w:type="pct"/>
                  <w:vMerge w:val="restart"/>
                  <w:tcBorders>
                    <w:tl2br w:val="nil"/>
                    <w:tr2bl w:val="nil"/>
                  </w:tcBorders>
                  <w:vAlign w:val="center"/>
                </w:tcPr>
                <w:p>
                  <w:pPr>
                    <w:spacing w:line="320" w:lineRule="exact"/>
                    <w:jc w:val="center"/>
                    <w:rPr>
                      <w:color w:val="auto"/>
                      <w:szCs w:val="21"/>
                    </w:rPr>
                  </w:pPr>
                  <w:r>
                    <w:rPr>
                      <w:color w:val="auto"/>
                      <w:szCs w:val="21"/>
                    </w:rPr>
                    <w:t>相对厂界距离</w:t>
                  </w:r>
                  <w:r>
                    <w:rPr>
                      <w:rFonts w:hint="eastAsia"/>
                      <w:color w:val="auto"/>
                      <w:szCs w:val="21"/>
                    </w:rPr>
                    <w:t>（m）</w:t>
                  </w:r>
                </w:p>
              </w:tc>
              <w:tc>
                <w:tcPr>
                  <w:tcW w:w="379" w:type="pct"/>
                  <w:vMerge w:val="restart"/>
                  <w:tcBorders>
                    <w:tl2br w:val="nil"/>
                    <w:tr2bl w:val="nil"/>
                  </w:tcBorders>
                  <w:vAlign w:val="center"/>
                </w:tcPr>
                <w:p>
                  <w:pPr>
                    <w:spacing w:line="320" w:lineRule="exact"/>
                    <w:jc w:val="center"/>
                    <w:rPr>
                      <w:color w:val="auto"/>
                      <w:szCs w:val="21"/>
                    </w:rPr>
                  </w:pPr>
                  <w:r>
                    <w:rPr>
                      <w:rFonts w:hint="eastAsia"/>
                      <w:color w:val="auto"/>
                      <w:szCs w:val="21"/>
                      <w:lang w:val="en-US" w:eastAsia="zh-CN"/>
                    </w:rPr>
                    <w:t>居民楼层数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8" w:type="pct"/>
                  <w:vMerge w:val="continue"/>
                  <w:tcBorders>
                    <w:tl2br w:val="nil"/>
                    <w:tr2bl w:val="nil"/>
                  </w:tcBorders>
                  <w:vAlign w:val="center"/>
                </w:tcPr>
                <w:p>
                  <w:pPr>
                    <w:spacing w:line="320" w:lineRule="exact"/>
                    <w:jc w:val="center"/>
                    <w:rPr>
                      <w:color w:val="auto"/>
                      <w:szCs w:val="21"/>
                    </w:rPr>
                  </w:pPr>
                </w:p>
              </w:tc>
              <w:tc>
                <w:tcPr>
                  <w:tcW w:w="742" w:type="pct"/>
                  <w:tcBorders>
                    <w:tl2br w:val="nil"/>
                    <w:tr2bl w:val="nil"/>
                  </w:tcBorders>
                  <w:vAlign w:val="center"/>
                </w:tcPr>
                <w:p>
                  <w:pPr>
                    <w:spacing w:line="320" w:lineRule="exact"/>
                    <w:jc w:val="center"/>
                    <w:rPr>
                      <w:color w:val="auto"/>
                      <w:szCs w:val="21"/>
                    </w:rPr>
                  </w:pPr>
                  <w:r>
                    <w:rPr>
                      <w:rFonts w:hint="eastAsia"/>
                      <w:color w:val="auto"/>
                      <w:szCs w:val="21"/>
                    </w:rPr>
                    <w:t>东经</w:t>
                  </w:r>
                </w:p>
              </w:tc>
              <w:tc>
                <w:tcPr>
                  <w:tcW w:w="673" w:type="pct"/>
                  <w:tcBorders>
                    <w:tl2br w:val="nil"/>
                    <w:tr2bl w:val="nil"/>
                  </w:tcBorders>
                  <w:vAlign w:val="center"/>
                </w:tcPr>
                <w:p>
                  <w:pPr>
                    <w:spacing w:line="320" w:lineRule="exact"/>
                    <w:jc w:val="center"/>
                    <w:rPr>
                      <w:color w:val="auto"/>
                      <w:szCs w:val="21"/>
                    </w:rPr>
                  </w:pPr>
                  <w:r>
                    <w:rPr>
                      <w:rFonts w:hint="eastAsia"/>
                      <w:color w:val="auto"/>
                      <w:szCs w:val="21"/>
                    </w:rPr>
                    <w:t>北纬</w:t>
                  </w:r>
                </w:p>
              </w:tc>
              <w:tc>
                <w:tcPr>
                  <w:tcW w:w="538" w:type="pct"/>
                  <w:vMerge w:val="continue"/>
                  <w:tcBorders>
                    <w:tl2br w:val="nil"/>
                    <w:tr2bl w:val="nil"/>
                  </w:tcBorders>
                  <w:vAlign w:val="center"/>
                </w:tcPr>
                <w:p>
                  <w:pPr>
                    <w:spacing w:line="320" w:lineRule="exact"/>
                    <w:jc w:val="center"/>
                    <w:rPr>
                      <w:color w:val="auto"/>
                      <w:szCs w:val="21"/>
                    </w:rPr>
                  </w:pPr>
                </w:p>
              </w:tc>
              <w:tc>
                <w:tcPr>
                  <w:tcW w:w="270" w:type="pct"/>
                  <w:vMerge w:val="continue"/>
                  <w:tcBorders>
                    <w:tl2br w:val="nil"/>
                    <w:tr2bl w:val="nil"/>
                  </w:tcBorders>
                  <w:vAlign w:val="center"/>
                </w:tcPr>
                <w:p>
                  <w:pPr>
                    <w:spacing w:line="320" w:lineRule="exact"/>
                    <w:jc w:val="center"/>
                    <w:rPr>
                      <w:color w:val="auto"/>
                      <w:szCs w:val="21"/>
                    </w:rPr>
                  </w:pPr>
                </w:p>
              </w:tc>
              <w:tc>
                <w:tcPr>
                  <w:tcW w:w="1124" w:type="pct"/>
                  <w:vMerge w:val="continue"/>
                  <w:tcBorders>
                    <w:tl2br w:val="nil"/>
                    <w:tr2bl w:val="nil"/>
                  </w:tcBorders>
                  <w:vAlign w:val="center"/>
                </w:tcPr>
                <w:p>
                  <w:pPr>
                    <w:spacing w:line="320" w:lineRule="exact"/>
                    <w:jc w:val="center"/>
                    <w:rPr>
                      <w:color w:val="auto"/>
                      <w:szCs w:val="21"/>
                    </w:rPr>
                  </w:pPr>
                </w:p>
              </w:tc>
              <w:tc>
                <w:tcPr>
                  <w:tcW w:w="282" w:type="pct"/>
                  <w:vMerge w:val="continue"/>
                  <w:tcBorders>
                    <w:tl2br w:val="nil"/>
                    <w:tr2bl w:val="nil"/>
                  </w:tcBorders>
                  <w:vAlign w:val="center"/>
                </w:tcPr>
                <w:p>
                  <w:pPr>
                    <w:spacing w:line="320" w:lineRule="exact"/>
                    <w:jc w:val="center"/>
                    <w:rPr>
                      <w:color w:val="auto"/>
                      <w:szCs w:val="21"/>
                    </w:rPr>
                  </w:pPr>
                </w:p>
              </w:tc>
              <w:tc>
                <w:tcPr>
                  <w:tcW w:w="489" w:type="pct"/>
                  <w:vMerge w:val="continue"/>
                  <w:tcBorders>
                    <w:tl2br w:val="nil"/>
                    <w:tr2bl w:val="nil"/>
                  </w:tcBorders>
                  <w:vAlign w:val="center"/>
                </w:tcPr>
                <w:p>
                  <w:pPr>
                    <w:spacing w:line="320" w:lineRule="exact"/>
                    <w:jc w:val="center"/>
                    <w:rPr>
                      <w:color w:val="auto"/>
                      <w:szCs w:val="21"/>
                    </w:rPr>
                  </w:pPr>
                </w:p>
              </w:tc>
              <w:tc>
                <w:tcPr>
                  <w:tcW w:w="379" w:type="pct"/>
                  <w:vMerge w:val="continue"/>
                  <w:tcBorders>
                    <w:tl2br w:val="nil"/>
                    <w:tr2bl w:val="nil"/>
                  </w:tcBorders>
                  <w:vAlign w:val="center"/>
                </w:tcPr>
                <w:p>
                  <w:pPr>
                    <w:spacing w:line="320" w:lineRule="exact"/>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98" w:type="pct"/>
                  <w:tcBorders>
                    <w:tl2br w:val="nil"/>
                    <w:tr2bl w:val="nil"/>
                  </w:tcBorders>
                  <w:vAlign w:val="center"/>
                </w:tcPr>
                <w:p>
                  <w:pPr>
                    <w:spacing w:line="320" w:lineRule="exact"/>
                    <w:jc w:val="center"/>
                    <w:rPr>
                      <w:color w:val="auto"/>
                      <w:szCs w:val="21"/>
                    </w:rPr>
                  </w:pPr>
                  <w:r>
                    <w:rPr>
                      <w:rFonts w:hint="eastAsia" w:ascii="Times New Roman" w:hAnsi="Times New Roman" w:eastAsia="宋体" w:cs="Times New Roman"/>
                      <w:color w:val="auto"/>
                      <w:szCs w:val="21"/>
                      <w:lang w:val="en-US" w:eastAsia="zh-CN"/>
                    </w:rPr>
                    <w:t>下原居委28组</w:t>
                  </w:r>
                </w:p>
              </w:tc>
              <w:tc>
                <w:tcPr>
                  <w:tcW w:w="742"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 xml:space="preserve">120.641215 </w:t>
                  </w:r>
                </w:p>
              </w:tc>
              <w:tc>
                <w:tcPr>
                  <w:tcW w:w="673"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 xml:space="preserve">32.226116 </w:t>
                  </w:r>
                </w:p>
              </w:tc>
              <w:tc>
                <w:tcPr>
                  <w:tcW w:w="538" w:type="pct"/>
                  <w:tcBorders>
                    <w:tl2br w:val="nil"/>
                    <w:tr2bl w:val="nil"/>
                  </w:tcBorders>
                  <w:vAlign w:val="center"/>
                </w:tcPr>
                <w:p>
                  <w:pPr>
                    <w:tabs>
                      <w:tab w:val="left" w:pos="1021"/>
                    </w:tabs>
                    <w:spacing w:before="100" w:beforeAutospacing="1" w:after="100" w:afterAutospacing="1" w:line="320" w:lineRule="exact"/>
                    <w:jc w:val="center"/>
                    <w:rPr>
                      <w:color w:val="auto"/>
                      <w:szCs w:val="21"/>
                    </w:rPr>
                  </w:pPr>
                  <w:r>
                    <w:rPr>
                      <w:rFonts w:hint="eastAsia"/>
                      <w:color w:val="auto"/>
                      <w:szCs w:val="21"/>
                    </w:rPr>
                    <w:t>人群/</w:t>
                  </w:r>
                  <w:r>
                    <w:rPr>
                      <w:rFonts w:hint="eastAsia"/>
                      <w:color w:val="auto"/>
                      <w:szCs w:val="21"/>
                      <w:lang w:val="en-US" w:eastAsia="zh-CN"/>
                    </w:rPr>
                    <w:t>3</w:t>
                  </w:r>
                  <w:r>
                    <w:rPr>
                      <w:rFonts w:hint="eastAsia"/>
                      <w:color w:val="auto"/>
                      <w:szCs w:val="21"/>
                    </w:rPr>
                    <w:t>户</w:t>
                  </w:r>
                </w:p>
              </w:tc>
              <w:tc>
                <w:tcPr>
                  <w:tcW w:w="270" w:type="pct"/>
                  <w:tcBorders>
                    <w:tl2br w:val="nil"/>
                    <w:tr2bl w:val="nil"/>
                  </w:tcBorders>
                  <w:vAlign w:val="center"/>
                </w:tcPr>
                <w:p>
                  <w:pPr>
                    <w:spacing w:line="320" w:lineRule="exact"/>
                    <w:jc w:val="center"/>
                    <w:rPr>
                      <w:color w:val="auto"/>
                      <w:szCs w:val="21"/>
                    </w:rPr>
                  </w:pPr>
                  <w:r>
                    <w:rPr>
                      <w:rFonts w:hint="eastAsia"/>
                      <w:color w:val="auto"/>
                      <w:szCs w:val="21"/>
                    </w:rPr>
                    <w:t>声环境</w:t>
                  </w:r>
                </w:p>
              </w:tc>
              <w:tc>
                <w:tcPr>
                  <w:tcW w:w="1124" w:type="pct"/>
                  <w:tcBorders>
                    <w:tl2br w:val="nil"/>
                    <w:tr2bl w:val="nil"/>
                  </w:tcBorders>
                  <w:vAlign w:val="center"/>
                </w:tcPr>
                <w:p>
                  <w:pPr>
                    <w:spacing w:line="320" w:lineRule="exact"/>
                    <w:jc w:val="center"/>
                    <w:rPr>
                      <w:color w:val="auto"/>
                      <w:szCs w:val="21"/>
                    </w:rPr>
                  </w:pPr>
                  <w:r>
                    <w:rPr>
                      <w:rFonts w:hint="eastAsia"/>
                      <w:color w:val="auto"/>
                      <w:szCs w:val="21"/>
                    </w:rPr>
                    <w:t>《声环境质量标准》（GB3096-2008）</w:t>
                  </w:r>
                  <w:r>
                    <w:rPr>
                      <w:rFonts w:hint="eastAsia"/>
                      <w:color w:val="auto"/>
                      <w:szCs w:val="21"/>
                      <w:lang w:val="en-US" w:eastAsia="zh-CN"/>
                    </w:rPr>
                    <w:t>2</w:t>
                  </w:r>
                  <w:r>
                    <w:rPr>
                      <w:rFonts w:hint="eastAsia"/>
                      <w:color w:val="auto"/>
                      <w:szCs w:val="21"/>
                    </w:rPr>
                    <w:t>类</w:t>
                  </w:r>
                </w:p>
              </w:tc>
              <w:tc>
                <w:tcPr>
                  <w:tcW w:w="282" w:type="pct"/>
                  <w:tcBorders>
                    <w:tl2br w:val="nil"/>
                    <w:tr2bl w:val="nil"/>
                  </w:tcBorders>
                  <w:vAlign w:val="center"/>
                </w:tcPr>
                <w:p>
                  <w:pPr>
                    <w:spacing w:line="320" w:lineRule="exact"/>
                    <w:jc w:val="center"/>
                    <w:rPr>
                      <w:rFonts w:hint="default" w:eastAsia="宋体"/>
                      <w:color w:val="auto"/>
                      <w:szCs w:val="21"/>
                      <w:lang w:val="en-US" w:eastAsia="zh-CN"/>
                    </w:rPr>
                  </w:pPr>
                  <w:r>
                    <w:rPr>
                      <w:rFonts w:hint="eastAsia"/>
                      <w:color w:val="auto"/>
                      <w:szCs w:val="21"/>
                      <w:lang w:val="en-US" w:eastAsia="zh-CN"/>
                    </w:rPr>
                    <w:t>南</w:t>
                  </w:r>
                </w:p>
              </w:tc>
              <w:tc>
                <w:tcPr>
                  <w:tcW w:w="489" w:type="pct"/>
                  <w:tcBorders>
                    <w:tl2br w:val="nil"/>
                    <w:tr2bl w:val="nil"/>
                  </w:tcBorders>
                  <w:vAlign w:val="center"/>
                </w:tcPr>
                <w:p>
                  <w:pPr>
                    <w:spacing w:line="320" w:lineRule="exact"/>
                    <w:jc w:val="center"/>
                    <w:rPr>
                      <w:rFonts w:hint="default"/>
                      <w:color w:val="auto"/>
                      <w:szCs w:val="21"/>
                      <w:lang w:val="en-US"/>
                    </w:rPr>
                  </w:pPr>
                  <w:r>
                    <w:rPr>
                      <w:rFonts w:hint="eastAsia"/>
                      <w:color w:val="auto"/>
                      <w:szCs w:val="21"/>
                      <w:lang w:val="en-US" w:eastAsia="zh-CN"/>
                    </w:rPr>
                    <w:t>20</w:t>
                  </w:r>
                </w:p>
              </w:tc>
              <w:tc>
                <w:tcPr>
                  <w:tcW w:w="379" w:type="pct"/>
                  <w:tcBorders>
                    <w:tl2br w:val="nil"/>
                    <w:tr2bl w:val="nil"/>
                  </w:tcBorders>
                  <w:vAlign w:val="center"/>
                </w:tcPr>
                <w:p>
                  <w:pPr>
                    <w:spacing w:line="320" w:lineRule="exact"/>
                    <w:jc w:val="center"/>
                    <w:rPr>
                      <w:rFonts w:hint="default" w:eastAsia="宋体"/>
                      <w:color w:val="auto"/>
                      <w:szCs w:val="21"/>
                      <w:lang w:val="en-US" w:eastAsia="zh-CN"/>
                    </w:rPr>
                  </w:pPr>
                  <w:r>
                    <w:rPr>
                      <w:rFonts w:hint="eastAsia"/>
                      <w:color w:val="auto"/>
                      <w:szCs w:val="21"/>
                      <w:lang w:val="en-US" w:eastAsia="zh-CN"/>
                    </w:rPr>
                    <w:t>＜三层</w:t>
                  </w:r>
                </w:p>
              </w:tc>
            </w:tr>
          </w:tbl>
          <w:p>
            <w:pPr>
              <w:spacing w:line="360" w:lineRule="auto"/>
              <w:ind w:firstLine="482" w:firstLineChars="200"/>
              <w:jc w:val="left"/>
              <w:rPr>
                <w:b/>
                <w:color w:val="auto"/>
                <w:sz w:val="24"/>
              </w:rPr>
            </w:pPr>
            <w:r>
              <w:rPr>
                <w:rFonts w:hint="eastAsia"/>
                <w:b/>
                <w:color w:val="auto"/>
                <w:sz w:val="24"/>
              </w:rPr>
              <w:t>4</w:t>
            </w:r>
            <w:r>
              <w:rPr>
                <w:b/>
                <w:color w:val="auto"/>
                <w:sz w:val="24"/>
              </w:rPr>
              <w:t>、地下水环境</w:t>
            </w:r>
          </w:p>
          <w:p>
            <w:pPr>
              <w:spacing w:line="360" w:lineRule="auto"/>
              <w:ind w:firstLine="480" w:firstLineChars="200"/>
              <w:jc w:val="left"/>
              <w:rPr>
                <w:bCs/>
                <w:color w:val="auto"/>
                <w:sz w:val="24"/>
              </w:rPr>
            </w:pPr>
            <w:r>
              <w:rPr>
                <w:bCs/>
                <w:color w:val="auto"/>
                <w:sz w:val="24"/>
              </w:rPr>
              <w:t>本项目厂界外500m范围内无地下水集中式饮用水水源和热水、矿泉水、温泉等特殊地下水资源。</w:t>
            </w:r>
          </w:p>
          <w:p>
            <w:pPr>
              <w:spacing w:line="360" w:lineRule="auto"/>
              <w:ind w:firstLine="482" w:firstLineChars="200"/>
              <w:jc w:val="left"/>
              <w:rPr>
                <w:b/>
                <w:color w:val="auto"/>
                <w:sz w:val="24"/>
              </w:rPr>
            </w:pPr>
            <w:r>
              <w:rPr>
                <w:rFonts w:hint="eastAsia"/>
                <w:b/>
                <w:color w:val="auto"/>
                <w:sz w:val="24"/>
              </w:rPr>
              <w:t>5</w:t>
            </w:r>
            <w:r>
              <w:rPr>
                <w:b/>
                <w:color w:val="auto"/>
                <w:sz w:val="24"/>
              </w:rPr>
              <w:t>、生态环境</w:t>
            </w:r>
          </w:p>
          <w:p>
            <w:pPr>
              <w:adjustRightInd w:val="0"/>
              <w:snapToGrid w:val="0"/>
              <w:spacing w:line="360" w:lineRule="auto"/>
              <w:ind w:firstLine="480" w:firstLineChars="200"/>
              <w:rPr>
                <w:bCs/>
                <w:color w:val="auto"/>
                <w:sz w:val="24"/>
              </w:rPr>
            </w:pPr>
            <w:r>
              <w:rPr>
                <w:rFonts w:hint="default"/>
                <w:bCs/>
                <w:color w:val="auto"/>
                <w:sz w:val="24"/>
              </w:rPr>
              <w:t>本项目最近的生态空间管控区域为项目</w:t>
            </w:r>
            <w:r>
              <w:rPr>
                <w:rFonts w:hint="eastAsia"/>
                <w:bCs/>
                <w:color w:val="auto"/>
                <w:sz w:val="24"/>
                <w:lang w:val="en-US" w:eastAsia="zh-CN"/>
              </w:rPr>
              <w:t>西</w:t>
            </w:r>
            <w:r>
              <w:rPr>
                <w:rFonts w:hint="default"/>
                <w:bCs/>
                <w:color w:val="auto"/>
                <w:sz w:val="24"/>
              </w:rPr>
              <w:t>侧的</w:t>
            </w:r>
            <w:r>
              <w:rPr>
                <w:rFonts w:hint="eastAsia"/>
                <w:bCs/>
                <w:color w:val="auto"/>
                <w:sz w:val="24"/>
                <w:lang w:val="en-US" w:eastAsia="zh-CN"/>
              </w:rPr>
              <w:t>如海运河（如皋市）清水通道维护区</w:t>
            </w:r>
            <w:r>
              <w:rPr>
                <w:rFonts w:hint="default"/>
                <w:bCs/>
                <w:color w:val="auto"/>
                <w:sz w:val="24"/>
              </w:rPr>
              <w:t>，本项目距</w:t>
            </w:r>
            <w:r>
              <w:rPr>
                <w:rFonts w:hint="eastAsia"/>
                <w:bCs/>
                <w:color w:val="auto"/>
                <w:sz w:val="24"/>
                <w:lang w:val="en-US" w:eastAsia="zh-CN"/>
              </w:rPr>
              <w:t>如海运河（如皋市）清水通道维护区2700m</w:t>
            </w:r>
            <w:r>
              <w:rPr>
                <w:rFonts w:hint="eastAsia"/>
                <w:bCs/>
                <w:color w:val="auto"/>
                <w:sz w:val="24"/>
                <w:lang w:eastAsia="zh-CN"/>
              </w:rPr>
              <w:t>，</w:t>
            </w:r>
            <w:r>
              <w:rPr>
                <w:rFonts w:ascii="Times New Roman" w:hAnsi="Times New Roman"/>
                <w:color w:val="auto"/>
                <w:sz w:val="24"/>
              </w:rPr>
              <w:t>与本项目最近的</w:t>
            </w:r>
            <w:r>
              <w:rPr>
                <w:rFonts w:hint="default" w:ascii="Times New Roman" w:hAnsi="Times New Roman"/>
                <w:color w:val="auto"/>
                <w:sz w:val="24"/>
                <w:lang w:val="en-US" w:eastAsia="zh-CN"/>
              </w:rPr>
              <w:t>生态保护红线</w:t>
            </w:r>
            <w:r>
              <w:rPr>
                <w:rFonts w:hint="eastAsia" w:ascii="Times New Roman" w:hAnsi="Times New Roman"/>
                <w:color w:val="auto"/>
                <w:sz w:val="24"/>
                <w:lang w:val="en-US" w:eastAsia="zh-CN"/>
              </w:rPr>
              <w:t>为项目所在地南侧的</w:t>
            </w:r>
            <w:r>
              <w:rPr>
                <w:rFonts w:ascii="Times New Roman" w:hAnsi="Times New Roman"/>
                <w:color w:val="auto"/>
                <w:sz w:val="24"/>
              </w:rPr>
              <w:t>长江如皋段刀鲚国家级水产种质资源保护区</w:t>
            </w:r>
            <w:r>
              <w:rPr>
                <w:rFonts w:hint="eastAsia" w:ascii="Times New Roman" w:hAnsi="Times New Roman"/>
                <w:color w:val="auto"/>
                <w:sz w:val="24"/>
                <w:lang w:eastAsia="zh-CN"/>
              </w:rPr>
              <w:t>，</w:t>
            </w:r>
            <w:r>
              <w:rPr>
                <w:rFonts w:ascii="Times New Roman" w:hAnsi="Times New Roman"/>
                <w:color w:val="auto"/>
                <w:sz w:val="24"/>
              </w:rPr>
              <w:t>项目距离长江如皋段刀鲚国家级水产种质资源保护区</w:t>
            </w:r>
            <w:r>
              <w:rPr>
                <w:rFonts w:hint="eastAsia"/>
                <w:color w:val="auto"/>
                <w:sz w:val="24"/>
                <w:lang w:val="en-US" w:eastAsia="zh-CN"/>
              </w:rPr>
              <w:t>16.6k</w:t>
            </w:r>
            <w:r>
              <w:rPr>
                <w:rFonts w:hint="eastAsia" w:ascii="Times New Roman" w:hAnsi="Times New Roman"/>
                <w:color w:val="auto"/>
                <w:sz w:val="24"/>
                <w:lang w:val="en-US" w:eastAsia="zh-CN"/>
              </w:rPr>
              <w:t>m</w:t>
            </w:r>
            <w:r>
              <w:rPr>
                <w:rFonts w:hint="eastAsia"/>
                <w:color w:val="auto"/>
                <w:sz w:val="24"/>
                <w:lang w:val="en-US" w:eastAsia="zh-CN"/>
              </w:rPr>
              <w:t>，</w:t>
            </w:r>
            <w:r>
              <w:rPr>
                <w:rFonts w:hint="eastAsia"/>
                <w:bCs/>
                <w:color w:val="auto"/>
                <w:sz w:val="24"/>
                <w:lang w:val="en-US" w:eastAsia="zh-CN"/>
              </w:rPr>
              <w:t>因此本项目</w:t>
            </w:r>
            <w:r>
              <w:rPr>
                <w:rFonts w:hint="default"/>
                <w:bCs/>
                <w:color w:val="auto"/>
                <w:sz w:val="24"/>
                <w:lang w:val="en-US" w:eastAsia="zh-CN"/>
              </w:rPr>
              <w:t>所在地无受保护的生境和生物区系及水产资源。</w:t>
            </w:r>
          </w:p>
          <w:p>
            <w:pPr>
              <w:adjustRightInd w:val="0"/>
              <w:snapToGrid w:val="0"/>
              <w:spacing w:line="360" w:lineRule="auto"/>
              <w:ind w:firstLine="420" w:firstLineChars="200"/>
              <w:rPr>
                <w:color w:val="auto"/>
                <w:kern w:val="0"/>
                <w:szCs w:val="21"/>
              </w:rPr>
            </w:pPr>
          </w:p>
        </w:tc>
      </w:tr>
    </w:tbl>
    <w:p>
      <w:pPr>
        <w:pStyle w:val="16"/>
        <w:jc w:val="center"/>
        <w:outlineLvl w:val="0"/>
        <w:rPr>
          <w:rFonts w:hint="eastAsia" w:ascii="黑体" w:hAnsi="黑体" w:eastAsia="黑体"/>
          <w:snapToGrid w:val="0"/>
          <w:color w:val="auto"/>
          <w:sz w:val="36"/>
          <w:szCs w:val="36"/>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8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污染</w:t>
            </w: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物排</w:t>
            </w: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放控</w:t>
            </w: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制标</w:t>
            </w:r>
          </w:p>
          <w:p>
            <w:pPr>
              <w:adjustRightInd w:val="0"/>
              <w:snapToGrid w:val="0"/>
              <w:jc w:val="center"/>
              <w:rPr>
                <w:rFonts w:hint="eastAsia" w:ascii="Times New Roman" w:hAnsi="Times New Roman" w:eastAsia="宋体"/>
                <w:snapToGrid w:val="0"/>
                <w:color w:val="auto"/>
                <w:szCs w:val="21"/>
              </w:rPr>
            </w:pPr>
            <w:r>
              <w:rPr>
                <w:rFonts w:hint="eastAsia" w:ascii="Times New Roman" w:hAnsi="Times New Roman" w:eastAsia="宋体" w:cs="宋体"/>
                <w:color w:val="auto"/>
                <w:kern w:val="0"/>
                <w:szCs w:val="21"/>
              </w:rPr>
              <w:t>准</w:t>
            </w:r>
          </w:p>
        </w:tc>
        <w:tc>
          <w:tcPr>
            <w:tcW w:w="8411" w:type="dxa"/>
          </w:tcPr>
          <w:p>
            <w:pPr>
              <w:spacing w:line="360" w:lineRule="auto"/>
              <w:ind w:firstLine="482" w:firstLineChars="200"/>
              <w:rPr>
                <w:rFonts w:hint="eastAsia" w:ascii="Times New Roman" w:hAnsi="Times New Roman" w:eastAsia="宋体"/>
                <w:b/>
                <w:color w:val="auto"/>
                <w:sz w:val="24"/>
              </w:rPr>
            </w:pPr>
            <w:r>
              <w:rPr>
                <w:rFonts w:hint="eastAsia" w:ascii="Times New Roman" w:hAnsi="Times New Roman" w:eastAsia="宋体"/>
                <w:b/>
                <w:color w:val="auto"/>
                <w:sz w:val="24"/>
              </w:rPr>
              <w:t>1、大气</w:t>
            </w:r>
            <w:r>
              <w:rPr>
                <w:rFonts w:ascii="Times New Roman" w:hAnsi="Times New Roman" w:eastAsia="宋体"/>
                <w:b/>
                <w:color w:val="auto"/>
                <w:sz w:val="24"/>
              </w:rPr>
              <w:t>污染物排放标准</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val="en-US" w:eastAsia="zh-CN"/>
              </w:rPr>
              <w:t>本项目喷漆晾干过程中的非甲烷总烃、颗粒物、苯系物有组织排放限值执行《工业涂装工序大气污染物排放标准》（DB32/4439-2022）中表1标准，无组织排放限值执行</w:t>
            </w:r>
            <w:r>
              <w:rPr>
                <w:rFonts w:hint="eastAsia" w:ascii="Times New Roman" w:hAnsi="Times New Roman" w:eastAsia="宋体"/>
                <w:color w:val="auto"/>
                <w:sz w:val="24"/>
              </w:rPr>
              <w:t>《大气污染物综合排放标准》（DB32/4041-2021）</w:t>
            </w:r>
            <w:r>
              <w:rPr>
                <w:rFonts w:hint="eastAsia" w:ascii="Times New Roman" w:hAnsi="Times New Roman" w:eastAsia="宋体"/>
                <w:color w:val="auto"/>
                <w:sz w:val="24"/>
                <w:lang w:eastAsia="zh-CN"/>
              </w:rPr>
              <w:t>中相关标准</w:t>
            </w:r>
            <w:r>
              <w:rPr>
                <w:rFonts w:hint="eastAsia" w:ascii="Times New Roman" w:hAnsi="Times New Roman" w:eastAsia="宋体"/>
                <w:color w:val="auto"/>
                <w:sz w:val="24"/>
                <w:lang w:val="en-US" w:eastAsia="zh-CN"/>
              </w:rPr>
              <w:t>；喷涂中二甲苯排放限值执行</w:t>
            </w:r>
            <w:r>
              <w:rPr>
                <w:rFonts w:hint="eastAsia" w:ascii="Times New Roman" w:hAnsi="Times New Roman" w:eastAsia="宋体"/>
                <w:color w:val="auto"/>
                <w:sz w:val="24"/>
              </w:rPr>
              <w:t>《大气污染物综合排放标准》（DB32/4041-2021）</w:t>
            </w:r>
            <w:r>
              <w:rPr>
                <w:rFonts w:hint="eastAsia" w:ascii="Times New Roman" w:hAnsi="Times New Roman" w:eastAsia="宋体"/>
                <w:color w:val="auto"/>
                <w:sz w:val="24"/>
                <w:lang w:eastAsia="zh-CN"/>
              </w:rPr>
              <w:t>中表</w:t>
            </w:r>
            <w:r>
              <w:rPr>
                <w:rFonts w:hint="eastAsia" w:ascii="Times New Roman" w:hAnsi="Times New Roman" w:eastAsia="宋体"/>
                <w:color w:val="auto"/>
                <w:sz w:val="24"/>
                <w:lang w:val="en-US" w:eastAsia="zh-CN"/>
              </w:rPr>
              <w:t>1、3标准；厂区内非甲烷总烃无组织排放执行《工业涂装工序大气污染物排放标准》（DB32/4439-2022）表3标准，臭气浓度执行《恶臭污染物排放标准》（GB14554-93）标准</w:t>
            </w:r>
            <w:r>
              <w:rPr>
                <w:rFonts w:hint="eastAsia" w:ascii="Times New Roman" w:hAnsi="Times New Roman" w:eastAsia="宋体"/>
                <w:color w:val="auto"/>
                <w:sz w:val="24"/>
              </w:rPr>
              <w:t>。</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具体标准值如下。</w:t>
            </w:r>
          </w:p>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表</w:t>
            </w:r>
            <w:r>
              <w:rPr>
                <w:rFonts w:hint="eastAsia" w:ascii="Times New Roman" w:hAnsi="Times New Roman" w:eastAsia="宋体"/>
                <w:b/>
                <w:bCs/>
                <w:color w:val="auto"/>
                <w:szCs w:val="21"/>
              </w:rPr>
              <w:t>3</w:t>
            </w:r>
            <w:r>
              <w:rPr>
                <w:rFonts w:ascii="Times New Roman" w:hAnsi="Times New Roman" w:eastAsia="宋体"/>
                <w:b/>
                <w:bCs/>
                <w:color w:val="auto"/>
                <w:szCs w:val="21"/>
              </w:rPr>
              <w:t>-</w:t>
            </w:r>
            <w:r>
              <w:rPr>
                <w:rFonts w:hint="eastAsia"/>
                <w:b/>
                <w:bCs/>
                <w:color w:val="auto"/>
                <w:szCs w:val="21"/>
                <w:lang w:val="en-US" w:eastAsia="zh-CN"/>
              </w:rPr>
              <w:t>6</w:t>
            </w:r>
            <w:r>
              <w:rPr>
                <w:rFonts w:hint="eastAsia" w:ascii="Times New Roman" w:hAnsi="Times New Roman" w:eastAsia="宋体"/>
                <w:b/>
                <w:bCs/>
                <w:color w:val="auto"/>
                <w:szCs w:val="21"/>
              </w:rPr>
              <w:t xml:space="preserve"> </w:t>
            </w:r>
            <w:r>
              <w:rPr>
                <w:rFonts w:ascii="Times New Roman" w:hAnsi="Times New Roman" w:eastAsia="宋体"/>
                <w:b/>
                <w:bCs/>
                <w:color w:val="auto"/>
                <w:szCs w:val="21"/>
              </w:rPr>
              <w:t>大气污染物排放限值</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8"/>
              <w:gridCol w:w="1293"/>
              <w:gridCol w:w="1127"/>
              <w:gridCol w:w="355"/>
              <w:gridCol w:w="728"/>
              <w:gridCol w:w="1130"/>
              <w:gridCol w:w="2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65" w:type="pct"/>
                  <w:vMerge w:val="restart"/>
                  <w:tcBorders>
                    <w:tl2br w:val="nil"/>
                    <w:tr2bl w:val="nil"/>
                  </w:tcBorders>
                  <w:vAlign w:val="center"/>
                </w:tcPr>
                <w:p>
                  <w:pPr>
                    <w:pStyle w:val="33"/>
                    <w:rPr>
                      <w:rFonts w:ascii="Times New Roman" w:hAnsi="Times New Roman" w:eastAsia="宋体"/>
                      <w:b/>
                      <w:color w:val="auto"/>
                    </w:rPr>
                  </w:pPr>
                  <w:r>
                    <w:rPr>
                      <w:rFonts w:hint="eastAsia" w:ascii="Times New Roman" w:hAnsi="Times New Roman" w:eastAsia="宋体"/>
                      <w:b/>
                      <w:color w:val="auto"/>
                    </w:rPr>
                    <w:t>类别</w:t>
                  </w:r>
                </w:p>
              </w:tc>
              <w:tc>
                <w:tcPr>
                  <w:tcW w:w="804" w:type="pct"/>
                  <w:vMerge w:val="restart"/>
                  <w:tcBorders>
                    <w:tl2br w:val="nil"/>
                    <w:tr2bl w:val="nil"/>
                  </w:tcBorders>
                  <w:vAlign w:val="center"/>
                </w:tcPr>
                <w:p>
                  <w:pPr>
                    <w:pStyle w:val="33"/>
                    <w:rPr>
                      <w:rFonts w:ascii="Times New Roman" w:hAnsi="Times New Roman" w:eastAsia="宋体"/>
                      <w:b/>
                      <w:color w:val="auto"/>
                    </w:rPr>
                  </w:pPr>
                  <w:r>
                    <w:rPr>
                      <w:rFonts w:hint="eastAsia" w:ascii="Times New Roman" w:hAnsi="Times New Roman" w:eastAsia="宋体"/>
                      <w:b/>
                      <w:color w:val="auto"/>
                    </w:rPr>
                    <w:t>污染物名称</w:t>
                  </w:r>
                </w:p>
              </w:tc>
              <w:tc>
                <w:tcPr>
                  <w:tcW w:w="2111" w:type="pct"/>
                  <w:gridSpan w:val="4"/>
                  <w:tcBorders>
                    <w:tl2br w:val="nil"/>
                    <w:tr2bl w:val="nil"/>
                  </w:tcBorders>
                  <w:vAlign w:val="center"/>
                </w:tcPr>
                <w:p>
                  <w:pPr>
                    <w:pStyle w:val="33"/>
                    <w:rPr>
                      <w:rFonts w:ascii="Times New Roman" w:hAnsi="Times New Roman" w:eastAsia="宋体"/>
                      <w:b/>
                      <w:color w:val="auto"/>
                    </w:rPr>
                  </w:pPr>
                  <w:r>
                    <w:rPr>
                      <w:rFonts w:ascii="Times New Roman" w:hAnsi="Times New Roman" w:eastAsia="宋体"/>
                      <w:b/>
                      <w:color w:val="auto"/>
                      <w:spacing w:val="4"/>
                      <w:position w:val="-2"/>
                    </w:rPr>
                    <w:t>标准限值</w:t>
                  </w:r>
                </w:p>
              </w:tc>
              <w:tc>
                <w:tcPr>
                  <w:tcW w:w="1319" w:type="pct"/>
                  <w:vMerge w:val="restart"/>
                  <w:tcBorders>
                    <w:tl2br w:val="nil"/>
                    <w:tr2bl w:val="nil"/>
                  </w:tcBorders>
                  <w:vAlign w:val="center"/>
                </w:tcPr>
                <w:p>
                  <w:pPr>
                    <w:pStyle w:val="33"/>
                    <w:rPr>
                      <w:rFonts w:ascii="Times New Roman" w:hAnsi="Times New Roman" w:eastAsia="宋体"/>
                      <w:b/>
                      <w:color w:val="auto"/>
                    </w:rPr>
                  </w:pPr>
                  <w:r>
                    <w:rPr>
                      <w:rFonts w:ascii="Times New Roman" w:hAnsi="Times New Roman" w:eastAsia="宋体"/>
                      <w:b/>
                      <w:color w:val="auto"/>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65" w:type="pct"/>
                  <w:vMerge w:val="continue"/>
                  <w:tcBorders>
                    <w:tl2br w:val="nil"/>
                    <w:tr2bl w:val="nil"/>
                  </w:tcBorders>
                  <w:vAlign w:val="center"/>
                </w:tcPr>
                <w:p>
                  <w:pPr>
                    <w:pStyle w:val="33"/>
                    <w:rPr>
                      <w:rFonts w:ascii="Times New Roman" w:hAnsi="Times New Roman" w:eastAsia="宋体"/>
                      <w:b/>
                      <w:color w:val="auto"/>
                    </w:rPr>
                  </w:pPr>
                </w:p>
              </w:tc>
              <w:tc>
                <w:tcPr>
                  <w:tcW w:w="804" w:type="pct"/>
                  <w:vMerge w:val="continue"/>
                  <w:tcBorders>
                    <w:tl2br w:val="nil"/>
                    <w:tr2bl w:val="nil"/>
                  </w:tcBorders>
                  <w:vAlign w:val="center"/>
                </w:tcPr>
                <w:p>
                  <w:pPr>
                    <w:pStyle w:val="33"/>
                    <w:rPr>
                      <w:rFonts w:ascii="Times New Roman" w:hAnsi="Times New Roman" w:eastAsia="宋体"/>
                      <w:b/>
                      <w:color w:val="auto"/>
                    </w:rPr>
                  </w:pPr>
                </w:p>
              </w:tc>
              <w:tc>
                <w:tcPr>
                  <w:tcW w:w="942" w:type="pct"/>
                  <w:gridSpan w:val="2"/>
                  <w:tcBorders>
                    <w:tl2br w:val="nil"/>
                    <w:tr2bl w:val="nil"/>
                  </w:tcBorders>
                  <w:vAlign w:val="center"/>
                </w:tcPr>
                <w:p>
                  <w:pPr>
                    <w:pStyle w:val="33"/>
                    <w:rPr>
                      <w:rFonts w:ascii="Times New Roman" w:hAnsi="Times New Roman" w:eastAsia="宋体"/>
                      <w:b/>
                      <w:color w:val="auto"/>
                    </w:rPr>
                  </w:pPr>
                  <w:r>
                    <w:rPr>
                      <w:rFonts w:ascii="Times New Roman" w:hAnsi="Times New Roman" w:eastAsia="宋体"/>
                      <w:b/>
                      <w:color w:val="auto"/>
                    </w:rPr>
                    <w:t>最高允许排放浓度(mg/m</w:t>
                  </w:r>
                  <w:r>
                    <w:rPr>
                      <w:rFonts w:ascii="Times New Roman" w:hAnsi="Times New Roman" w:eastAsia="宋体"/>
                      <w:b/>
                      <w:color w:val="auto"/>
                      <w:vertAlign w:val="superscript"/>
                    </w:rPr>
                    <w:t>3</w:t>
                  </w:r>
                  <w:r>
                    <w:rPr>
                      <w:rFonts w:ascii="Times New Roman" w:hAnsi="Times New Roman" w:eastAsia="宋体"/>
                      <w:b/>
                      <w:color w:val="auto"/>
                    </w:rPr>
                    <w:t>)</w:t>
                  </w:r>
                </w:p>
              </w:tc>
              <w:tc>
                <w:tcPr>
                  <w:tcW w:w="1169" w:type="pct"/>
                  <w:gridSpan w:val="2"/>
                  <w:tcBorders>
                    <w:tl2br w:val="nil"/>
                    <w:tr2bl w:val="nil"/>
                  </w:tcBorders>
                  <w:vAlign w:val="center"/>
                </w:tcPr>
                <w:p>
                  <w:pPr>
                    <w:pStyle w:val="33"/>
                    <w:rPr>
                      <w:rFonts w:ascii="Times New Roman" w:hAnsi="Times New Roman" w:eastAsia="宋体"/>
                      <w:b/>
                      <w:color w:val="auto"/>
                    </w:rPr>
                  </w:pPr>
                  <w:r>
                    <w:rPr>
                      <w:rFonts w:ascii="Times New Roman" w:hAnsi="Times New Roman" w:eastAsia="宋体"/>
                      <w:b/>
                      <w:color w:val="auto"/>
                    </w:rPr>
                    <w:t>最高允许排放速率（kg/h）</w:t>
                  </w:r>
                </w:p>
              </w:tc>
              <w:tc>
                <w:tcPr>
                  <w:tcW w:w="1319" w:type="pct"/>
                  <w:vMerge w:val="continue"/>
                  <w:tcBorders>
                    <w:tl2br w:val="nil"/>
                    <w:tr2bl w:val="nil"/>
                  </w:tcBorders>
                  <w:vAlign w:val="center"/>
                </w:tcPr>
                <w:p>
                  <w:pPr>
                    <w:pStyle w:val="33"/>
                    <w:rPr>
                      <w:rFonts w:ascii="Times New Roman" w:hAnsi="Times New Roman" w:eastAsia="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restar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有组织</w:t>
                  </w:r>
                </w:p>
              </w:tc>
              <w:tc>
                <w:tcPr>
                  <w:tcW w:w="80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非甲烷总烃</w:t>
                  </w:r>
                </w:p>
              </w:tc>
              <w:tc>
                <w:tcPr>
                  <w:tcW w:w="942"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50</w:t>
                  </w:r>
                </w:p>
              </w:tc>
              <w:tc>
                <w:tcPr>
                  <w:tcW w:w="1169"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c>
                <w:tcPr>
                  <w:tcW w:w="1319" w:type="pct"/>
                  <w:vMerge w:val="restart"/>
                  <w:tcBorders>
                    <w:tl2br w:val="nil"/>
                    <w:tr2bl w:val="nil"/>
                  </w:tcBorders>
                  <w:vAlign w:val="center"/>
                </w:tcPr>
                <w:p>
                  <w:pPr>
                    <w:pStyle w:val="33"/>
                    <w:rPr>
                      <w:rFonts w:hint="default" w:ascii="Times New Roman" w:hAnsi="Times New Roman" w:eastAsia="宋体"/>
                      <w:color w:val="auto"/>
                      <w:lang w:val="en-US"/>
                    </w:rPr>
                  </w:pPr>
                  <w:r>
                    <w:rPr>
                      <w:rFonts w:hint="default" w:ascii="Times New Roman" w:hAnsi="Times New Roman" w:eastAsia="宋体" w:cs="Times New Roman"/>
                      <w:color w:val="FF0000"/>
                      <w:sz w:val="21"/>
                      <w:szCs w:val="21"/>
                      <w:lang w:val="en-US" w:eastAsia="zh-CN"/>
                    </w:rPr>
                    <w:t>《工业涂装工序大气污染物排放标准》（DB32/4439-2022）</w:t>
                  </w:r>
                  <w:r>
                    <w:rPr>
                      <w:rFonts w:hint="eastAsia" w:ascii="Times New Roman" w:hAnsi="Times New Roman" w:eastAsia="宋体" w:cs="Times New Roman"/>
                      <w:color w:val="FF0000"/>
                      <w:sz w:val="21"/>
                      <w:szCs w:val="21"/>
                      <w:lang w:val="en-US" w:eastAsia="zh-CN"/>
                    </w:rPr>
                    <w:t>表1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颗粒物</w:t>
                  </w:r>
                </w:p>
              </w:tc>
              <w:tc>
                <w:tcPr>
                  <w:tcW w:w="942"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w:t>
                  </w:r>
                </w:p>
              </w:tc>
              <w:tc>
                <w:tcPr>
                  <w:tcW w:w="1169"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0.4</w:t>
                  </w:r>
                </w:p>
              </w:tc>
              <w:tc>
                <w:tcPr>
                  <w:tcW w:w="1319" w:type="pct"/>
                  <w:vMerge w:val="continue"/>
                  <w:tcBorders>
                    <w:tl2br w:val="nil"/>
                    <w:tr2bl w:val="nil"/>
                  </w:tcBorders>
                  <w:vAlign w:val="center"/>
                </w:tcPr>
                <w:p>
                  <w:pPr>
                    <w:pStyle w:val="33"/>
                    <w:rPr>
                      <w:rFonts w:hint="default" w:ascii="Times New Roman" w:hAnsi="Times New Roman" w:eastAsia="宋体" w:cs="Times New Roman"/>
                      <w:color w:val="FF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苯系物</w:t>
                  </w:r>
                </w:p>
              </w:tc>
              <w:tc>
                <w:tcPr>
                  <w:tcW w:w="942"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c>
                <w:tcPr>
                  <w:tcW w:w="1169"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0.8</w:t>
                  </w:r>
                </w:p>
              </w:tc>
              <w:tc>
                <w:tcPr>
                  <w:tcW w:w="1319" w:type="pct"/>
                  <w:vMerge w:val="continue"/>
                  <w:tcBorders>
                    <w:tl2br w:val="nil"/>
                    <w:tr2bl w:val="nil"/>
                  </w:tcBorders>
                  <w:vAlign w:val="center"/>
                </w:tcPr>
                <w:p>
                  <w:pPr>
                    <w:pStyle w:val="33"/>
                    <w:rPr>
                      <w:rFonts w:hint="default" w:ascii="Times New Roman" w:hAnsi="Times New Roman" w:eastAsia="宋体" w:cs="Times New Roman"/>
                      <w:color w:val="FF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TVOC</w:t>
                  </w:r>
                </w:p>
              </w:tc>
              <w:tc>
                <w:tcPr>
                  <w:tcW w:w="942"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80</w:t>
                  </w:r>
                </w:p>
              </w:tc>
              <w:tc>
                <w:tcPr>
                  <w:tcW w:w="1169"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3.2</w:t>
                  </w:r>
                </w:p>
              </w:tc>
              <w:tc>
                <w:tcPr>
                  <w:tcW w:w="1319" w:type="pct"/>
                  <w:vMerge w:val="continue"/>
                  <w:tcBorders>
                    <w:tl2br w:val="nil"/>
                    <w:tr2bl w:val="nil"/>
                  </w:tcBorders>
                  <w:vAlign w:val="center"/>
                </w:tcPr>
                <w:p>
                  <w:pPr>
                    <w:pStyle w:val="33"/>
                    <w:rPr>
                      <w:rFonts w:hint="default" w:ascii="Times New Roman" w:hAnsi="Times New Roman" w:eastAsia="宋体" w:cs="Times New Roman"/>
                      <w:color w:val="FF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eastAsia="zh-CN"/>
                    </w:rPr>
                    <w:t>二甲苯</w:t>
                  </w:r>
                </w:p>
              </w:tc>
              <w:tc>
                <w:tcPr>
                  <w:tcW w:w="942"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10</w:t>
                  </w:r>
                </w:p>
              </w:tc>
              <w:tc>
                <w:tcPr>
                  <w:tcW w:w="1169"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0.72</w:t>
                  </w:r>
                </w:p>
              </w:tc>
              <w:tc>
                <w:tcPr>
                  <w:tcW w:w="1319" w:type="pct"/>
                  <w:vMerge w:val="restart"/>
                  <w:tcBorders>
                    <w:tl2br w:val="nil"/>
                    <w:tr2bl w:val="nil"/>
                  </w:tcBorders>
                  <w:vAlign w:val="center"/>
                </w:tcPr>
                <w:p>
                  <w:pPr>
                    <w:pStyle w:val="33"/>
                    <w:rPr>
                      <w:rFonts w:hint="default" w:ascii="Times New Roman" w:hAnsi="Times New Roman" w:eastAsia="宋体" w:cs="Times New Roman"/>
                      <w:color w:val="FF0000"/>
                      <w:sz w:val="21"/>
                      <w:szCs w:val="21"/>
                      <w:lang w:val="en-US" w:eastAsia="zh-CN"/>
                    </w:rPr>
                  </w:pPr>
                  <w:r>
                    <w:rPr>
                      <w:rFonts w:hint="eastAsia" w:ascii="Times New Roman" w:hAnsi="Times New Roman" w:eastAsia="宋体"/>
                      <w:color w:val="auto"/>
                    </w:rPr>
                    <w:t>《大气污染物综合排放标准》（DB32/4041-2021）</w:t>
                  </w:r>
                  <w:r>
                    <w:rPr>
                      <w:rFonts w:hint="eastAsia" w:ascii="Times New Roman" w:hAnsi="Times New Roman" w:eastAsia="宋体"/>
                      <w:color w:val="auto"/>
                      <w:lang w:val="en-US" w:eastAsia="zh-CN"/>
                    </w:rPr>
                    <w:t>表1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restart"/>
                  <w:tcBorders>
                    <w:tl2br w:val="nil"/>
                    <w:tr2bl w:val="nil"/>
                  </w:tcBorders>
                  <w:vAlign w:val="center"/>
                </w:tcPr>
                <w:p>
                  <w:pPr>
                    <w:pStyle w:val="33"/>
                    <w:rPr>
                      <w:rFonts w:ascii="Times New Roman" w:hAnsi="Times New Roman" w:eastAsia="宋体"/>
                      <w:b/>
                      <w:bCs/>
                      <w:color w:val="auto"/>
                    </w:rPr>
                  </w:pPr>
                  <w:r>
                    <w:rPr>
                      <w:rFonts w:hint="eastAsia" w:ascii="Times New Roman" w:hAnsi="Times New Roman" w:eastAsia="宋体"/>
                      <w:b/>
                      <w:bCs/>
                      <w:color w:val="auto"/>
                    </w:rPr>
                    <w:t>类别</w:t>
                  </w:r>
                </w:p>
              </w:tc>
              <w:tc>
                <w:tcPr>
                  <w:tcW w:w="804" w:type="pct"/>
                  <w:vMerge w:val="restar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污染物名称</w:t>
                  </w:r>
                </w:p>
              </w:tc>
              <w:tc>
                <w:tcPr>
                  <w:tcW w:w="2111" w:type="pct"/>
                  <w:gridSpan w:val="4"/>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无组织排放监控浓度限值</w:t>
                  </w:r>
                </w:p>
              </w:tc>
              <w:tc>
                <w:tcPr>
                  <w:tcW w:w="1319" w:type="pct"/>
                  <w:vMerge w:val="restart"/>
                  <w:tcBorders>
                    <w:tl2br w:val="nil"/>
                    <w:tr2bl w:val="nil"/>
                  </w:tcBorders>
                  <w:vAlign w:val="center"/>
                </w:tcPr>
                <w:p>
                  <w:pPr>
                    <w:pStyle w:val="33"/>
                    <w:rPr>
                      <w:rFonts w:ascii="Times New Roman" w:hAnsi="Times New Roman" w:eastAsia="宋体"/>
                      <w:color w:val="auto"/>
                    </w:rPr>
                  </w:pPr>
                  <w:r>
                    <w:rPr>
                      <w:rFonts w:ascii="Times New Roman" w:hAnsi="Times New Roman" w:eastAsia="宋体"/>
                      <w:b/>
                      <w:color w:val="auto"/>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ascii="Times New Roman" w:hAnsi="Times New Roman" w:eastAsia="宋体"/>
                      <w:color w:val="auto"/>
                    </w:rPr>
                  </w:pPr>
                </w:p>
              </w:tc>
              <w:tc>
                <w:tcPr>
                  <w:tcW w:w="804"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704" w:type="pct"/>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b/>
                      <w:bCs/>
                      <w:color w:val="auto"/>
                      <w:sz w:val="21"/>
                      <w:szCs w:val="21"/>
                    </w:rPr>
                    <w:t>监控点限值mg/m</w:t>
                  </w:r>
                  <w:r>
                    <w:rPr>
                      <w:rFonts w:hint="eastAsia" w:ascii="Times New Roman" w:hAnsi="Times New Roman" w:eastAsia="宋体"/>
                      <w:b/>
                      <w:bCs/>
                      <w:color w:val="auto"/>
                      <w:sz w:val="21"/>
                      <w:szCs w:val="21"/>
                      <w:vertAlign w:val="superscript"/>
                    </w:rPr>
                    <w:t>3</w:t>
                  </w:r>
                </w:p>
              </w:tc>
              <w:tc>
                <w:tcPr>
                  <w:tcW w:w="701" w:type="pct"/>
                  <w:gridSpan w:val="2"/>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b/>
                      <w:bCs/>
                      <w:color w:val="auto"/>
                      <w:sz w:val="21"/>
                      <w:szCs w:val="21"/>
                    </w:rPr>
                    <w:t>限值含义</w:t>
                  </w:r>
                </w:p>
              </w:tc>
              <w:tc>
                <w:tcPr>
                  <w:tcW w:w="706" w:type="pct"/>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b/>
                      <w:bCs/>
                      <w:color w:val="auto"/>
                      <w:sz w:val="21"/>
                      <w:szCs w:val="21"/>
                    </w:rPr>
                    <w:t>监控位置</w:t>
                  </w:r>
                </w:p>
              </w:tc>
              <w:tc>
                <w:tcPr>
                  <w:tcW w:w="1319" w:type="pct"/>
                  <w:vMerge w:val="continue"/>
                  <w:tcBorders>
                    <w:tl2br w:val="nil"/>
                    <w:tr2bl w:val="nil"/>
                  </w:tcBorders>
                  <w:vAlign w:val="center"/>
                </w:tcPr>
                <w:p>
                  <w:pPr>
                    <w:pStyle w:val="33"/>
                    <w:rPr>
                      <w:rFonts w:ascii="Times New Roman" w:hAnsi="Times New Roman" w:eastAsia="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restar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无组织</w:t>
                  </w:r>
                </w:p>
              </w:tc>
              <w:tc>
                <w:tcPr>
                  <w:tcW w:w="804"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非甲烷总烃</w:t>
                  </w:r>
                </w:p>
              </w:tc>
              <w:tc>
                <w:tcPr>
                  <w:tcW w:w="70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4</w:t>
                  </w:r>
                </w:p>
              </w:tc>
              <w:tc>
                <w:tcPr>
                  <w:tcW w:w="701" w:type="pct"/>
                  <w:gridSpan w:val="2"/>
                  <w:vMerge w:val="restart"/>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监控点处1h平均浓度值</w:t>
                  </w:r>
                </w:p>
              </w:tc>
              <w:tc>
                <w:tcPr>
                  <w:tcW w:w="706" w:type="pct"/>
                  <w:vMerge w:val="restart"/>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边界外浓度最高点</w:t>
                  </w:r>
                </w:p>
              </w:tc>
              <w:tc>
                <w:tcPr>
                  <w:tcW w:w="1319" w:type="pct"/>
                  <w:vMerge w:val="restar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《大气污染物综合排放标准》（DB32/4041-2021）表3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颗粒物</w:t>
                  </w:r>
                </w:p>
              </w:tc>
              <w:tc>
                <w:tcPr>
                  <w:tcW w:w="704" w:type="pct"/>
                  <w:tcBorders>
                    <w:tl2br w:val="nil"/>
                    <w:tr2bl w:val="nil"/>
                  </w:tcBorders>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肉眼不可见</w:t>
                  </w:r>
                </w:p>
              </w:tc>
              <w:tc>
                <w:tcPr>
                  <w:tcW w:w="701" w:type="pct"/>
                  <w:gridSpan w:val="2"/>
                  <w:vMerge w:val="continue"/>
                  <w:tcBorders>
                    <w:tl2br w:val="nil"/>
                    <w:tr2bl w:val="nil"/>
                  </w:tcBorders>
                  <w:vAlign w:val="center"/>
                </w:tcPr>
                <w:p>
                  <w:pPr>
                    <w:pStyle w:val="26"/>
                    <w:ind w:firstLine="0"/>
                    <w:jc w:val="center"/>
                    <w:rPr>
                      <w:rFonts w:hint="eastAsia" w:ascii="Times New Roman" w:hAnsi="Times New Roman" w:eastAsia="宋体"/>
                      <w:color w:val="auto"/>
                      <w:sz w:val="21"/>
                      <w:szCs w:val="21"/>
                    </w:rPr>
                  </w:pPr>
                </w:p>
              </w:tc>
              <w:tc>
                <w:tcPr>
                  <w:tcW w:w="706" w:type="pct"/>
                  <w:vMerge w:val="continue"/>
                  <w:tcBorders>
                    <w:tl2br w:val="nil"/>
                    <w:tr2bl w:val="nil"/>
                  </w:tcBorders>
                  <w:vAlign w:val="center"/>
                </w:tcPr>
                <w:p>
                  <w:pPr>
                    <w:pStyle w:val="26"/>
                    <w:ind w:firstLine="0"/>
                    <w:jc w:val="center"/>
                    <w:rPr>
                      <w:rFonts w:hint="eastAsia" w:ascii="Times New Roman" w:hAnsi="Times New Roman" w:eastAsia="宋体"/>
                      <w:color w:val="auto"/>
                      <w:sz w:val="21"/>
                      <w:szCs w:val="21"/>
                    </w:rPr>
                  </w:pPr>
                </w:p>
              </w:tc>
              <w:tc>
                <w:tcPr>
                  <w:tcW w:w="1319" w:type="pct"/>
                  <w:vMerge w:val="continue"/>
                  <w:tcBorders>
                    <w:tl2br w:val="nil"/>
                    <w:tr2bl w:val="nil"/>
                  </w:tcBorders>
                  <w:vAlign w:val="center"/>
                </w:tcPr>
                <w:p>
                  <w:pPr>
                    <w:pStyle w:val="33"/>
                    <w:rPr>
                      <w:rFonts w:hint="eastAsia" w:ascii="Times New Roman" w:hAnsi="Times New Roman" w:eastAsia="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苯系物</w:t>
                  </w:r>
                </w:p>
              </w:tc>
              <w:tc>
                <w:tcPr>
                  <w:tcW w:w="704" w:type="pct"/>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0.4</w:t>
                  </w:r>
                </w:p>
              </w:tc>
              <w:tc>
                <w:tcPr>
                  <w:tcW w:w="701" w:type="pct"/>
                  <w:gridSpan w:val="2"/>
                  <w:vMerge w:val="continue"/>
                  <w:tcBorders>
                    <w:tl2br w:val="nil"/>
                    <w:tr2bl w:val="nil"/>
                  </w:tcBorders>
                  <w:vAlign w:val="center"/>
                </w:tcPr>
                <w:p>
                  <w:pPr>
                    <w:pStyle w:val="26"/>
                    <w:ind w:firstLine="0"/>
                    <w:jc w:val="center"/>
                    <w:rPr>
                      <w:rFonts w:hint="eastAsia" w:ascii="Times New Roman" w:hAnsi="Times New Roman" w:eastAsia="宋体"/>
                      <w:color w:val="auto"/>
                      <w:sz w:val="21"/>
                      <w:szCs w:val="21"/>
                    </w:rPr>
                  </w:pPr>
                </w:p>
              </w:tc>
              <w:tc>
                <w:tcPr>
                  <w:tcW w:w="706" w:type="pct"/>
                  <w:vMerge w:val="continue"/>
                  <w:tcBorders>
                    <w:tl2br w:val="nil"/>
                    <w:tr2bl w:val="nil"/>
                  </w:tcBorders>
                  <w:vAlign w:val="center"/>
                </w:tcPr>
                <w:p>
                  <w:pPr>
                    <w:pStyle w:val="26"/>
                    <w:ind w:firstLine="0"/>
                    <w:jc w:val="center"/>
                    <w:rPr>
                      <w:rFonts w:hint="eastAsia" w:ascii="Times New Roman" w:hAnsi="Times New Roman" w:eastAsia="宋体"/>
                      <w:color w:val="auto"/>
                      <w:sz w:val="21"/>
                      <w:szCs w:val="21"/>
                    </w:rPr>
                  </w:pPr>
                </w:p>
              </w:tc>
              <w:tc>
                <w:tcPr>
                  <w:tcW w:w="1319" w:type="pct"/>
                  <w:vMerge w:val="continue"/>
                  <w:tcBorders>
                    <w:tl2br w:val="nil"/>
                    <w:tr2bl w:val="nil"/>
                  </w:tcBorders>
                  <w:vAlign w:val="center"/>
                </w:tcPr>
                <w:p>
                  <w:pPr>
                    <w:pStyle w:val="33"/>
                    <w:rPr>
                      <w:rFonts w:hint="eastAsia" w:ascii="Times New Roman" w:hAnsi="Times New Roman" w:eastAsia="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hint="eastAsia" w:ascii="Times New Roman" w:hAnsi="Times New Roman" w:eastAsia="宋体"/>
                      <w:color w:val="auto"/>
                    </w:rPr>
                  </w:pPr>
                </w:p>
              </w:tc>
              <w:tc>
                <w:tcPr>
                  <w:tcW w:w="804"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eastAsia="zh-CN"/>
                    </w:rPr>
                    <w:t>二甲苯</w:t>
                  </w:r>
                </w:p>
              </w:tc>
              <w:tc>
                <w:tcPr>
                  <w:tcW w:w="704" w:type="pct"/>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w:t>
                  </w:r>
                </w:p>
              </w:tc>
              <w:tc>
                <w:tcPr>
                  <w:tcW w:w="701" w:type="pct"/>
                  <w:gridSpan w:val="2"/>
                  <w:vMerge w:val="continue"/>
                  <w:tcBorders>
                    <w:tl2br w:val="nil"/>
                    <w:tr2bl w:val="nil"/>
                  </w:tcBorders>
                  <w:vAlign w:val="center"/>
                </w:tcPr>
                <w:p>
                  <w:pPr>
                    <w:pStyle w:val="26"/>
                    <w:ind w:firstLine="0"/>
                    <w:jc w:val="center"/>
                    <w:rPr>
                      <w:rFonts w:hint="eastAsia" w:ascii="Times New Roman" w:hAnsi="Times New Roman" w:eastAsia="宋体"/>
                      <w:color w:val="auto"/>
                      <w:sz w:val="21"/>
                      <w:szCs w:val="21"/>
                    </w:rPr>
                  </w:pPr>
                </w:p>
              </w:tc>
              <w:tc>
                <w:tcPr>
                  <w:tcW w:w="706" w:type="pct"/>
                  <w:vMerge w:val="continue"/>
                  <w:tcBorders>
                    <w:tl2br w:val="nil"/>
                    <w:tr2bl w:val="nil"/>
                  </w:tcBorders>
                  <w:vAlign w:val="center"/>
                </w:tcPr>
                <w:p>
                  <w:pPr>
                    <w:pStyle w:val="26"/>
                    <w:ind w:firstLine="0"/>
                    <w:jc w:val="center"/>
                    <w:rPr>
                      <w:rFonts w:hint="eastAsia" w:ascii="Times New Roman" w:hAnsi="Times New Roman" w:eastAsia="宋体"/>
                      <w:color w:val="auto"/>
                      <w:sz w:val="21"/>
                      <w:szCs w:val="21"/>
                    </w:rPr>
                  </w:pPr>
                </w:p>
              </w:tc>
              <w:tc>
                <w:tcPr>
                  <w:tcW w:w="1319" w:type="pct"/>
                  <w:vMerge w:val="continue"/>
                  <w:tcBorders>
                    <w:tl2br w:val="nil"/>
                    <w:tr2bl w:val="nil"/>
                  </w:tcBorders>
                  <w:vAlign w:val="center"/>
                </w:tcPr>
                <w:p>
                  <w:pPr>
                    <w:pStyle w:val="33"/>
                    <w:rPr>
                      <w:rFonts w:hint="eastAsia" w:ascii="Times New Roman" w:hAnsi="Times New Roman" w:eastAsia="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ascii="Times New Roman" w:hAnsi="Times New Roman" w:eastAsia="宋体"/>
                      <w:color w:val="auto"/>
                    </w:rPr>
                  </w:pPr>
                </w:p>
              </w:tc>
              <w:tc>
                <w:tcPr>
                  <w:tcW w:w="80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臭气浓度</w:t>
                  </w:r>
                </w:p>
              </w:tc>
              <w:tc>
                <w:tcPr>
                  <w:tcW w:w="70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20（无量纲）</w:t>
                  </w:r>
                </w:p>
              </w:tc>
              <w:tc>
                <w:tcPr>
                  <w:tcW w:w="701" w:type="pct"/>
                  <w:gridSpan w:val="2"/>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监控点处一次最大浓度值</w:t>
                  </w:r>
                </w:p>
              </w:tc>
              <w:tc>
                <w:tcPr>
                  <w:tcW w:w="706" w:type="pct"/>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边界外浓度最高点</w:t>
                  </w:r>
                </w:p>
              </w:tc>
              <w:tc>
                <w:tcPr>
                  <w:tcW w:w="1319" w:type="pc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《恶臭污染物排放标准》（GB14554-93）表1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ascii="Times New Roman" w:hAnsi="Times New Roman" w:eastAsia="宋体"/>
                      <w:color w:val="auto"/>
                    </w:rPr>
                  </w:pPr>
                </w:p>
              </w:tc>
              <w:tc>
                <w:tcPr>
                  <w:tcW w:w="804"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非甲烷总烃</w:t>
                  </w:r>
                </w:p>
              </w:tc>
              <w:tc>
                <w:tcPr>
                  <w:tcW w:w="704"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6</w:t>
                  </w:r>
                </w:p>
              </w:tc>
              <w:tc>
                <w:tcPr>
                  <w:tcW w:w="701" w:type="pct"/>
                  <w:gridSpan w:val="2"/>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监控点处</w:t>
                  </w:r>
                  <w:r>
                    <w:rPr>
                      <w:rFonts w:ascii="Times New Roman" w:hAnsi="Times New Roman" w:eastAsia="宋体"/>
                      <w:color w:val="auto"/>
                      <w:szCs w:val="21"/>
                    </w:rPr>
                    <w:t>1h</w:t>
                  </w:r>
                  <w:r>
                    <w:rPr>
                      <w:rFonts w:hint="eastAsia" w:ascii="Times New Roman" w:hAnsi="Times New Roman" w:eastAsia="宋体"/>
                      <w:color w:val="auto"/>
                      <w:szCs w:val="21"/>
                    </w:rPr>
                    <w:t>平均浓度值</w:t>
                  </w:r>
                </w:p>
              </w:tc>
              <w:tc>
                <w:tcPr>
                  <w:tcW w:w="706" w:type="pct"/>
                  <w:vMerge w:val="restart"/>
                  <w:tcBorders>
                    <w:tl2br w:val="nil"/>
                    <w:tr2bl w:val="nil"/>
                  </w:tcBorders>
                  <w:vAlign w:val="center"/>
                </w:tcPr>
                <w:p>
                  <w:pPr>
                    <w:pStyle w:val="26"/>
                    <w:ind w:firstLine="0"/>
                    <w:jc w:val="center"/>
                    <w:rPr>
                      <w:rFonts w:ascii="Times New Roman" w:hAnsi="Times New Roman" w:eastAsia="宋体"/>
                      <w:color w:val="auto"/>
                      <w:sz w:val="21"/>
                      <w:szCs w:val="21"/>
                    </w:rPr>
                  </w:pPr>
                  <w:r>
                    <w:rPr>
                      <w:rFonts w:hint="eastAsia" w:ascii="Times New Roman" w:hAnsi="Times New Roman" w:eastAsia="宋体"/>
                      <w:color w:val="auto"/>
                      <w:sz w:val="21"/>
                      <w:szCs w:val="21"/>
                    </w:rPr>
                    <w:t>在厂房外设置监控点</w:t>
                  </w:r>
                </w:p>
              </w:tc>
              <w:tc>
                <w:tcPr>
                  <w:tcW w:w="1319" w:type="pct"/>
                  <w:vMerge w:val="restart"/>
                  <w:tcBorders>
                    <w:tl2br w:val="nil"/>
                    <w:tr2bl w:val="nil"/>
                  </w:tcBorders>
                  <w:vAlign w:val="center"/>
                </w:tcPr>
                <w:p>
                  <w:pPr>
                    <w:pStyle w:val="33"/>
                    <w:rPr>
                      <w:rFonts w:hint="eastAsia" w:ascii="Times New Roman" w:hAnsi="Times New Roman" w:eastAsia="宋体"/>
                      <w:color w:val="auto"/>
                      <w:lang w:eastAsia="zh-CN"/>
                    </w:rPr>
                  </w:pPr>
                  <w:r>
                    <w:rPr>
                      <w:rFonts w:hint="eastAsia" w:ascii="Times New Roman" w:hAnsi="Times New Roman" w:eastAsia="宋体"/>
                      <w:color w:val="auto"/>
                      <w:lang w:val="en-US" w:eastAsia="zh-CN"/>
                    </w:rPr>
                    <w:t>《工业涂装工序大气污染物排放标准》（DB32/4439-2022）</w:t>
                  </w:r>
                  <w:r>
                    <w:rPr>
                      <w:rFonts w:hint="eastAsia" w:ascii="Times New Roman" w:hAnsi="Times New Roman" w:eastAsia="宋体"/>
                      <w:color w:val="auto"/>
                    </w:rPr>
                    <w:t>表</w:t>
                  </w:r>
                  <w:r>
                    <w:rPr>
                      <w:rFonts w:hint="eastAsia" w:ascii="Times New Roman" w:hAnsi="Times New Roman" w:eastAsia="宋体"/>
                      <w:color w:val="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5" w:type="pct"/>
                  <w:vMerge w:val="continue"/>
                  <w:tcBorders>
                    <w:tl2br w:val="nil"/>
                    <w:tr2bl w:val="nil"/>
                  </w:tcBorders>
                  <w:vAlign w:val="center"/>
                </w:tcPr>
                <w:p>
                  <w:pPr>
                    <w:pStyle w:val="33"/>
                    <w:rPr>
                      <w:rFonts w:ascii="Times New Roman" w:hAnsi="Times New Roman" w:eastAsia="宋体"/>
                      <w:color w:val="auto"/>
                    </w:rPr>
                  </w:pPr>
                </w:p>
              </w:tc>
              <w:tc>
                <w:tcPr>
                  <w:tcW w:w="804"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704"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20</w:t>
                  </w:r>
                </w:p>
              </w:tc>
              <w:tc>
                <w:tcPr>
                  <w:tcW w:w="701" w:type="pct"/>
                  <w:gridSpan w:val="2"/>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监控点处任意一次浓度值</w:t>
                  </w:r>
                </w:p>
              </w:tc>
              <w:tc>
                <w:tcPr>
                  <w:tcW w:w="706" w:type="pct"/>
                  <w:vMerge w:val="continue"/>
                  <w:tcBorders>
                    <w:tl2br w:val="nil"/>
                    <w:tr2bl w:val="nil"/>
                  </w:tcBorders>
                  <w:vAlign w:val="center"/>
                </w:tcPr>
                <w:p>
                  <w:pPr>
                    <w:pStyle w:val="26"/>
                    <w:ind w:firstLine="0"/>
                    <w:jc w:val="center"/>
                    <w:rPr>
                      <w:rFonts w:ascii="Times New Roman" w:hAnsi="Times New Roman" w:eastAsia="宋体"/>
                      <w:color w:val="auto"/>
                      <w:sz w:val="21"/>
                      <w:szCs w:val="21"/>
                    </w:rPr>
                  </w:pPr>
                </w:p>
              </w:tc>
              <w:tc>
                <w:tcPr>
                  <w:tcW w:w="1319" w:type="pct"/>
                  <w:vMerge w:val="continue"/>
                  <w:tcBorders>
                    <w:tl2br w:val="nil"/>
                    <w:tr2bl w:val="nil"/>
                  </w:tcBorders>
                  <w:vAlign w:val="center"/>
                </w:tcPr>
                <w:p>
                  <w:pPr>
                    <w:pStyle w:val="33"/>
                    <w:rPr>
                      <w:rFonts w:ascii="Times New Roman" w:hAnsi="Times New Roman" w:eastAsia="宋体"/>
                      <w:color w:val="auto"/>
                    </w:rPr>
                  </w:pPr>
                </w:p>
              </w:tc>
            </w:tr>
          </w:tbl>
          <w:p>
            <w:pPr>
              <w:spacing w:line="360" w:lineRule="auto"/>
              <w:ind w:firstLine="482" w:firstLineChars="200"/>
              <w:rPr>
                <w:rFonts w:hint="eastAsia" w:ascii="Times New Roman" w:hAnsi="Times New Roman" w:eastAsia="宋体"/>
                <w:b/>
                <w:color w:val="auto"/>
                <w:sz w:val="24"/>
              </w:rPr>
            </w:pPr>
            <w:r>
              <w:rPr>
                <w:rFonts w:hint="eastAsia" w:ascii="Times New Roman" w:hAnsi="Times New Roman" w:eastAsia="宋体"/>
                <w:b/>
                <w:color w:val="auto"/>
                <w:sz w:val="24"/>
              </w:rPr>
              <w:t>2、</w:t>
            </w:r>
            <w:r>
              <w:rPr>
                <w:rFonts w:ascii="Times New Roman" w:hAnsi="Times New Roman" w:eastAsia="宋体"/>
                <w:b/>
                <w:color w:val="auto"/>
                <w:sz w:val="24"/>
              </w:rPr>
              <w:t>水污染物排放标准</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项目厂区实行“雨污分流”制，雨水排入市政雨水管网</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最终汇入南侧小河</w:t>
            </w:r>
            <w:r>
              <w:rPr>
                <w:rFonts w:hint="eastAsia" w:ascii="Times New Roman" w:hAnsi="Times New Roman" w:eastAsia="宋体"/>
                <w:color w:val="auto"/>
                <w:sz w:val="24"/>
              </w:rPr>
              <w:t>；项目无生产废水，</w:t>
            </w:r>
            <w:r>
              <w:rPr>
                <w:rFonts w:hint="eastAsia" w:ascii="Times New Roman" w:hAnsi="Times New Roman" w:eastAsia="宋体"/>
                <w:color w:val="auto"/>
                <w:sz w:val="24"/>
                <w:lang w:val="en-US" w:eastAsia="zh-CN"/>
              </w:rPr>
              <w:t>生活污水经化粪池预处理后</w:t>
            </w:r>
            <w:r>
              <w:rPr>
                <w:rFonts w:hint="eastAsia" w:ascii="Times New Roman" w:hAnsi="Times New Roman" w:eastAsia="宋体"/>
                <w:color w:val="auto"/>
                <w:sz w:val="24"/>
              </w:rPr>
              <w:t>接管至</w:t>
            </w:r>
            <w:r>
              <w:rPr>
                <w:rFonts w:hint="eastAsia" w:ascii="Times New Roman" w:hAnsi="Times New Roman" w:eastAsia="宋体"/>
                <w:color w:val="auto"/>
                <w:sz w:val="24"/>
                <w:lang w:eastAsia="zh-CN"/>
              </w:rPr>
              <w:t>如皋市下原镇污水处理厂</w:t>
            </w:r>
            <w:r>
              <w:rPr>
                <w:rFonts w:hint="eastAsia" w:ascii="Times New Roman" w:hAnsi="Times New Roman" w:eastAsia="宋体"/>
                <w:color w:val="auto"/>
                <w:sz w:val="24"/>
              </w:rPr>
              <w:t>处理，尾水达到《城镇污水处理厂污染物排放标准》（GB18918-2002）中一级A标准后排入</w:t>
            </w:r>
            <w:r>
              <w:rPr>
                <w:rFonts w:hint="eastAsia" w:ascii="Times New Roman" w:hAnsi="Times New Roman" w:eastAsia="宋体"/>
                <w:color w:val="auto"/>
                <w:sz w:val="24"/>
                <w:lang w:eastAsia="zh-CN"/>
              </w:rPr>
              <w:t>大寨河</w:t>
            </w:r>
            <w:r>
              <w:rPr>
                <w:rFonts w:hint="eastAsia" w:ascii="Times New Roman" w:hAnsi="Times New Roman" w:eastAsia="宋体"/>
                <w:lang w:eastAsia="zh-CN"/>
              </w:rPr>
              <w:t>；</w:t>
            </w:r>
            <w:r>
              <w:rPr>
                <w:rFonts w:hint="eastAsia" w:ascii="Times New Roman" w:hAnsi="Times New Roman" w:eastAsia="宋体"/>
                <w:sz w:val="24"/>
                <w:szCs w:val="24"/>
                <w:lang w:eastAsia="zh-CN"/>
              </w:rPr>
              <w:t>如皋市下原镇污水处理厂</w:t>
            </w:r>
            <w:r>
              <w:rPr>
                <w:rFonts w:hint="eastAsia" w:ascii="Times New Roman" w:hAnsi="Times New Roman" w:eastAsia="宋体" w:cs="Times New Roman"/>
                <w:color w:val="000000"/>
                <w:sz w:val="24"/>
                <w:szCs w:val="24"/>
                <w:lang w:val="en-US" w:eastAsia="zh-CN"/>
              </w:rPr>
              <w:t>于2026年3月28日后尾水排放标准执行《城镇污水处理厂污染物排放标准》（DB32/4440-2022）表1的C类标准</w:t>
            </w:r>
            <w:r>
              <w:rPr>
                <w:rFonts w:hint="eastAsia" w:ascii="Times New Roman" w:hAnsi="Times New Roman" w:eastAsia="宋体"/>
                <w:color w:val="auto"/>
                <w:sz w:val="24"/>
              </w:rPr>
              <w:t>。</w:t>
            </w:r>
            <w:r>
              <w:rPr>
                <w:rFonts w:ascii="Times New Roman" w:hAnsi="Times New Roman" w:eastAsia="宋体"/>
                <w:color w:val="auto"/>
                <w:sz w:val="24"/>
              </w:rPr>
              <w:t>废水污染物排放执行标准见表</w:t>
            </w:r>
            <w:r>
              <w:rPr>
                <w:rFonts w:hint="eastAsia" w:ascii="Times New Roman" w:hAnsi="Times New Roman" w:eastAsia="宋体"/>
                <w:color w:val="auto"/>
                <w:sz w:val="24"/>
              </w:rPr>
              <w:t>3</w:t>
            </w:r>
            <w:r>
              <w:rPr>
                <w:rFonts w:ascii="Times New Roman" w:hAnsi="Times New Roman" w:eastAsia="宋体"/>
                <w:color w:val="auto"/>
                <w:sz w:val="24"/>
              </w:rPr>
              <w:t>-</w:t>
            </w:r>
            <w:r>
              <w:rPr>
                <w:rFonts w:hint="eastAsia"/>
                <w:color w:val="auto"/>
                <w:sz w:val="24"/>
                <w:lang w:val="en-US" w:eastAsia="zh-CN"/>
              </w:rPr>
              <w:t>7</w:t>
            </w:r>
            <w:r>
              <w:rPr>
                <w:rFonts w:hint="eastAsia" w:ascii="Times New Roman" w:hAnsi="Times New Roman" w:eastAsia="宋体"/>
                <w:color w:val="auto"/>
                <w:sz w:val="24"/>
              </w:rPr>
              <w:t>。</w:t>
            </w:r>
          </w:p>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3</w:t>
            </w:r>
            <w:r>
              <w:rPr>
                <w:rFonts w:ascii="Times New Roman" w:hAnsi="Times New Roman" w:eastAsia="宋体"/>
                <w:b/>
                <w:color w:val="auto"/>
                <w:szCs w:val="21"/>
              </w:rPr>
              <w:t>-</w:t>
            </w:r>
            <w:r>
              <w:rPr>
                <w:rFonts w:hint="eastAsia"/>
                <w:b/>
                <w:color w:val="auto"/>
                <w:szCs w:val="21"/>
                <w:lang w:val="en-US" w:eastAsia="zh-CN"/>
              </w:rPr>
              <w:t>7</w:t>
            </w:r>
            <w:r>
              <w:rPr>
                <w:rFonts w:ascii="Times New Roman" w:hAnsi="Times New Roman" w:eastAsia="宋体"/>
                <w:b/>
                <w:color w:val="auto"/>
                <w:szCs w:val="21"/>
              </w:rPr>
              <w:t xml:space="preserve">  </w:t>
            </w:r>
            <w:r>
              <w:rPr>
                <w:rFonts w:hint="eastAsia" w:ascii="Times New Roman" w:hAnsi="Times New Roman" w:eastAsia="宋体"/>
                <w:b/>
                <w:color w:val="auto"/>
                <w:szCs w:val="21"/>
                <w:lang w:eastAsia="zh-CN"/>
              </w:rPr>
              <w:t>如皋市下原镇污水处理厂</w:t>
            </w:r>
            <w:r>
              <w:rPr>
                <w:rFonts w:hint="eastAsia" w:ascii="Times New Roman" w:hAnsi="Times New Roman" w:eastAsia="宋体"/>
                <w:b/>
                <w:color w:val="auto"/>
                <w:szCs w:val="21"/>
              </w:rPr>
              <w:t>处理</w:t>
            </w:r>
            <w:r>
              <w:rPr>
                <w:rFonts w:ascii="Times New Roman" w:hAnsi="Times New Roman" w:eastAsia="宋体"/>
                <w:b/>
                <w:color w:val="auto"/>
                <w:szCs w:val="21"/>
              </w:rPr>
              <w:t>接管要求和尾水排放标准</w:t>
            </w:r>
          </w:p>
          <w:tbl>
            <w:tblPr>
              <w:tblStyle w:val="21"/>
              <w:tblW w:w="499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57" w:type="dxa"/>
                <w:bottom w:w="0" w:type="dxa"/>
                <w:right w:w="57" w:type="dxa"/>
              </w:tblCellMar>
            </w:tblPr>
            <w:tblGrid>
              <w:gridCol w:w="755"/>
              <w:gridCol w:w="640"/>
              <w:gridCol w:w="2125"/>
              <w:gridCol w:w="2271"/>
              <w:gridCol w:w="24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vMerge w:val="restar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污染物名称</w:t>
                  </w:r>
                </w:p>
              </w:tc>
              <w:tc>
                <w:tcPr>
                  <w:tcW w:w="424" w:type="pct"/>
                  <w:vMerge w:val="restar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单位</w:t>
                  </w:r>
                </w:p>
              </w:tc>
              <w:tc>
                <w:tcPr>
                  <w:tcW w:w="1256"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接管要求</w:t>
                  </w:r>
                </w:p>
              </w:tc>
              <w:tc>
                <w:tcPr>
                  <w:tcW w:w="2598" w:type="pct"/>
                  <w:gridSpan w:val="2"/>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尾水排放标准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vMerge w:val="continue"/>
                  <w:tcBorders>
                    <w:tl2br w:val="nil"/>
                    <w:tr2bl w:val="nil"/>
                  </w:tcBorders>
                  <w:vAlign w:val="center"/>
                </w:tcPr>
                <w:p>
                  <w:pPr>
                    <w:adjustRightInd w:val="0"/>
                    <w:snapToGrid w:val="0"/>
                    <w:jc w:val="center"/>
                    <w:rPr>
                      <w:rFonts w:ascii="Times New Roman" w:hAnsi="Times New Roman" w:eastAsia="宋体"/>
                      <w:b/>
                      <w:color w:val="auto"/>
                      <w:szCs w:val="21"/>
                    </w:rPr>
                  </w:pPr>
                </w:p>
              </w:tc>
              <w:tc>
                <w:tcPr>
                  <w:tcW w:w="424" w:type="pct"/>
                  <w:vMerge w:val="continue"/>
                  <w:tcBorders>
                    <w:tl2br w:val="nil"/>
                    <w:tr2bl w:val="nil"/>
                  </w:tcBorders>
                  <w:vAlign w:val="center"/>
                </w:tcPr>
                <w:p>
                  <w:pPr>
                    <w:adjustRightInd w:val="0"/>
                    <w:snapToGrid w:val="0"/>
                    <w:jc w:val="center"/>
                    <w:rPr>
                      <w:rFonts w:ascii="Times New Roman" w:hAnsi="Times New Roman" w:eastAsia="宋体"/>
                      <w:b/>
                      <w:color w:val="auto"/>
                      <w:szCs w:val="21"/>
                    </w:rPr>
                  </w:pPr>
                </w:p>
              </w:tc>
              <w:tc>
                <w:tcPr>
                  <w:tcW w:w="1256"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《污水综合排放标准》（GB8978-1996）表4中的三级标准</w:t>
                  </w:r>
                </w:p>
              </w:tc>
              <w:tc>
                <w:tcPr>
                  <w:tcW w:w="1299"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《城镇污水处理厂污染物排放标准》（GB18918-2002）中一级</w:t>
                  </w:r>
                  <w:r>
                    <w:rPr>
                      <w:rFonts w:hint="eastAsia" w:ascii="Times New Roman" w:hAnsi="Times New Roman" w:eastAsia="宋体"/>
                      <w:b/>
                      <w:color w:val="auto"/>
                      <w:szCs w:val="21"/>
                    </w:rPr>
                    <w:t>A</w:t>
                  </w:r>
                  <w:r>
                    <w:rPr>
                      <w:rFonts w:ascii="Times New Roman" w:hAnsi="Times New Roman" w:eastAsia="宋体"/>
                      <w:b/>
                      <w:color w:val="auto"/>
                      <w:szCs w:val="21"/>
                    </w:rPr>
                    <w:t>标准</w:t>
                  </w:r>
                </w:p>
              </w:tc>
              <w:tc>
                <w:tcPr>
                  <w:tcW w:w="1299"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hint="eastAsia" w:ascii="Times New Roman" w:hAnsi="Times New Roman" w:eastAsia="宋体"/>
                      <w:b/>
                      <w:color w:val="auto"/>
                      <w:szCs w:val="21"/>
                      <w:lang w:val="en-US" w:eastAsia="zh-CN"/>
                    </w:rPr>
                    <w:t>《城镇污水处理厂污染物排放标准》（DB32/4440-2022）表1 C类标准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pH</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1256"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6~9</w:t>
                  </w:r>
                </w:p>
              </w:tc>
              <w:tc>
                <w:tcPr>
                  <w:tcW w:w="129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6~9</w:t>
                  </w:r>
                </w:p>
              </w:tc>
              <w:tc>
                <w:tcPr>
                  <w:tcW w:w="1299" w:type="pct"/>
                  <w:tcBorders>
                    <w:tl2br w:val="nil"/>
                    <w:tr2bl w:val="nil"/>
                  </w:tcBorders>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rPr>
                      <w:rFonts w:ascii="Times New Roman" w:hAnsi="Times New Roman" w:eastAsia="宋体" w:cs="Times New Roman"/>
                      <w:color w:val="000000"/>
                      <w:kern w:val="0"/>
                      <w:sz w:val="21"/>
                      <w:szCs w:val="21"/>
                      <w:lang w:val="en-US" w:eastAsia="en-US" w:bidi="en-US"/>
                    </w:rPr>
                  </w:pPr>
                  <w:r>
                    <w:rPr>
                      <w:rFonts w:hint="default" w:ascii="Times New Roman" w:hAnsi="Times New Roman" w:eastAsia="宋体" w:cs="Times New Roman"/>
                      <w:color w:val="000000"/>
                    </w:rPr>
                    <w:t>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COD</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mg/L</w:t>
                  </w:r>
                </w:p>
              </w:tc>
              <w:tc>
                <w:tcPr>
                  <w:tcW w:w="1256"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500</w:t>
                  </w:r>
                </w:p>
              </w:tc>
              <w:tc>
                <w:tcPr>
                  <w:tcW w:w="129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5</w:t>
                  </w:r>
                  <w:r>
                    <w:rPr>
                      <w:rFonts w:ascii="Times New Roman" w:hAnsi="Times New Roman" w:eastAsia="宋体"/>
                      <w:color w:val="auto"/>
                      <w:szCs w:val="21"/>
                    </w:rPr>
                    <w:t>0</w:t>
                  </w:r>
                </w:p>
              </w:tc>
              <w:tc>
                <w:tcPr>
                  <w:tcW w:w="1299" w:type="pct"/>
                  <w:tcBorders>
                    <w:tl2br w:val="nil"/>
                    <w:tr2bl w:val="nil"/>
                  </w:tcBorders>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0"/>
                      <w:sz w:val="21"/>
                      <w:szCs w:val="21"/>
                      <w:lang w:val="en-US" w:eastAsia="en-US" w:bidi="en-US"/>
                    </w:rPr>
                  </w:pPr>
                  <w:r>
                    <w:rPr>
                      <w:rFonts w:hint="eastAsia" w:ascii="Times New Roman" w:hAnsi="Times New Roman" w:eastAsia="宋体" w:cs="Times New Roman"/>
                      <w:color w:val="000000"/>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SS</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mg/L</w:t>
                  </w:r>
                </w:p>
              </w:tc>
              <w:tc>
                <w:tcPr>
                  <w:tcW w:w="1256"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400</w:t>
                  </w:r>
                </w:p>
              </w:tc>
              <w:tc>
                <w:tcPr>
                  <w:tcW w:w="129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10</w:t>
                  </w:r>
                </w:p>
              </w:tc>
              <w:tc>
                <w:tcPr>
                  <w:tcW w:w="1299" w:type="pct"/>
                  <w:tcBorders>
                    <w:tl2br w:val="nil"/>
                    <w:tr2bl w:val="nil"/>
                  </w:tcBorders>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0"/>
                      <w:sz w:val="21"/>
                      <w:szCs w:val="21"/>
                      <w:lang w:val="en-US" w:eastAsia="en-US" w:bidi="en-US"/>
                    </w:rPr>
                  </w:pPr>
                  <w:r>
                    <w:rPr>
                      <w:rFonts w:hint="eastAsia" w:ascii="Times New Roman" w:hAnsi="Times New Roman" w:eastAsia="宋体" w:cs="Times New Roman"/>
                      <w:color w:val="000000"/>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NH</w:t>
                  </w:r>
                  <w:r>
                    <w:rPr>
                      <w:rFonts w:ascii="Times New Roman" w:hAnsi="Times New Roman" w:eastAsia="宋体"/>
                      <w:color w:val="auto"/>
                      <w:szCs w:val="21"/>
                      <w:vertAlign w:val="subscript"/>
                    </w:rPr>
                    <w:t>3</w:t>
                  </w:r>
                  <w:r>
                    <w:rPr>
                      <w:rFonts w:ascii="Times New Roman" w:hAnsi="Times New Roman" w:eastAsia="宋体"/>
                      <w:color w:val="auto"/>
                      <w:szCs w:val="21"/>
                    </w:rPr>
                    <w:t>-N</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mg/L</w:t>
                  </w:r>
                </w:p>
              </w:tc>
              <w:tc>
                <w:tcPr>
                  <w:tcW w:w="1256"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45</w:t>
                  </w:r>
                  <w:r>
                    <w:rPr>
                      <w:rFonts w:ascii="Times New Roman" w:hAnsi="Times New Roman" w:eastAsia="宋体"/>
                      <w:color w:val="auto"/>
                      <w:szCs w:val="21"/>
                      <w:vertAlign w:val="superscript"/>
                    </w:rPr>
                    <w:t>①</w:t>
                  </w:r>
                </w:p>
              </w:tc>
              <w:tc>
                <w:tcPr>
                  <w:tcW w:w="129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5</w:t>
                  </w:r>
                  <w:r>
                    <w:rPr>
                      <w:rFonts w:ascii="Times New Roman" w:hAnsi="Times New Roman" w:eastAsia="宋体"/>
                      <w:color w:val="auto"/>
                      <w:szCs w:val="21"/>
                    </w:rPr>
                    <w:t>（</w:t>
                  </w:r>
                  <w:r>
                    <w:rPr>
                      <w:rFonts w:hint="eastAsia" w:ascii="Times New Roman" w:hAnsi="Times New Roman" w:eastAsia="宋体"/>
                      <w:color w:val="auto"/>
                      <w:szCs w:val="21"/>
                    </w:rPr>
                    <w:t>8</w:t>
                  </w:r>
                  <w:r>
                    <w:rPr>
                      <w:rFonts w:ascii="Times New Roman" w:hAnsi="Times New Roman" w:eastAsia="宋体"/>
                      <w:color w:val="auto"/>
                      <w:szCs w:val="21"/>
                    </w:rPr>
                    <w:t>）</w:t>
                  </w:r>
                  <w:r>
                    <w:rPr>
                      <w:rFonts w:ascii="Times New Roman" w:hAnsi="Times New Roman" w:eastAsia="宋体"/>
                      <w:color w:val="auto"/>
                      <w:szCs w:val="21"/>
                      <w:vertAlign w:val="superscript"/>
                    </w:rPr>
                    <w:t>②</w:t>
                  </w:r>
                </w:p>
              </w:tc>
              <w:tc>
                <w:tcPr>
                  <w:tcW w:w="1299" w:type="pct"/>
                  <w:tcBorders>
                    <w:tl2br w:val="nil"/>
                    <w:tr2bl w:val="nil"/>
                  </w:tcBorders>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0"/>
                      <w:sz w:val="21"/>
                      <w:szCs w:val="21"/>
                      <w:lang w:val="en-US" w:eastAsia="zh-CN" w:bidi="en-US"/>
                    </w:rPr>
                  </w:pPr>
                  <w:r>
                    <w:rPr>
                      <w:rFonts w:hint="eastAsia" w:ascii="Times New Roman" w:hAnsi="Times New Roman" w:eastAsia="宋体" w:cs="Times New Roman"/>
                      <w:color w:val="000000"/>
                      <w:lang w:val="en-US" w:eastAsia="zh-CN"/>
                    </w:rPr>
                    <w:t>4</w:t>
                  </w:r>
                  <w:r>
                    <w:rPr>
                      <w:rFonts w:hint="default" w:ascii="Times New Roman" w:hAnsi="Times New Roman" w:eastAsia="宋体" w:cs="Times New Roman"/>
                      <w:color w:val="000000"/>
                    </w:rPr>
                    <w:t>（</w:t>
                  </w:r>
                  <w:r>
                    <w:rPr>
                      <w:rFonts w:hint="eastAsia" w:ascii="Times New Roman" w:hAnsi="Times New Roman" w:eastAsia="宋体" w:cs="Times New Roman"/>
                      <w:color w:val="000000"/>
                      <w:lang w:val="en-US" w:eastAsia="zh-CN"/>
                    </w:rPr>
                    <w:t>6</w:t>
                  </w:r>
                  <w:r>
                    <w:rPr>
                      <w:rFonts w:hint="default" w:ascii="Times New Roman" w:hAnsi="Times New Roman" w:eastAsia="宋体" w:cs="Times New Roman"/>
                      <w:color w:val="000000"/>
                    </w:rPr>
                    <w:t>）</w:t>
                  </w:r>
                  <w:r>
                    <w:rPr>
                      <w:rFonts w:hint="eastAsia" w:ascii="Times New Roman" w:hAnsi="Times New Roman" w:eastAsia="宋体" w:cs="Times New Roman"/>
                      <w:color w:val="000000"/>
                      <w:sz w:val="21"/>
                      <w:vertAlign w:val="superscript"/>
                      <w:lang w:val="en-US" w:eastAsia="zh-CN"/>
                    </w:rPr>
                    <w:t>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TN</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mg/L</w:t>
                  </w:r>
                </w:p>
              </w:tc>
              <w:tc>
                <w:tcPr>
                  <w:tcW w:w="1256"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70</w:t>
                  </w:r>
                  <w:r>
                    <w:rPr>
                      <w:rFonts w:ascii="Times New Roman" w:hAnsi="Times New Roman" w:eastAsia="宋体"/>
                      <w:color w:val="auto"/>
                      <w:szCs w:val="21"/>
                      <w:vertAlign w:val="superscript"/>
                    </w:rPr>
                    <w:t>①</w:t>
                  </w:r>
                </w:p>
              </w:tc>
              <w:tc>
                <w:tcPr>
                  <w:tcW w:w="129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15</w:t>
                  </w:r>
                </w:p>
              </w:tc>
              <w:tc>
                <w:tcPr>
                  <w:tcW w:w="1299" w:type="pct"/>
                  <w:tcBorders>
                    <w:tl2br w:val="nil"/>
                    <w:tr2bl w:val="nil"/>
                  </w:tcBorders>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s="Times New Roman"/>
                      <w:color w:val="000000"/>
                      <w:lang w:val="en-US" w:eastAsia="zh-CN"/>
                    </w:rPr>
                    <w:t>12（15）</w:t>
                  </w:r>
                  <w:r>
                    <w:rPr>
                      <w:rFonts w:hint="eastAsia" w:ascii="Times New Roman" w:hAnsi="Times New Roman" w:eastAsia="宋体" w:cs="Times New Roman"/>
                      <w:color w:val="000000"/>
                      <w:vertAlign w:val="superscript"/>
                      <w:lang w:val="en-US" w:eastAsia="zh-CN"/>
                    </w:rPr>
                    <w:t>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72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TP</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mg/L</w:t>
                  </w:r>
                </w:p>
              </w:tc>
              <w:tc>
                <w:tcPr>
                  <w:tcW w:w="1256"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8</w:t>
                  </w:r>
                  <w:r>
                    <w:rPr>
                      <w:rFonts w:ascii="Times New Roman" w:hAnsi="Times New Roman" w:eastAsia="宋体"/>
                      <w:color w:val="auto"/>
                      <w:szCs w:val="21"/>
                      <w:vertAlign w:val="superscript"/>
                    </w:rPr>
                    <w:t>①</w:t>
                  </w:r>
                </w:p>
              </w:tc>
              <w:tc>
                <w:tcPr>
                  <w:tcW w:w="129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0.5</w:t>
                  </w:r>
                </w:p>
              </w:tc>
              <w:tc>
                <w:tcPr>
                  <w:tcW w:w="1299" w:type="pct"/>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0.5</w:t>
                  </w:r>
                </w:p>
              </w:tc>
            </w:tr>
          </w:tbl>
          <w:p>
            <w:pPr>
              <w:adjustRightInd w:val="0"/>
              <w:snapToGrid w:val="0"/>
              <w:rPr>
                <w:rFonts w:ascii="Times New Roman" w:hAnsi="Times New Roman" w:eastAsia="宋体"/>
                <w:color w:val="auto"/>
                <w:szCs w:val="21"/>
              </w:rPr>
            </w:pPr>
            <w:r>
              <w:rPr>
                <w:rFonts w:ascii="Times New Roman" w:hAnsi="Times New Roman" w:eastAsia="宋体"/>
                <w:color w:val="auto"/>
                <w:szCs w:val="21"/>
              </w:rPr>
              <w:t>注：①接管要求中NH</w:t>
            </w:r>
            <w:r>
              <w:rPr>
                <w:rFonts w:ascii="Times New Roman" w:hAnsi="Times New Roman" w:eastAsia="宋体"/>
                <w:color w:val="auto"/>
                <w:szCs w:val="21"/>
                <w:vertAlign w:val="subscript"/>
              </w:rPr>
              <w:t>3</w:t>
            </w:r>
            <w:r>
              <w:rPr>
                <w:rFonts w:ascii="Times New Roman" w:hAnsi="Times New Roman" w:eastAsia="宋体"/>
                <w:color w:val="auto"/>
                <w:szCs w:val="21"/>
              </w:rPr>
              <w:t>-N、TN、TP参照执行《污水排入城镇下水道水质标准》（GB/T31962-2015）表1标准。</w:t>
            </w:r>
          </w:p>
          <w:p>
            <w:pPr>
              <w:adjustRightInd w:val="0"/>
              <w:snapToGrid w:val="0"/>
              <w:rPr>
                <w:rFonts w:ascii="Times New Roman" w:hAnsi="Times New Roman" w:eastAsia="宋体"/>
                <w:color w:val="auto"/>
                <w:szCs w:val="21"/>
              </w:rPr>
            </w:pPr>
            <w:r>
              <w:rPr>
                <w:rFonts w:ascii="Times New Roman" w:hAnsi="Times New Roman" w:eastAsia="宋体"/>
                <w:color w:val="auto"/>
                <w:szCs w:val="21"/>
              </w:rPr>
              <w:t>②尾水排放标准中括号外数值为水温&gt;12℃时的控制指标，括号内的数值为水温≤12℃时的控制指标。</w:t>
            </w:r>
          </w:p>
          <w:p>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③每年11月1日至次年3月31日执行括号内排放限值。</w:t>
            </w:r>
          </w:p>
          <w:p>
            <w:pPr>
              <w:tabs>
                <w:tab w:val="left" w:pos="5142"/>
              </w:tabs>
              <w:snapToGrid w:val="0"/>
              <w:jc w:val="center"/>
              <w:rPr>
                <w:rFonts w:ascii="Times New Roman" w:hAnsi="Times New Roman" w:eastAsia="宋体"/>
                <w:b/>
                <w:color w:val="auto"/>
                <w:szCs w:val="21"/>
              </w:rPr>
            </w:pPr>
          </w:p>
          <w:p>
            <w:pPr>
              <w:tabs>
                <w:tab w:val="left" w:pos="5142"/>
              </w:tabs>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根据《江苏省重点行业工业企业雨水排放管理办法（试行）》，本项目不属于重点行业，雨水排口COD、石油类执行《地表水环境质量标准》中Ⅲ类标准，即COD≤20mg/L，石油类≤0.5mg/L。</w:t>
            </w:r>
          </w:p>
          <w:p>
            <w:pPr>
              <w:tabs>
                <w:tab w:val="left" w:pos="5142"/>
              </w:tabs>
              <w:spacing w:line="360" w:lineRule="auto"/>
              <w:ind w:firstLine="482" w:firstLineChars="200"/>
              <w:rPr>
                <w:rFonts w:hint="eastAsia" w:ascii="Times New Roman" w:hAnsi="Times New Roman" w:eastAsia="宋体"/>
                <w:b/>
                <w:color w:val="auto"/>
                <w:sz w:val="24"/>
              </w:rPr>
            </w:pPr>
            <w:r>
              <w:rPr>
                <w:rFonts w:hint="eastAsia" w:ascii="Times New Roman" w:hAnsi="Times New Roman" w:eastAsia="宋体"/>
                <w:b/>
                <w:color w:val="auto"/>
                <w:sz w:val="24"/>
              </w:rPr>
              <w:t>3、噪声</w:t>
            </w:r>
            <w:r>
              <w:rPr>
                <w:rFonts w:ascii="Times New Roman" w:hAnsi="Times New Roman" w:eastAsia="宋体"/>
                <w:b/>
                <w:color w:val="auto"/>
                <w:sz w:val="24"/>
              </w:rPr>
              <w:t>排放标准</w:t>
            </w:r>
          </w:p>
          <w:p>
            <w:pPr>
              <w:tabs>
                <w:tab w:val="left" w:pos="5142"/>
              </w:tabs>
              <w:spacing w:line="360" w:lineRule="auto"/>
              <w:ind w:firstLine="480" w:firstLineChars="200"/>
              <w:rPr>
                <w:rFonts w:hint="eastAsia" w:ascii="Times New Roman" w:hAnsi="Times New Roman" w:eastAsia="宋体"/>
                <w:b/>
                <w:color w:val="auto"/>
                <w:sz w:val="24"/>
              </w:rPr>
            </w:pPr>
            <w:r>
              <w:rPr>
                <w:rFonts w:hint="eastAsia" w:ascii="Times New Roman" w:hAnsi="Times New Roman" w:eastAsia="宋体"/>
                <w:color w:val="auto"/>
                <w:sz w:val="24"/>
              </w:rPr>
              <w:t>项目营运期间，厂区各厂界噪声排放执行</w:t>
            </w:r>
            <w:r>
              <w:rPr>
                <w:rFonts w:ascii="Times New Roman" w:hAnsi="Times New Roman" w:eastAsia="宋体"/>
                <w:color w:val="auto"/>
                <w:sz w:val="24"/>
              </w:rPr>
              <w:t>《</w:t>
            </w:r>
            <w:r>
              <w:rPr>
                <w:rFonts w:hint="eastAsia" w:ascii="Times New Roman" w:hAnsi="Times New Roman" w:eastAsia="宋体"/>
                <w:color w:val="auto"/>
                <w:sz w:val="24"/>
              </w:rPr>
              <w:t>工业企业厂界环境</w:t>
            </w:r>
            <w:r>
              <w:rPr>
                <w:rFonts w:ascii="Times New Roman" w:hAnsi="Times New Roman" w:eastAsia="宋体"/>
                <w:color w:val="auto"/>
                <w:sz w:val="24"/>
              </w:rPr>
              <w:t>噪声排放标准》（GB</w:t>
            </w:r>
            <w:r>
              <w:rPr>
                <w:rFonts w:hint="eastAsia" w:ascii="Times New Roman" w:hAnsi="Times New Roman" w:eastAsia="宋体"/>
                <w:color w:val="auto"/>
                <w:sz w:val="24"/>
              </w:rPr>
              <w:t>12348</w:t>
            </w:r>
            <w:r>
              <w:rPr>
                <w:rFonts w:ascii="Times New Roman" w:hAnsi="Times New Roman" w:eastAsia="宋体"/>
                <w:color w:val="auto"/>
                <w:sz w:val="24"/>
              </w:rPr>
              <w:t>-2008）</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rPr>
              <w:t>类，具体</w:t>
            </w:r>
            <w:r>
              <w:rPr>
                <w:rFonts w:ascii="Times New Roman" w:hAnsi="Times New Roman" w:eastAsia="宋体"/>
                <w:color w:val="auto"/>
                <w:sz w:val="24"/>
              </w:rPr>
              <w:t>见表</w:t>
            </w:r>
            <w:r>
              <w:rPr>
                <w:rFonts w:hint="eastAsia" w:ascii="Times New Roman" w:hAnsi="Times New Roman" w:eastAsia="宋体"/>
                <w:color w:val="auto"/>
                <w:sz w:val="24"/>
              </w:rPr>
              <w:t>3-</w:t>
            </w:r>
            <w:r>
              <w:rPr>
                <w:rFonts w:hint="eastAsia"/>
                <w:color w:val="auto"/>
                <w:sz w:val="24"/>
                <w:lang w:val="en-US" w:eastAsia="zh-CN"/>
              </w:rPr>
              <w:t>8</w:t>
            </w:r>
            <w:r>
              <w:rPr>
                <w:rFonts w:ascii="Times New Roman" w:hAnsi="Times New Roman" w:eastAsia="宋体"/>
                <w:color w:val="auto"/>
                <w:sz w:val="24"/>
              </w:rPr>
              <w:t>。</w:t>
            </w:r>
          </w:p>
          <w:p>
            <w:pPr>
              <w:tabs>
                <w:tab w:val="left" w:pos="5142"/>
              </w:tabs>
              <w:snapToGrid w:val="0"/>
              <w:jc w:val="center"/>
              <w:rPr>
                <w:rFonts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3</w:t>
            </w:r>
            <w:r>
              <w:rPr>
                <w:rFonts w:ascii="Times New Roman" w:hAnsi="Times New Roman" w:eastAsia="宋体"/>
                <w:b/>
                <w:color w:val="auto"/>
                <w:szCs w:val="21"/>
              </w:rPr>
              <w:t>-</w:t>
            </w:r>
            <w:r>
              <w:rPr>
                <w:rFonts w:hint="eastAsia"/>
                <w:b/>
                <w:color w:val="auto"/>
                <w:szCs w:val="21"/>
                <w:lang w:val="en-US" w:eastAsia="zh-CN"/>
              </w:rPr>
              <w:t>8</w:t>
            </w:r>
            <w:r>
              <w:rPr>
                <w:rFonts w:ascii="Times New Roman" w:hAnsi="Times New Roman" w:eastAsia="宋体"/>
                <w:b/>
                <w:color w:val="auto"/>
                <w:szCs w:val="21"/>
              </w:rPr>
              <w:t xml:space="preserve"> </w:t>
            </w:r>
            <w:r>
              <w:rPr>
                <w:rFonts w:hint="eastAsia" w:ascii="Times New Roman" w:hAnsi="Times New Roman" w:eastAsia="宋体"/>
                <w:b/>
                <w:color w:val="auto"/>
                <w:szCs w:val="21"/>
              </w:rPr>
              <w:t xml:space="preserve"> 工业企业厂界</w:t>
            </w:r>
            <w:r>
              <w:rPr>
                <w:rFonts w:ascii="Times New Roman" w:hAnsi="Times New Roman" w:eastAsia="宋体"/>
                <w:b/>
                <w:color w:val="auto"/>
                <w:szCs w:val="21"/>
              </w:rPr>
              <w:t>环境噪声排放标准</w:t>
            </w:r>
          </w:p>
          <w:tbl>
            <w:tblPr>
              <w:tblStyle w:val="21"/>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402"/>
              <w:gridCol w:w="1329"/>
              <w:gridCol w:w="1331"/>
              <w:gridCol w:w="1346"/>
              <w:gridCol w:w="286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1387" w:type="dxa"/>
                  <w:vMerge w:val="restart"/>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适用区域</w:t>
                  </w:r>
                </w:p>
              </w:tc>
              <w:tc>
                <w:tcPr>
                  <w:tcW w:w="1314" w:type="dxa"/>
                  <w:vMerge w:val="restart"/>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功能区类别</w:t>
                  </w:r>
                </w:p>
              </w:tc>
              <w:tc>
                <w:tcPr>
                  <w:tcW w:w="2647" w:type="dxa"/>
                  <w:gridSpan w:val="2"/>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标准限值（dB（A））</w:t>
                  </w:r>
                </w:p>
              </w:tc>
              <w:tc>
                <w:tcPr>
                  <w:tcW w:w="2829"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bCs/>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6" w:hRule="atLeast"/>
                <w:jc w:val="center"/>
              </w:trPr>
              <w:tc>
                <w:tcPr>
                  <w:tcW w:w="1387" w:type="dxa"/>
                  <w:vMerge w:val="continue"/>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p>
              </w:tc>
              <w:tc>
                <w:tcPr>
                  <w:tcW w:w="1314" w:type="dxa"/>
                  <w:vMerge w:val="continue"/>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p>
              </w:tc>
              <w:tc>
                <w:tcPr>
                  <w:tcW w:w="1316" w:type="dxa"/>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昼间</w:t>
                  </w:r>
                </w:p>
              </w:tc>
              <w:tc>
                <w:tcPr>
                  <w:tcW w:w="1331" w:type="dxa"/>
                  <w:tcBorders>
                    <w:tl2br w:val="nil"/>
                    <w:tr2bl w:val="nil"/>
                  </w:tcBorders>
                  <w:tcMar>
                    <w:left w:w="0" w:type="dxa"/>
                    <w:right w:w="0" w:type="dxa"/>
                  </w:tcMar>
                  <w:vAlign w:val="center"/>
                </w:tcPr>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夜间</w:t>
                  </w:r>
                </w:p>
              </w:tc>
              <w:tc>
                <w:tcPr>
                  <w:tcW w:w="2829" w:type="dxa"/>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1387" w:type="dxa"/>
                  <w:tcBorders>
                    <w:tl2br w:val="nil"/>
                    <w:tr2bl w:val="nil"/>
                  </w:tcBorders>
                  <w:tcMar>
                    <w:left w:w="0" w:type="dxa"/>
                    <w:right w:w="0" w:type="dxa"/>
                  </w:tcMar>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各厂界</w:t>
                  </w:r>
                </w:p>
              </w:tc>
              <w:tc>
                <w:tcPr>
                  <w:tcW w:w="1314" w:type="dxa"/>
                  <w:tcBorders>
                    <w:tl2br w:val="nil"/>
                    <w:tr2bl w:val="nil"/>
                  </w:tcBorders>
                  <w:tcMar>
                    <w:left w:w="0" w:type="dxa"/>
                    <w:right w:w="0" w:type="dxa"/>
                  </w:tcMar>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3</w:t>
                  </w:r>
                  <w:r>
                    <w:rPr>
                      <w:rFonts w:hint="eastAsia" w:ascii="Times New Roman" w:hAnsi="Times New Roman" w:eastAsia="宋体"/>
                      <w:color w:val="auto"/>
                      <w:szCs w:val="21"/>
                    </w:rPr>
                    <w:t>类</w:t>
                  </w:r>
                </w:p>
              </w:tc>
              <w:tc>
                <w:tcPr>
                  <w:tcW w:w="1316" w:type="dxa"/>
                  <w:tcBorders>
                    <w:tl2br w:val="nil"/>
                    <w:tr2bl w:val="nil"/>
                  </w:tcBorders>
                  <w:tcMar>
                    <w:left w:w="0" w:type="dxa"/>
                    <w:right w:w="0" w:type="dxa"/>
                  </w:tcMar>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c>
                <w:tcPr>
                  <w:tcW w:w="1331" w:type="dxa"/>
                  <w:tcBorders>
                    <w:tl2br w:val="nil"/>
                    <w:tr2bl w:val="nil"/>
                  </w:tcBorders>
                  <w:tcMar>
                    <w:left w:w="0" w:type="dxa"/>
                    <w:right w:w="0" w:type="dxa"/>
                  </w:tcMar>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5</w:t>
                  </w:r>
                  <w:r>
                    <w:rPr>
                      <w:rFonts w:hint="eastAsia" w:ascii="Times New Roman" w:hAnsi="Times New Roman" w:eastAsia="宋体"/>
                      <w:color w:val="auto"/>
                      <w:szCs w:val="21"/>
                      <w:lang w:val="en-US" w:eastAsia="zh-CN"/>
                    </w:rPr>
                    <w:t>5</w:t>
                  </w:r>
                </w:p>
              </w:tc>
              <w:tc>
                <w:tcPr>
                  <w:tcW w:w="2829" w:type="dxa"/>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《工业企业厂界环境噪声排放标准》（GB12348-2008）</w:t>
                  </w:r>
                </w:p>
              </w:tc>
            </w:tr>
          </w:tbl>
          <w:p>
            <w:pPr>
              <w:tabs>
                <w:tab w:val="left" w:pos="5142"/>
              </w:tabs>
              <w:spacing w:line="360" w:lineRule="auto"/>
              <w:ind w:firstLine="422" w:firstLineChars="200"/>
              <w:rPr>
                <w:rFonts w:ascii="Times New Roman" w:hAnsi="Times New Roman" w:eastAsia="宋体"/>
                <w:b/>
                <w:color w:val="auto"/>
                <w:szCs w:val="21"/>
              </w:rPr>
            </w:pPr>
            <w:r>
              <w:rPr>
                <w:rFonts w:hint="eastAsia" w:ascii="Times New Roman" w:hAnsi="Times New Roman" w:eastAsia="宋体"/>
                <w:b/>
                <w:color w:val="auto"/>
                <w:szCs w:val="21"/>
              </w:rPr>
              <w:t>4、</w:t>
            </w:r>
            <w:r>
              <w:rPr>
                <w:rFonts w:ascii="Times New Roman" w:hAnsi="Times New Roman" w:eastAsia="宋体"/>
                <w:b/>
                <w:color w:val="auto"/>
                <w:szCs w:val="21"/>
              </w:rPr>
              <w:t>固体废物排放标准</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本项目产生的一般工业固体废物储存执行《一般工业固体废物贮存和填埋污染控制标准》（GB18599-2020）及《关于发布</w:t>
            </w:r>
            <w:r>
              <w:rPr>
                <w:rFonts w:hint="eastAsia" w:ascii="Times New Roman" w:hAnsi="Times New Roman" w:eastAsia="宋体"/>
                <w:color w:val="auto"/>
                <w:sz w:val="24"/>
              </w:rPr>
              <w:t>〈</w:t>
            </w:r>
            <w:r>
              <w:rPr>
                <w:rFonts w:ascii="Times New Roman" w:hAnsi="Times New Roman" w:eastAsia="宋体"/>
                <w:color w:val="auto"/>
                <w:sz w:val="24"/>
              </w:rPr>
              <w:t>一般工业固体废物贮存、处置场污染控制标准</w:t>
            </w:r>
            <w:r>
              <w:rPr>
                <w:rFonts w:hint="eastAsia" w:ascii="Times New Roman" w:hAnsi="Times New Roman" w:eastAsia="宋体"/>
                <w:color w:val="auto"/>
                <w:sz w:val="24"/>
              </w:rPr>
              <w:t>〉</w:t>
            </w:r>
            <w:r>
              <w:rPr>
                <w:rFonts w:ascii="Times New Roman" w:hAnsi="Times New Roman" w:eastAsia="宋体"/>
                <w:color w:val="auto"/>
                <w:sz w:val="24"/>
              </w:rPr>
              <w:t>（GB18599-2020）等三项固体废物污染物控制标准的公告》（2020年第65号公告）中的相关规定。</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危险废物在厂内储放执行《危险废物贮存污染控制标准》（</w:t>
            </w:r>
            <w:r>
              <w:rPr>
                <w:rFonts w:hint="eastAsia" w:ascii="Times New Roman" w:hAnsi="Times New Roman" w:eastAsia="宋体"/>
                <w:color w:val="auto"/>
                <w:sz w:val="24"/>
              </w:rPr>
              <w:t>GB18597-2023</w:t>
            </w:r>
            <w:r>
              <w:rPr>
                <w:rFonts w:ascii="Times New Roman" w:hAnsi="Times New Roman" w:eastAsia="宋体"/>
                <w:color w:val="auto"/>
                <w:sz w:val="24"/>
              </w:rPr>
              <w:t>）、《危险废物收集储存运输技术规范》（HJ2025-2012）、《关于进一步加强危险废物环境管理工作的通知》（苏环办〔2021〕207号）</w:t>
            </w:r>
            <w:r>
              <w:rPr>
                <w:rFonts w:hint="eastAsia" w:ascii="Times New Roman" w:hAnsi="Times New Roman" w:eastAsia="宋体"/>
                <w:color w:val="auto"/>
                <w:sz w:val="24"/>
              </w:rPr>
              <w:t>、《江苏省固体废物全过程环境监管工作意见》（苏环办〔</w:t>
            </w:r>
            <w:bookmarkStart w:id="21" w:name="bhsj"/>
            <w:r>
              <w:rPr>
                <w:rFonts w:hint="eastAsia" w:ascii="Times New Roman" w:hAnsi="Times New Roman" w:eastAsia="宋体"/>
                <w:color w:val="auto"/>
                <w:sz w:val="24"/>
              </w:rPr>
              <w:t>2024</w:t>
            </w:r>
            <w:bookmarkEnd w:id="21"/>
            <w:r>
              <w:rPr>
                <w:rFonts w:hint="eastAsia" w:ascii="Times New Roman" w:hAnsi="Times New Roman" w:eastAsia="宋体"/>
                <w:color w:val="auto"/>
                <w:sz w:val="24"/>
              </w:rPr>
              <w:t>〕</w:t>
            </w:r>
            <w:bookmarkStart w:id="22" w:name="xh"/>
            <w:r>
              <w:rPr>
                <w:rFonts w:hint="eastAsia" w:ascii="Times New Roman" w:hAnsi="Times New Roman" w:eastAsia="宋体"/>
                <w:color w:val="auto"/>
                <w:sz w:val="24"/>
              </w:rPr>
              <w:t>16</w:t>
            </w:r>
            <w:bookmarkEnd w:id="22"/>
            <w:r>
              <w:rPr>
                <w:rFonts w:hint="eastAsia" w:ascii="Times New Roman" w:hAnsi="Times New Roman" w:eastAsia="宋体"/>
                <w:color w:val="auto"/>
                <w:sz w:val="24"/>
              </w:rPr>
              <w:t>号）</w:t>
            </w:r>
            <w:r>
              <w:rPr>
                <w:rFonts w:ascii="Times New Roman" w:hAnsi="Times New Roman" w:eastAsia="宋体"/>
                <w:color w:val="auto"/>
                <w:sz w:val="24"/>
              </w:rPr>
              <w:t>中相关规定要求进行危险废物的包装、贮存设施的选址、设计、运行、安全防护、监测和关闭等要求进行合理的贮存。</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生活垃圾处置参照执行《城市生活垃圾处理及污染防治技术政策》（建成〔2000〕120号）和《生活垃圾处理技术指南》（建城〔2010〕61号）以及国家、省市关于固体废物污染环境防治的法律法规</w:t>
            </w:r>
            <w:r>
              <w:rPr>
                <w:rFonts w:ascii="Times New Roman" w:hAnsi="Times New Roman" w:eastAsia="宋体"/>
                <w:color w:val="auto"/>
                <w:sz w:val="24"/>
              </w:rPr>
              <w:t>。</w:t>
            </w:r>
          </w:p>
          <w:p>
            <w:pPr>
              <w:spacing w:line="360" w:lineRule="auto"/>
              <w:ind w:firstLine="420" w:firstLineChars="200"/>
              <w:rPr>
                <w:rFonts w:ascii="Times New Roman" w:hAnsi="Times New Roman" w:eastAsia="宋体"/>
                <w:color w:val="auto"/>
                <w:szCs w:val="21"/>
              </w:rPr>
            </w:pPr>
          </w:p>
          <w:p>
            <w:pPr>
              <w:spacing w:line="360" w:lineRule="auto"/>
              <w:ind w:firstLine="420" w:firstLineChars="200"/>
              <w:rPr>
                <w:rFonts w:ascii="Times New Roman" w:hAnsi="Times New Roman" w:eastAsia="宋体"/>
                <w:color w:val="auto"/>
                <w:szCs w:val="21"/>
              </w:rPr>
            </w:pPr>
          </w:p>
          <w:p>
            <w:pPr>
              <w:spacing w:line="360" w:lineRule="auto"/>
              <w:ind w:firstLine="420" w:firstLineChars="200"/>
              <w:rPr>
                <w:rFonts w:ascii="Times New Roman" w:hAnsi="Times New Roman" w:eastAsia="宋体"/>
                <w:color w:val="auto"/>
                <w:szCs w:val="21"/>
              </w:rPr>
            </w:pPr>
          </w:p>
          <w:p>
            <w:pPr>
              <w:spacing w:line="360" w:lineRule="auto"/>
              <w:rPr>
                <w:rFonts w:ascii="Times New Roman" w:hAnsi="Times New Roman" w:eastAsia="宋体"/>
                <w:color w:val="auto"/>
                <w:szCs w:val="21"/>
              </w:rPr>
            </w:pPr>
          </w:p>
          <w:p>
            <w:pPr>
              <w:spacing w:line="360" w:lineRule="auto"/>
              <w:ind w:firstLine="420" w:firstLineChars="200"/>
              <w:rPr>
                <w:rFonts w:hint="eastAsia" w:ascii="Times New Roman" w:hAnsi="Times New Roman" w:eastAsia="宋体"/>
                <w:snapToGrid w:val="0"/>
                <w:color w:val="auto"/>
                <w:szCs w:val="21"/>
              </w:rPr>
            </w:pPr>
          </w:p>
        </w:tc>
      </w:tr>
    </w:tbl>
    <w:p>
      <w:pPr>
        <w:pStyle w:val="16"/>
        <w:jc w:val="center"/>
        <w:outlineLvl w:val="0"/>
        <w:rPr>
          <w:rFonts w:hint="eastAsia" w:ascii="黑体" w:hAnsi="黑体" w:eastAsia="黑体"/>
          <w:snapToGrid w:val="0"/>
          <w:color w:val="auto"/>
          <w:sz w:val="36"/>
          <w:szCs w:val="36"/>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1"/>
        <w:tblW w:w="13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709" w:type="dxa"/>
            <w:vAlign w:val="center"/>
          </w:tcPr>
          <w:p>
            <w:pPr>
              <w:pStyle w:val="16"/>
              <w:jc w:val="center"/>
              <w:outlineLvl w:val="0"/>
              <w:rPr>
                <w:rFonts w:hint="eastAsia" w:ascii="Times New Roman" w:hAnsi="Times New Roman" w:eastAsia="宋体"/>
                <w:snapToGrid w:val="0"/>
                <w:color w:val="auto"/>
                <w:sz w:val="21"/>
                <w:szCs w:val="21"/>
              </w:rPr>
            </w:pPr>
            <w:r>
              <w:rPr>
                <w:rFonts w:hint="eastAsia" w:ascii="Times New Roman" w:hAnsi="Times New Roman" w:eastAsia="宋体"/>
                <w:bCs/>
                <w:color w:val="auto"/>
                <w:kern w:val="2"/>
                <w:sz w:val="21"/>
                <w:szCs w:val="21"/>
              </w:rPr>
              <w:t>总量控制指标</w:t>
            </w:r>
          </w:p>
        </w:tc>
        <w:tc>
          <w:tcPr>
            <w:tcW w:w="12603" w:type="dxa"/>
          </w:tcPr>
          <w:p>
            <w:pPr>
              <w:tabs>
                <w:tab w:val="left" w:pos="2415"/>
                <w:tab w:val="center" w:pos="4662"/>
              </w:tabs>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1、总量控制指标</w:t>
            </w:r>
          </w:p>
          <w:p>
            <w:pPr>
              <w:adjustRightInd w:val="0"/>
              <w:snapToGrid w:val="0"/>
              <w:spacing w:line="360" w:lineRule="auto"/>
              <w:ind w:firstLine="480"/>
              <w:rPr>
                <w:rFonts w:ascii="Times New Roman" w:hAnsi="Times New Roman" w:eastAsia="宋体"/>
                <w:b/>
                <w:bCs/>
                <w:color w:val="auto"/>
                <w:sz w:val="24"/>
              </w:rPr>
            </w:pPr>
            <w:r>
              <w:rPr>
                <w:rFonts w:hint="eastAsia" w:ascii="Times New Roman" w:hAnsi="Times New Roman" w:eastAsia="宋体"/>
                <w:color w:val="auto"/>
                <w:sz w:val="24"/>
              </w:rPr>
              <w:t>本次</w:t>
            </w:r>
            <w:r>
              <w:rPr>
                <w:rFonts w:hint="eastAsia" w:ascii="Times New Roman" w:hAnsi="Times New Roman" w:eastAsia="宋体"/>
                <w:color w:val="auto"/>
                <w:sz w:val="24"/>
                <w:lang w:val="en-US" w:eastAsia="zh-CN"/>
              </w:rPr>
              <w:t>技改</w:t>
            </w:r>
            <w:r>
              <w:rPr>
                <w:rFonts w:hint="eastAsia" w:ascii="Times New Roman" w:hAnsi="Times New Roman" w:eastAsia="宋体"/>
                <w:color w:val="auto"/>
                <w:sz w:val="24"/>
              </w:rPr>
              <w:t>项目</w:t>
            </w:r>
            <w:r>
              <w:rPr>
                <w:rFonts w:ascii="Times New Roman" w:hAnsi="Times New Roman" w:eastAsia="宋体"/>
                <w:color w:val="auto"/>
                <w:sz w:val="24"/>
              </w:rPr>
              <w:t>污染物排放总量控制（考核）指标见表3-</w:t>
            </w:r>
            <w:r>
              <w:rPr>
                <w:rFonts w:hint="eastAsia"/>
                <w:color w:val="auto"/>
                <w:sz w:val="24"/>
                <w:lang w:val="en-US" w:eastAsia="zh-CN"/>
              </w:rPr>
              <w:t>9</w:t>
            </w:r>
            <w:r>
              <w:rPr>
                <w:rFonts w:ascii="Times New Roman" w:hAnsi="Times New Roman" w:eastAsia="宋体"/>
                <w:color w:val="auto"/>
                <w:sz w:val="24"/>
              </w:rPr>
              <w:t>。</w:t>
            </w:r>
          </w:p>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表3-</w:t>
            </w:r>
            <w:r>
              <w:rPr>
                <w:rFonts w:hint="eastAsia"/>
                <w:b/>
                <w:bCs/>
                <w:color w:val="auto"/>
                <w:szCs w:val="21"/>
                <w:lang w:val="en-US" w:eastAsia="zh-CN"/>
              </w:rPr>
              <w:t>9</w:t>
            </w:r>
            <w:r>
              <w:rPr>
                <w:rFonts w:ascii="Times New Roman" w:hAnsi="Times New Roman" w:eastAsia="宋体"/>
                <w:b/>
                <w:bCs/>
                <w:color w:val="auto"/>
                <w:szCs w:val="21"/>
              </w:rPr>
              <w:t xml:space="preserve">  </w:t>
            </w:r>
            <w:r>
              <w:rPr>
                <w:rFonts w:hint="eastAsia" w:ascii="Times New Roman" w:hAnsi="Times New Roman" w:eastAsia="宋体"/>
                <w:b/>
                <w:bCs/>
                <w:color w:val="auto"/>
                <w:szCs w:val="21"/>
              </w:rPr>
              <w:t>本次</w:t>
            </w:r>
            <w:r>
              <w:rPr>
                <w:rFonts w:hint="eastAsia" w:ascii="Times New Roman" w:hAnsi="Times New Roman" w:eastAsia="宋体"/>
                <w:b/>
                <w:bCs/>
                <w:color w:val="auto"/>
                <w:szCs w:val="21"/>
                <w:lang w:val="en-US" w:eastAsia="zh-CN"/>
              </w:rPr>
              <w:t>技改</w:t>
            </w:r>
            <w:r>
              <w:rPr>
                <w:rFonts w:hint="eastAsia" w:ascii="Times New Roman" w:hAnsi="Times New Roman" w:eastAsia="宋体"/>
                <w:b/>
                <w:bCs/>
                <w:color w:val="auto"/>
                <w:szCs w:val="21"/>
              </w:rPr>
              <w:t>项目</w:t>
            </w:r>
            <w:r>
              <w:rPr>
                <w:rFonts w:ascii="Times New Roman" w:hAnsi="Times New Roman" w:eastAsia="宋体"/>
                <w:b/>
                <w:bCs/>
                <w:color w:val="auto"/>
                <w:szCs w:val="21"/>
              </w:rPr>
              <w:t>污染物排放总量控制（考核）指标   单位：t/a</w:t>
            </w:r>
          </w:p>
          <w:tbl>
            <w:tblPr>
              <w:tblStyle w:val="21"/>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006"/>
              <w:gridCol w:w="974"/>
              <w:gridCol w:w="643"/>
              <w:gridCol w:w="1491"/>
              <w:gridCol w:w="1741"/>
              <w:gridCol w:w="2208"/>
              <w:gridCol w:w="2147"/>
              <w:gridCol w:w="21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257" w:type="pct"/>
                  <w:gridSpan w:val="3"/>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704"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893"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削减量</w:t>
                  </w:r>
                </w:p>
              </w:tc>
              <w:tc>
                <w:tcPr>
                  <w:tcW w:w="868"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接管</w:t>
                  </w:r>
                  <w:r>
                    <w:rPr>
                      <w:rFonts w:hint="eastAsia" w:ascii="Times New Roman" w:hAnsi="Times New Roman" w:eastAsia="宋体" w:cs="Times New Roman"/>
                      <w:b/>
                      <w:bCs/>
                      <w:color w:val="auto"/>
                      <w:sz w:val="21"/>
                      <w:szCs w:val="21"/>
                      <w:lang w:eastAsia="zh-CN"/>
                    </w:rPr>
                    <w:t>量</w:t>
                  </w:r>
                </w:p>
              </w:tc>
              <w:tc>
                <w:tcPr>
                  <w:tcW w:w="868"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b/>
                      <w:bCs/>
                      <w:color w:val="auto"/>
                      <w:szCs w:val="18"/>
                    </w:rPr>
                    <w:t>外排环境量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restar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394" w:type="pct"/>
                  <w:vMerge w:val="restar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有组织</w:t>
                  </w:r>
                </w:p>
              </w:tc>
              <w:tc>
                <w:tcPr>
                  <w:tcW w:w="863" w:type="pct"/>
                  <w:gridSpan w:val="2"/>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颗粒物</w:t>
                  </w:r>
                </w:p>
              </w:tc>
              <w:tc>
                <w:tcPr>
                  <w:tcW w:w="70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0.788</w:t>
                  </w:r>
                </w:p>
              </w:tc>
              <w:tc>
                <w:tcPr>
                  <w:tcW w:w="89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olor w:val="auto"/>
                      <w:sz w:val="21"/>
                      <w:szCs w:val="21"/>
                      <w:lang w:val="en-US" w:eastAsia="zh-CN"/>
                    </w:rPr>
                    <w:t>0.7565</w:t>
                  </w:r>
                </w:p>
              </w:tc>
              <w:tc>
                <w:tcPr>
                  <w:tcW w:w="8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lang w:val="en-US" w:eastAsia="zh-CN"/>
                    </w:rPr>
                    <w:t>/</w:t>
                  </w:r>
                </w:p>
              </w:tc>
              <w:tc>
                <w:tcPr>
                  <w:tcW w:w="8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w:t>
                  </w:r>
                  <w:r>
                    <w:rPr>
                      <w:rFonts w:hint="eastAsia" w:cs="Times New Roman"/>
                      <w:color w:val="auto"/>
                      <w:kern w:val="2"/>
                      <w:sz w:val="21"/>
                      <w:szCs w:val="21"/>
                      <w:lang w:val="en-US" w:eastAsia="zh-CN" w:bidi="ar-SA"/>
                    </w:rPr>
                    <w:t>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394"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863" w:type="pct"/>
                  <w:gridSpan w:val="2"/>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iCs/>
                      <w:color w:val="auto"/>
                      <w:spacing w:val="-4"/>
                      <w:kern w:val="0"/>
                      <w:sz w:val="21"/>
                      <w:szCs w:val="21"/>
                      <w:lang w:val="en-US" w:eastAsia="zh-CN" w:bidi="ar"/>
                    </w:rPr>
                  </w:pPr>
                  <w:r>
                    <w:rPr>
                      <w:rFonts w:hint="eastAsia" w:ascii="Times New Roman" w:hAnsi="Times New Roman" w:eastAsia="宋体" w:cs="Times New Roman"/>
                      <w:b w:val="0"/>
                      <w:bCs w:val="0"/>
                      <w:color w:val="auto"/>
                      <w:sz w:val="21"/>
                      <w:szCs w:val="21"/>
                      <w:lang w:eastAsia="zh-CN"/>
                    </w:rPr>
                    <w:t>非甲烷总烃</w:t>
                  </w:r>
                </w:p>
              </w:tc>
              <w:tc>
                <w:tcPr>
                  <w:tcW w:w="70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1.458</w:t>
                  </w:r>
                </w:p>
              </w:tc>
              <w:tc>
                <w:tcPr>
                  <w:tcW w:w="89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olor w:val="auto"/>
                      <w:sz w:val="21"/>
                      <w:szCs w:val="21"/>
                      <w:lang w:val="en-US" w:eastAsia="zh-CN"/>
                    </w:rPr>
                    <w:t>1.3851</w:t>
                  </w:r>
                </w:p>
              </w:tc>
              <w:tc>
                <w:tcPr>
                  <w:tcW w:w="8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61"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394"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260" w:type="pct"/>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val="0"/>
                      <w:bCs w:val="0"/>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其中</w:t>
                  </w:r>
                </w:p>
              </w:tc>
              <w:tc>
                <w:tcPr>
                  <w:tcW w:w="603" w:type="pct"/>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二甲苯</w:t>
                  </w:r>
                </w:p>
              </w:tc>
              <w:tc>
                <w:tcPr>
                  <w:tcW w:w="70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0.134</w:t>
                  </w:r>
                </w:p>
              </w:tc>
              <w:tc>
                <w:tcPr>
                  <w:tcW w:w="89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0.1273</w:t>
                  </w:r>
                </w:p>
              </w:tc>
              <w:tc>
                <w:tcPr>
                  <w:tcW w:w="8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394" w:type="pct"/>
                  <w:vMerge w:val="restar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w:t>
                  </w:r>
                </w:p>
              </w:tc>
              <w:tc>
                <w:tcPr>
                  <w:tcW w:w="863" w:type="pct"/>
                  <w:gridSpan w:val="2"/>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颗粒物</w:t>
                  </w:r>
                </w:p>
              </w:tc>
              <w:tc>
                <w:tcPr>
                  <w:tcW w:w="7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0.0414</w:t>
                  </w:r>
                </w:p>
              </w:tc>
              <w:tc>
                <w:tcPr>
                  <w:tcW w:w="8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394"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863" w:type="pct"/>
                  <w:gridSpan w:val="2"/>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iCs/>
                      <w:color w:val="auto"/>
                      <w:spacing w:val="-4"/>
                      <w:kern w:val="0"/>
                      <w:sz w:val="21"/>
                      <w:szCs w:val="21"/>
                      <w:lang w:val="en-US" w:eastAsia="zh-CN" w:bidi="ar"/>
                    </w:rPr>
                  </w:pPr>
                  <w:r>
                    <w:rPr>
                      <w:rFonts w:hint="eastAsia" w:ascii="Times New Roman" w:hAnsi="Times New Roman" w:eastAsia="宋体" w:cs="Times New Roman"/>
                      <w:b w:val="0"/>
                      <w:bCs w:val="0"/>
                      <w:color w:val="auto"/>
                      <w:sz w:val="21"/>
                      <w:szCs w:val="21"/>
                      <w:lang w:eastAsia="zh-CN"/>
                    </w:rPr>
                    <w:t>非甲烷总烃</w:t>
                  </w:r>
                </w:p>
              </w:tc>
              <w:tc>
                <w:tcPr>
                  <w:tcW w:w="70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0.0796</w:t>
                  </w:r>
                </w:p>
              </w:tc>
              <w:tc>
                <w:tcPr>
                  <w:tcW w:w="8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8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86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b w:val="0"/>
                      <w:bCs/>
                      <w:color w:val="auto"/>
                      <w:kern w:val="2"/>
                      <w:sz w:val="21"/>
                      <w:szCs w:val="21"/>
                      <w:lang w:val="en-US" w:eastAsia="zh-CN" w:bidi="ar-SA"/>
                    </w:rPr>
                    <w:t>0.0796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394"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260" w:type="pct"/>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ascii="Times New Roman" w:hAnsi="Times New Roman" w:eastAsia="宋体"/>
                      <w:color w:val="auto"/>
                    </w:rPr>
                  </w:pPr>
                  <w:r>
                    <w:rPr>
                      <w:rFonts w:hint="eastAsia" w:ascii="Times New Roman" w:hAnsi="Times New Roman" w:eastAsia="宋体" w:cs="Times New Roman"/>
                      <w:b w:val="0"/>
                      <w:bCs w:val="0"/>
                      <w:iCs/>
                      <w:color w:val="auto"/>
                      <w:spacing w:val="-4"/>
                      <w:kern w:val="0"/>
                      <w:sz w:val="21"/>
                      <w:szCs w:val="21"/>
                      <w:lang w:val="en-US" w:eastAsia="zh-CN" w:bidi="ar"/>
                    </w:rPr>
                    <w:t>其中</w:t>
                  </w:r>
                </w:p>
              </w:tc>
              <w:tc>
                <w:tcPr>
                  <w:tcW w:w="603" w:type="pct"/>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二甲苯</w:t>
                  </w:r>
                </w:p>
              </w:tc>
              <w:tc>
                <w:tcPr>
                  <w:tcW w:w="7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c>
                <w:tcPr>
                  <w:tcW w:w="8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w:t>
                  </w:r>
                </w:p>
              </w:tc>
              <w:tc>
                <w:tcPr>
                  <w:tcW w:w="8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w:t>
                  </w:r>
                </w:p>
              </w:tc>
              <w:tc>
                <w:tcPr>
                  <w:tcW w:w="8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restar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257" w:type="pct"/>
                  <w:gridSpan w:val="3"/>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704"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893"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68"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868"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0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0.0408</w:t>
                  </w:r>
                </w:p>
              </w:tc>
              <w:tc>
                <w:tcPr>
                  <w:tcW w:w="22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0.0163</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0.024</w:t>
                  </w:r>
                  <w:r>
                    <w:rPr>
                      <w:rFonts w:hint="eastAsia" w:ascii="Times New Roman" w:hAnsi="Times New Roman" w:eastAsia="宋体" w:cs="Times New Roman"/>
                      <w:i w:val="0"/>
                      <w:iCs w:val="0"/>
                      <w:color w:val="000000"/>
                      <w:kern w:val="0"/>
                      <w:sz w:val="21"/>
                      <w:szCs w:val="21"/>
                      <w:u w:val="none"/>
                      <w:lang w:val="en-US" w:eastAsia="zh-CN" w:bidi="ar"/>
                    </w:rPr>
                    <w:t>5</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0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0.018</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0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0.0039</w:t>
                  </w:r>
                </w:p>
              </w:tc>
              <w:tc>
                <w:tcPr>
                  <w:tcW w:w="22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0.0004</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0.0035</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70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0.0005</w:t>
                  </w:r>
                </w:p>
              </w:tc>
              <w:tc>
                <w:tcPr>
                  <w:tcW w:w="22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0.0001</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TN</w:t>
                  </w:r>
                </w:p>
              </w:tc>
              <w:tc>
                <w:tcPr>
                  <w:tcW w:w="70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0.005</w:t>
                  </w:r>
                  <w:r>
                    <w:rPr>
                      <w:rFonts w:hint="eastAsia" w:ascii="Times New Roman" w:hAnsi="Times New Roman" w:eastAsia="宋体" w:cs="Times New Roman"/>
                      <w:i w:val="0"/>
                      <w:iCs w:val="0"/>
                      <w:color w:val="000000"/>
                      <w:kern w:val="0"/>
                      <w:sz w:val="21"/>
                      <w:szCs w:val="21"/>
                      <w:u w:val="none"/>
                      <w:lang w:val="en-US" w:eastAsia="zh-CN" w:bidi="ar"/>
                    </w:rPr>
                    <w:t>4</w:t>
                  </w:r>
                </w:p>
              </w:tc>
              <w:tc>
                <w:tcPr>
                  <w:tcW w:w="22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0.0006</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8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restar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napToGrid/>
                    <w:spacing w:line="320" w:lineRule="exact"/>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危险废物</w:t>
                  </w:r>
                </w:p>
              </w:tc>
              <w:tc>
                <w:tcPr>
                  <w:tcW w:w="70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16.91</w:t>
                  </w:r>
                </w:p>
              </w:tc>
              <w:tc>
                <w:tcPr>
                  <w:tcW w:w="89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16.91</w:t>
                  </w:r>
                </w:p>
              </w:tc>
              <w:tc>
                <w:tcPr>
                  <w:tcW w:w="868" w:type="pct"/>
                  <w:tcBorders>
                    <w:tl2br w:val="nil"/>
                    <w:tr2bl w:val="nil"/>
                  </w:tcBorders>
                  <w:vAlign w:val="center"/>
                </w:tcPr>
                <w:p>
                  <w:pPr>
                    <w:pStyle w:val="33"/>
                    <w:keepNext w:val="0"/>
                    <w:keepLines w:val="0"/>
                    <w:pageBreakBefore w:val="0"/>
                    <w:kinsoku/>
                    <w:wordWrap/>
                    <w:overflowPunct/>
                    <w:topLinePunct w:val="0"/>
                    <w:autoSpaceDE/>
                    <w:autoSpaceDN/>
                    <w:bidi w:val="0"/>
                    <w:snapToGrid/>
                    <w:spacing w:line="320" w:lineRule="exact"/>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w:t>
                  </w:r>
                </w:p>
              </w:tc>
              <w:tc>
                <w:tcPr>
                  <w:tcW w:w="868" w:type="pct"/>
                  <w:tcBorders>
                    <w:tl2br w:val="nil"/>
                    <w:tr2bl w:val="nil"/>
                  </w:tcBorders>
                  <w:vAlign w:val="center"/>
                </w:tcPr>
                <w:p>
                  <w:pPr>
                    <w:pStyle w:val="33"/>
                    <w:keepNext w:val="0"/>
                    <w:keepLines w:val="0"/>
                    <w:pageBreakBefore w:val="0"/>
                    <w:kinsoku/>
                    <w:wordWrap/>
                    <w:overflowPunct/>
                    <w:topLinePunct w:val="0"/>
                    <w:autoSpaceDE/>
                    <w:autoSpaceDN/>
                    <w:bidi w:val="0"/>
                    <w:snapToGrid/>
                    <w:spacing w:line="320" w:lineRule="exact"/>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257" w:type="pct"/>
                  <w:gridSpan w:val="3"/>
                  <w:tcBorders>
                    <w:tl2br w:val="nil"/>
                    <w:tr2bl w:val="nil"/>
                  </w:tcBorders>
                  <w:vAlign w:val="center"/>
                </w:tcPr>
                <w:p>
                  <w:pPr>
                    <w:pStyle w:val="33"/>
                    <w:keepNext w:val="0"/>
                    <w:keepLines w:val="0"/>
                    <w:pageBreakBefore w:val="0"/>
                    <w:kinsoku/>
                    <w:wordWrap/>
                    <w:overflowPunct/>
                    <w:topLinePunct w:val="0"/>
                    <w:autoSpaceDE/>
                    <w:autoSpaceDN/>
                    <w:bidi w:val="0"/>
                    <w:snapToGrid/>
                    <w:spacing w:line="320" w:lineRule="exact"/>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生活垃圾</w:t>
                  </w:r>
                </w:p>
              </w:tc>
              <w:tc>
                <w:tcPr>
                  <w:tcW w:w="704" w:type="pct"/>
                  <w:tcBorders>
                    <w:tl2br w:val="nil"/>
                    <w:tr2bl w:val="nil"/>
                  </w:tcBorders>
                  <w:shd w:val="clear" w:color="auto" w:fill="auto"/>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893" w:type="pct"/>
                  <w:tcBorders>
                    <w:tl2br w:val="nil"/>
                    <w:tr2bl w:val="nil"/>
                  </w:tcBorders>
                  <w:vAlign w:val="center"/>
                </w:tcPr>
                <w:p>
                  <w:pPr>
                    <w:pStyle w:val="33"/>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868" w:type="pct"/>
                  <w:tcBorders>
                    <w:tl2br w:val="nil"/>
                    <w:tr2bl w:val="nil"/>
                  </w:tcBorders>
                  <w:vAlign w:val="center"/>
                </w:tcPr>
                <w:p>
                  <w:pPr>
                    <w:pStyle w:val="33"/>
                    <w:keepNext w:val="0"/>
                    <w:keepLines w:val="0"/>
                    <w:pageBreakBefore w:val="0"/>
                    <w:kinsoku/>
                    <w:wordWrap/>
                    <w:overflowPunct/>
                    <w:topLinePunct w:val="0"/>
                    <w:autoSpaceDE/>
                    <w:autoSpaceDN/>
                    <w:bidi w:val="0"/>
                    <w:snapToGrid/>
                    <w:spacing w:line="320" w:lineRule="exact"/>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w:t>
                  </w:r>
                </w:p>
              </w:tc>
              <w:tc>
                <w:tcPr>
                  <w:tcW w:w="868" w:type="pct"/>
                  <w:tcBorders>
                    <w:tl2br w:val="nil"/>
                    <w:tr2bl w:val="nil"/>
                  </w:tcBorders>
                  <w:vAlign w:val="center"/>
                </w:tcPr>
                <w:p>
                  <w:pPr>
                    <w:pStyle w:val="33"/>
                    <w:keepNext w:val="0"/>
                    <w:keepLines w:val="0"/>
                    <w:pageBreakBefore w:val="0"/>
                    <w:kinsoku/>
                    <w:wordWrap/>
                    <w:overflowPunct/>
                    <w:topLinePunct w:val="0"/>
                    <w:autoSpaceDE/>
                    <w:autoSpaceDN/>
                    <w:bidi w:val="0"/>
                    <w:snapToGrid/>
                    <w:spacing w:line="320" w:lineRule="exact"/>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bl>
          <w:p>
            <w:pPr>
              <w:pStyle w:val="31"/>
              <w:spacing w:line="360" w:lineRule="auto"/>
              <w:ind w:firstLine="482"/>
              <w:jc w:val="both"/>
              <w:rPr>
                <w:rFonts w:ascii="Times New Roman" w:hAnsi="Times New Roman" w:eastAsia="宋体"/>
                <w:bCs/>
                <w:color w:val="auto"/>
                <w:sz w:val="24"/>
              </w:rPr>
            </w:pPr>
            <w:r>
              <w:rPr>
                <w:rFonts w:hint="eastAsia" w:ascii="Times New Roman" w:hAnsi="Times New Roman" w:eastAsia="宋体"/>
                <w:bCs/>
                <w:color w:val="auto"/>
                <w:sz w:val="24"/>
              </w:rPr>
              <w:t>本次</w:t>
            </w:r>
            <w:r>
              <w:rPr>
                <w:rFonts w:hint="eastAsia" w:ascii="Times New Roman" w:hAnsi="Times New Roman" w:eastAsia="宋体"/>
                <w:bCs/>
                <w:color w:val="auto"/>
                <w:sz w:val="24"/>
                <w:lang w:val="en-US" w:eastAsia="zh-CN"/>
              </w:rPr>
              <w:t>技改</w:t>
            </w:r>
            <w:r>
              <w:rPr>
                <w:rFonts w:hint="eastAsia" w:ascii="Times New Roman" w:hAnsi="Times New Roman" w:eastAsia="宋体"/>
                <w:bCs/>
                <w:color w:val="auto"/>
                <w:sz w:val="24"/>
              </w:rPr>
              <w:t>完成后，全厂污染物排放总量控制（考核）指标见表3-</w:t>
            </w:r>
            <w:r>
              <w:rPr>
                <w:rFonts w:hint="eastAsia" w:ascii="Times New Roman" w:hAnsi="Times New Roman" w:eastAsia="宋体"/>
                <w:bCs/>
                <w:color w:val="auto"/>
                <w:sz w:val="24"/>
                <w:lang w:val="en-US"/>
              </w:rPr>
              <w:t>1</w:t>
            </w:r>
            <w:r>
              <w:rPr>
                <w:rFonts w:hint="eastAsia"/>
                <w:bCs/>
                <w:color w:val="auto"/>
                <w:sz w:val="24"/>
                <w:lang w:val="en-US" w:eastAsia="zh-CN"/>
              </w:rPr>
              <w:t>0</w:t>
            </w:r>
            <w:r>
              <w:rPr>
                <w:rFonts w:hint="eastAsia" w:ascii="Times New Roman" w:hAnsi="Times New Roman" w:eastAsia="宋体"/>
                <w:bCs/>
                <w:color w:val="auto"/>
                <w:sz w:val="24"/>
              </w:rPr>
              <w:t>。</w:t>
            </w:r>
          </w:p>
          <w:p>
            <w:pPr>
              <w:pStyle w:val="31"/>
              <w:ind w:firstLine="482"/>
              <w:rPr>
                <w:rFonts w:ascii="Times New Roman" w:hAnsi="Times New Roman" w:eastAsia="宋体"/>
                <w:b/>
                <w:bCs/>
                <w:color w:val="auto"/>
                <w:szCs w:val="21"/>
              </w:rPr>
            </w:pPr>
            <w:r>
              <w:rPr>
                <w:rFonts w:hint="eastAsia" w:ascii="Times New Roman" w:hAnsi="Times New Roman" w:eastAsia="宋体"/>
                <w:b/>
                <w:bCs/>
                <w:color w:val="auto"/>
                <w:szCs w:val="21"/>
              </w:rPr>
              <w:t>表3-</w:t>
            </w:r>
            <w:r>
              <w:rPr>
                <w:rFonts w:hint="eastAsia" w:ascii="Times New Roman" w:hAnsi="Times New Roman" w:eastAsia="宋体"/>
                <w:b/>
                <w:bCs/>
                <w:color w:val="auto"/>
                <w:szCs w:val="21"/>
                <w:lang w:val="en-US"/>
              </w:rPr>
              <w:t>1</w:t>
            </w:r>
            <w:r>
              <w:rPr>
                <w:rFonts w:hint="eastAsia"/>
                <w:b/>
                <w:bCs/>
                <w:color w:val="auto"/>
                <w:szCs w:val="21"/>
                <w:lang w:val="en-US" w:eastAsia="zh-CN"/>
              </w:rPr>
              <w:t>0</w:t>
            </w:r>
            <w:r>
              <w:rPr>
                <w:rFonts w:hint="eastAsia" w:ascii="Times New Roman" w:hAnsi="Times New Roman" w:eastAsia="宋体"/>
                <w:b/>
                <w:bCs/>
                <w:color w:val="auto"/>
                <w:szCs w:val="21"/>
              </w:rPr>
              <w:t xml:space="preserve">  </w:t>
            </w:r>
            <w:r>
              <w:rPr>
                <w:rFonts w:hint="eastAsia" w:ascii="Times New Roman" w:hAnsi="Times New Roman" w:eastAsia="宋体"/>
                <w:b/>
                <w:bCs/>
                <w:color w:val="auto"/>
                <w:szCs w:val="21"/>
                <w:lang w:val="en-US" w:eastAsia="zh-CN"/>
              </w:rPr>
              <w:t>技改</w:t>
            </w:r>
            <w:r>
              <w:rPr>
                <w:rFonts w:hint="eastAsia" w:ascii="Times New Roman" w:hAnsi="Times New Roman" w:eastAsia="宋体"/>
                <w:b/>
                <w:bCs/>
                <w:color w:val="auto"/>
                <w:szCs w:val="21"/>
              </w:rPr>
              <w:t>完成后全厂污染物排放总量控制（考核）指标</w:t>
            </w:r>
            <w:r>
              <w:rPr>
                <w:rFonts w:ascii="Times New Roman" w:hAnsi="Times New Roman" w:eastAsia="宋体"/>
                <w:b/>
                <w:bCs/>
                <w:color w:val="auto"/>
                <w:szCs w:val="21"/>
              </w:rPr>
              <w:t xml:space="preserve">     </w:t>
            </w:r>
            <w:r>
              <w:rPr>
                <w:rFonts w:hint="eastAsia" w:ascii="Times New Roman" w:hAnsi="Times New Roman" w:eastAsia="宋体"/>
                <w:b/>
                <w:bCs/>
                <w:color w:val="auto"/>
                <w:szCs w:val="21"/>
              </w:rPr>
              <w:t>单位：</w:t>
            </w:r>
            <w:r>
              <w:rPr>
                <w:rFonts w:ascii="Times New Roman" w:hAnsi="Times New Roman" w:eastAsia="宋体"/>
                <w:b/>
                <w:bCs/>
                <w:color w:val="auto"/>
                <w:szCs w:val="21"/>
              </w:rPr>
              <w:t>t/a</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84"/>
              <w:gridCol w:w="548"/>
              <w:gridCol w:w="800"/>
              <w:gridCol w:w="1085"/>
              <w:gridCol w:w="951"/>
              <w:gridCol w:w="959"/>
              <w:gridCol w:w="1085"/>
              <w:gridCol w:w="793"/>
              <w:gridCol w:w="881"/>
              <w:gridCol w:w="951"/>
              <w:gridCol w:w="1006"/>
              <w:gridCol w:w="1127"/>
              <w:gridCol w:w="1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restar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类别</w:t>
                  </w:r>
                </w:p>
              </w:tc>
              <w:tc>
                <w:tcPr>
                  <w:tcW w:w="580" w:type="pct"/>
                  <w:gridSpan w:val="2"/>
                  <w:vMerge w:val="restar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污染物</w:t>
                  </w:r>
                </w:p>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名称</w:t>
                  </w:r>
                </w:p>
              </w:tc>
              <w:tc>
                <w:tcPr>
                  <w:tcW w:w="777" w:type="pct"/>
                  <w:gridSpan w:val="2"/>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现有项目排放量</w:t>
                  </w:r>
                </w:p>
              </w:tc>
              <w:tc>
                <w:tcPr>
                  <w:tcW w:w="810" w:type="pct"/>
                  <w:gridSpan w:val="2"/>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本次</w:t>
                  </w:r>
                  <w:r>
                    <w:rPr>
                      <w:rFonts w:hint="eastAsia" w:ascii="Times New Roman" w:hAnsi="Times New Roman" w:eastAsia="宋体"/>
                      <w:b/>
                      <w:bCs/>
                      <w:color w:val="auto"/>
                      <w:szCs w:val="21"/>
                      <w:lang w:val="en-US" w:eastAsia="zh-CN"/>
                    </w:rPr>
                    <w:t>技改</w:t>
                  </w:r>
                  <w:r>
                    <w:rPr>
                      <w:rFonts w:hint="eastAsia" w:ascii="Times New Roman" w:hAnsi="Times New Roman" w:eastAsia="宋体"/>
                      <w:b/>
                      <w:bCs/>
                      <w:color w:val="auto"/>
                      <w:szCs w:val="21"/>
                    </w:rPr>
                    <w:t>排放量</w:t>
                  </w:r>
                </w:p>
              </w:tc>
              <w:tc>
                <w:tcPr>
                  <w:tcW w:w="711" w:type="pct"/>
                  <w:gridSpan w:val="2"/>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“以新带老”削减量</w:t>
                  </w:r>
                </w:p>
              </w:tc>
              <w:tc>
                <w:tcPr>
                  <w:tcW w:w="823" w:type="pct"/>
                  <w:gridSpan w:val="2"/>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全厂排放总量</w:t>
                  </w:r>
                </w:p>
              </w:tc>
              <w:tc>
                <w:tcPr>
                  <w:tcW w:w="910" w:type="pct"/>
                  <w:gridSpan w:val="2"/>
                  <w:tcBorders>
                    <w:tl2br w:val="nil"/>
                    <w:tr2bl w:val="nil"/>
                  </w:tcBorders>
                  <w:vAlign w:val="center"/>
                </w:tcPr>
                <w:p>
                  <w:pPr>
                    <w:pStyle w:val="2"/>
                    <w:adjustRightInd w:val="0"/>
                    <w:snapToGrid w:val="0"/>
                    <w:spacing w:before="0" w:after="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排放增减量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gridSpan w:val="2"/>
                  <w:vMerge w:val="continue"/>
                  <w:tcBorders>
                    <w:tl2br w:val="nil"/>
                    <w:tr2bl w:val="nil"/>
                  </w:tcBorders>
                  <w:vAlign w:val="center"/>
                </w:tcPr>
                <w:p>
                  <w:pPr>
                    <w:adjustRightInd w:val="0"/>
                    <w:snapToGrid w:val="0"/>
                    <w:jc w:val="center"/>
                    <w:rPr>
                      <w:rFonts w:ascii="Times New Roman" w:hAnsi="Times New Roman" w:eastAsia="宋体"/>
                      <w:b/>
                      <w:bCs/>
                      <w:color w:val="auto"/>
                      <w:szCs w:val="21"/>
                    </w:rPr>
                  </w:pPr>
                </w:p>
              </w:tc>
              <w:tc>
                <w:tcPr>
                  <w:tcW w:w="580" w:type="pct"/>
                  <w:gridSpan w:val="2"/>
                  <w:vMerge w:val="continue"/>
                  <w:tcBorders>
                    <w:tl2br w:val="nil"/>
                    <w:tr2bl w:val="nil"/>
                  </w:tcBorders>
                  <w:vAlign w:val="center"/>
                </w:tcPr>
                <w:p>
                  <w:pPr>
                    <w:adjustRightInd w:val="0"/>
                    <w:snapToGrid w:val="0"/>
                    <w:jc w:val="center"/>
                    <w:rPr>
                      <w:rFonts w:ascii="Times New Roman" w:hAnsi="Times New Roman" w:eastAsia="宋体"/>
                      <w:b/>
                      <w:bCs/>
                      <w:color w:val="auto"/>
                      <w:szCs w:val="21"/>
                    </w:rPr>
                  </w:pPr>
                </w:p>
              </w:tc>
              <w:tc>
                <w:tcPr>
                  <w:tcW w:w="400"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b/>
                      <w:bCs/>
                      <w:color w:val="auto"/>
                      <w:szCs w:val="21"/>
                      <w:lang w:val="en-US" w:eastAsia="zh-CN"/>
                    </w:rPr>
                    <w:t>接管</w:t>
                  </w:r>
                  <w:r>
                    <w:rPr>
                      <w:rFonts w:hint="eastAsia" w:ascii="Times New Roman" w:hAnsi="Times New Roman" w:eastAsia="宋体"/>
                      <w:b/>
                      <w:bCs/>
                      <w:color w:val="auto"/>
                      <w:szCs w:val="21"/>
                    </w:rPr>
                    <w:t>量</w:t>
                  </w:r>
                </w:p>
              </w:tc>
              <w:tc>
                <w:tcPr>
                  <w:tcW w:w="377"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外排量</w:t>
                  </w:r>
                </w:p>
              </w:tc>
              <w:tc>
                <w:tcPr>
                  <w:tcW w:w="405"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接管量</w:t>
                  </w:r>
                </w:p>
              </w:tc>
              <w:tc>
                <w:tcPr>
                  <w:tcW w:w="405"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外排量</w:t>
                  </w:r>
                </w:p>
              </w:tc>
              <w:tc>
                <w:tcPr>
                  <w:tcW w:w="338"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接管量</w:t>
                  </w:r>
                </w:p>
              </w:tc>
              <w:tc>
                <w:tcPr>
                  <w:tcW w:w="373"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外排量</w:t>
                  </w:r>
                </w:p>
              </w:tc>
              <w:tc>
                <w:tcPr>
                  <w:tcW w:w="399" w:type="pct"/>
                  <w:tcBorders>
                    <w:tl2br w:val="nil"/>
                    <w:tr2bl w:val="nil"/>
                  </w:tcBorders>
                  <w:vAlign w:val="center"/>
                </w:tcPr>
                <w:p>
                  <w:pPr>
                    <w:adjustRightInd w:val="0"/>
                    <w:snapToGrid w:val="0"/>
                    <w:jc w:val="center"/>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rPr>
                    <w:t>接管量</w:t>
                  </w:r>
                  <w:r>
                    <w:rPr>
                      <w:rFonts w:hint="eastAsia"/>
                      <w:b/>
                      <w:bCs/>
                      <w:color w:val="auto"/>
                      <w:szCs w:val="21"/>
                      <w:lang w:val="en-US" w:eastAsia="zh-CN"/>
                    </w:rPr>
                    <w:t>*</w:t>
                  </w:r>
                </w:p>
              </w:tc>
              <w:tc>
                <w:tcPr>
                  <w:tcW w:w="424"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外排量</w:t>
                  </w:r>
                </w:p>
              </w:tc>
              <w:tc>
                <w:tcPr>
                  <w:tcW w:w="456"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接管量</w:t>
                  </w:r>
                </w:p>
              </w:tc>
              <w:tc>
                <w:tcPr>
                  <w:tcW w:w="454" w:type="pct"/>
                  <w:tcBorders>
                    <w:tl2br w:val="nil"/>
                    <w:tr2bl w:val="nil"/>
                  </w:tcBorders>
                  <w:vAlign w:val="center"/>
                </w:tcPr>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外排量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85" w:type="pct"/>
                  <w:gridSpan w:val="2"/>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废水</w:t>
                  </w: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废水量</w:t>
                  </w:r>
                </w:p>
              </w:tc>
              <w:tc>
                <w:tcPr>
                  <w:tcW w:w="40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sz w:val="21"/>
                      <w:szCs w:val="21"/>
                    </w:rPr>
                    <w:t>731</w:t>
                  </w:r>
                </w:p>
              </w:tc>
              <w:tc>
                <w:tcPr>
                  <w:tcW w:w="377"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sz w:val="21"/>
                      <w:szCs w:val="21"/>
                    </w:rPr>
                    <w:t>731</w:t>
                  </w:r>
                </w:p>
              </w:tc>
              <w:tc>
                <w:tcPr>
                  <w:tcW w:w="405"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w:t>
                  </w:r>
                </w:p>
              </w:tc>
              <w:tc>
                <w:tcPr>
                  <w:tcW w:w="405"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w:t>
                  </w:r>
                </w:p>
              </w:tc>
              <w:tc>
                <w:tcPr>
                  <w:tcW w:w="33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7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99" w:type="pct"/>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851</w:t>
                  </w:r>
                </w:p>
              </w:tc>
              <w:tc>
                <w:tcPr>
                  <w:tcW w:w="424"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851</w:t>
                  </w:r>
                </w:p>
              </w:tc>
              <w:tc>
                <w:tcPr>
                  <w:tcW w:w="456"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w:t>
                  </w:r>
                </w:p>
              </w:tc>
              <w:tc>
                <w:tcPr>
                  <w:tcW w:w="454" w:type="pct"/>
                  <w:tcBorders>
                    <w:tl2br w:val="nil"/>
                    <w:tr2bl w:val="nil"/>
                  </w:tcBorders>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COD</w:t>
                  </w:r>
                </w:p>
              </w:tc>
              <w:tc>
                <w:tcPr>
                  <w:tcW w:w="400"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en-US" w:bidi="ar"/>
                    </w:rPr>
                  </w:pPr>
                  <w:r>
                    <w:rPr>
                      <w:rFonts w:hint="eastAsia" w:ascii="Times New Roman" w:hAnsi="Times New Roman" w:eastAsia="宋体" w:cs="Times New Roman"/>
                      <w:color w:val="auto"/>
                      <w:lang w:val="en-US" w:eastAsia="zh-CN"/>
                    </w:rPr>
                    <w:t>0.0855</w:t>
                  </w:r>
                </w:p>
              </w:tc>
              <w:tc>
                <w:tcPr>
                  <w:tcW w:w="37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0.04</w:t>
                  </w:r>
                </w:p>
              </w:tc>
              <w:tc>
                <w:tcPr>
                  <w:tcW w:w="40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0.024</w:t>
                  </w:r>
                  <w:r>
                    <w:rPr>
                      <w:rFonts w:hint="eastAsia" w:ascii="Times New Roman" w:hAnsi="Times New Roman" w:eastAsia="宋体" w:cs="Times New Roman"/>
                      <w:i w:val="0"/>
                      <w:iCs w:val="0"/>
                      <w:color w:val="000000"/>
                      <w:kern w:val="0"/>
                      <w:sz w:val="21"/>
                      <w:szCs w:val="21"/>
                      <w:u w:val="none"/>
                      <w:lang w:val="en-US" w:eastAsia="zh-CN" w:bidi="ar"/>
                    </w:rPr>
                    <w:t>5</w:t>
                  </w:r>
                </w:p>
              </w:tc>
              <w:tc>
                <w:tcPr>
                  <w:tcW w:w="40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0.006</w:t>
                  </w:r>
                </w:p>
              </w:tc>
              <w:tc>
                <w:tcPr>
                  <w:tcW w:w="33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7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0.1736</w:t>
                  </w:r>
                </w:p>
              </w:tc>
              <w:tc>
                <w:tcPr>
                  <w:tcW w:w="42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0.04</w:t>
                  </w:r>
                  <w:r>
                    <w:rPr>
                      <w:rFonts w:hint="eastAsia" w:cs="Times New Roman"/>
                      <w:i w:val="0"/>
                      <w:iCs w:val="0"/>
                      <w:color w:val="000000"/>
                      <w:kern w:val="0"/>
                      <w:sz w:val="21"/>
                      <w:szCs w:val="21"/>
                      <w:u w:val="none"/>
                      <w:lang w:val="en-US" w:eastAsia="zh-CN" w:bidi="ar"/>
                    </w:rPr>
                    <w:t>3</w:t>
                  </w:r>
                </w:p>
              </w:tc>
              <w:tc>
                <w:tcPr>
                  <w:tcW w:w="45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0.024</w:t>
                  </w:r>
                  <w:r>
                    <w:rPr>
                      <w:rFonts w:hint="eastAsia" w:ascii="Times New Roman" w:hAnsi="Times New Roman" w:eastAsia="宋体" w:cs="Times New Roman"/>
                      <w:i w:val="0"/>
                      <w:iCs w:val="0"/>
                      <w:color w:val="000000"/>
                      <w:kern w:val="0"/>
                      <w:sz w:val="21"/>
                      <w:szCs w:val="21"/>
                      <w:u w:val="none"/>
                      <w:lang w:val="en-US" w:eastAsia="zh-CN" w:bidi="ar"/>
                    </w:rPr>
                    <w:t>5</w:t>
                  </w:r>
                </w:p>
              </w:tc>
              <w:tc>
                <w:tcPr>
                  <w:tcW w:w="4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i w:val="0"/>
                      <w:iCs w:val="0"/>
                      <w:color w:val="000000"/>
                      <w:kern w:val="0"/>
                      <w:sz w:val="21"/>
                      <w:szCs w:val="21"/>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SS</w:t>
                  </w:r>
                </w:p>
              </w:tc>
              <w:tc>
                <w:tcPr>
                  <w:tcW w:w="400"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0.018</w:t>
                  </w:r>
                </w:p>
              </w:tc>
              <w:tc>
                <w:tcPr>
                  <w:tcW w:w="377"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0.007</w:t>
                  </w:r>
                </w:p>
              </w:tc>
              <w:tc>
                <w:tcPr>
                  <w:tcW w:w="40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40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0.0012</w:t>
                  </w:r>
                </w:p>
              </w:tc>
              <w:tc>
                <w:tcPr>
                  <w:tcW w:w="33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7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0.0851</w:t>
                  </w:r>
                </w:p>
              </w:tc>
              <w:tc>
                <w:tcPr>
                  <w:tcW w:w="42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0.008</w:t>
                  </w:r>
                  <w:r>
                    <w:rPr>
                      <w:rFonts w:hint="eastAsia" w:cs="Times New Roman"/>
                      <w:i w:val="0"/>
                      <w:iCs w:val="0"/>
                      <w:color w:val="000000"/>
                      <w:kern w:val="0"/>
                      <w:sz w:val="21"/>
                      <w:szCs w:val="21"/>
                      <w:u w:val="none"/>
                      <w:lang w:val="en-US" w:eastAsia="zh-CN" w:bidi="ar"/>
                    </w:rPr>
                    <w:t>5</w:t>
                  </w:r>
                </w:p>
              </w:tc>
              <w:tc>
                <w:tcPr>
                  <w:tcW w:w="45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0.012</w:t>
                  </w:r>
                </w:p>
              </w:tc>
              <w:tc>
                <w:tcPr>
                  <w:tcW w:w="4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NH</w:t>
                  </w:r>
                  <w:r>
                    <w:rPr>
                      <w:rFonts w:hint="eastAsia" w:ascii="Times New Roman" w:hAnsi="Times New Roman" w:eastAsia="宋体"/>
                      <w:color w:val="auto"/>
                      <w:szCs w:val="21"/>
                      <w:vertAlign w:val="subscript"/>
                    </w:rPr>
                    <w:t>3</w:t>
                  </w:r>
                  <w:r>
                    <w:rPr>
                      <w:rFonts w:hint="eastAsia" w:ascii="Times New Roman" w:hAnsi="Times New Roman" w:eastAsia="宋体"/>
                      <w:color w:val="auto"/>
                      <w:szCs w:val="21"/>
                    </w:rPr>
                    <w:t>-N</w:t>
                  </w:r>
                </w:p>
              </w:tc>
              <w:tc>
                <w:tcPr>
                  <w:tcW w:w="400"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0.00033</w:t>
                  </w:r>
                </w:p>
              </w:tc>
              <w:tc>
                <w:tcPr>
                  <w:tcW w:w="377"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0.004</w:t>
                  </w:r>
                </w:p>
              </w:tc>
              <w:tc>
                <w:tcPr>
                  <w:tcW w:w="40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0.0035</w:t>
                  </w:r>
                </w:p>
              </w:tc>
              <w:tc>
                <w:tcPr>
                  <w:tcW w:w="40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0.0006</w:t>
                  </w:r>
                </w:p>
              </w:tc>
              <w:tc>
                <w:tcPr>
                  <w:tcW w:w="33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7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0.0249</w:t>
                  </w:r>
                </w:p>
              </w:tc>
              <w:tc>
                <w:tcPr>
                  <w:tcW w:w="42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3</w:t>
                  </w:r>
                </w:p>
              </w:tc>
              <w:tc>
                <w:tcPr>
                  <w:tcW w:w="45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0.0035</w:t>
                  </w:r>
                </w:p>
              </w:tc>
              <w:tc>
                <w:tcPr>
                  <w:tcW w:w="4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i w:val="0"/>
                      <w:iCs w:val="0"/>
                      <w:color w:val="000000"/>
                      <w:kern w:val="0"/>
                      <w:sz w:val="21"/>
                      <w:szCs w:val="21"/>
                      <w:u w:val="none"/>
                      <w:lang w:val="en-US" w:eastAsia="zh-CN" w:bidi="ar"/>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TP</w:t>
                  </w:r>
                </w:p>
              </w:tc>
              <w:tc>
                <w:tcPr>
                  <w:tcW w:w="400"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en-US" w:bidi="ar"/>
                    </w:rPr>
                  </w:pPr>
                  <w:r>
                    <w:rPr>
                      <w:rFonts w:hint="eastAsia" w:ascii="Times New Roman" w:hAnsi="Times New Roman" w:eastAsia="宋体" w:cs="Times New Roman"/>
                      <w:color w:val="auto"/>
                      <w:kern w:val="0"/>
                      <w:szCs w:val="18"/>
                      <w:lang w:val="en-US" w:eastAsia="zh-CN" w:bidi="ar"/>
                    </w:rPr>
                    <w:t>0.00034</w:t>
                  </w:r>
                </w:p>
              </w:tc>
              <w:tc>
                <w:tcPr>
                  <w:tcW w:w="377"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0.0004</w:t>
                  </w:r>
                </w:p>
              </w:tc>
              <w:tc>
                <w:tcPr>
                  <w:tcW w:w="40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40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0.00006</w:t>
                  </w:r>
                </w:p>
              </w:tc>
              <w:tc>
                <w:tcPr>
                  <w:tcW w:w="33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7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0.0029</w:t>
                  </w:r>
                </w:p>
              </w:tc>
              <w:tc>
                <w:tcPr>
                  <w:tcW w:w="42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4</w:t>
                  </w:r>
                </w:p>
              </w:tc>
              <w:tc>
                <w:tcPr>
                  <w:tcW w:w="45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0.0004</w:t>
                  </w:r>
                </w:p>
              </w:tc>
              <w:tc>
                <w:tcPr>
                  <w:tcW w:w="4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i w:val="0"/>
                      <w:iCs w:val="0"/>
                      <w:color w:val="000000"/>
                      <w:kern w:val="0"/>
                      <w:sz w:val="21"/>
                      <w:szCs w:val="21"/>
                      <w:u w:val="none"/>
                      <w:lang w:val="en-US" w:eastAsia="zh-CN" w:bidi="ar"/>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TN</w:t>
                  </w:r>
                </w:p>
              </w:tc>
              <w:tc>
                <w:tcPr>
                  <w:tcW w:w="400"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olor w:val="auto"/>
                      <w:kern w:val="0"/>
                      <w:szCs w:val="18"/>
                      <w:lang w:val="en-US" w:eastAsia="zh-CN" w:bidi="ar"/>
                    </w:rPr>
                    <w:t>0.0</w:t>
                  </w:r>
                  <w:r>
                    <w:rPr>
                      <w:rFonts w:hint="eastAsia"/>
                      <w:color w:val="auto"/>
                      <w:kern w:val="0"/>
                      <w:szCs w:val="18"/>
                      <w:lang w:val="en-US" w:eastAsia="zh-CN" w:bidi="ar"/>
                    </w:rPr>
                    <w:t>295</w:t>
                  </w:r>
                </w:p>
              </w:tc>
              <w:tc>
                <w:tcPr>
                  <w:tcW w:w="377"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Cs w:val="18"/>
                      <w:lang w:val="en-US" w:eastAsia="zh-CN" w:bidi="ar"/>
                    </w:rPr>
                    <w:t>0.011</w:t>
                  </w:r>
                </w:p>
              </w:tc>
              <w:tc>
                <w:tcPr>
                  <w:tcW w:w="40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40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0.0018</w:t>
                  </w:r>
                </w:p>
              </w:tc>
              <w:tc>
                <w:tcPr>
                  <w:tcW w:w="33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7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3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0.034</w:t>
                  </w:r>
                  <w:r>
                    <w:rPr>
                      <w:rFonts w:hint="eastAsia" w:ascii="Times New Roman" w:hAnsi="Times New Roman" w:eastAsia="宋体" w:cs="Times New Roman"/>
                      <w:i w:val="0"/>
                      <w:iCs w:val="0"/>
                      <w:color w:val="000000"/>
                      <w:kern w:val="0"/>
                      <w:sz w:val="21"/>
                      <w:szCs w:val="21"/>
                      <w:u w:val="none"/>
                      <w:lang w:val="en-US" w:eastAsia="zh-CN" w:bidi="ar"/>
                    </w:rPr>
                    <w:t>3</w:t>
                  </w:r>
                </w:p>
              </w:tc>
              <w:tc>
                <w:tcPr>
                  <w:tcW w:w="42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0.0128</w:t>
                  </w:r>
                </w:p>
              </w:tc>
              <w:tc>
                <w:tcPr>
                  <w:tcW w:w="45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0.0048</w:t>
                  </w:r>
                </w:p>
              </w:tc>
              <w:tc>
                <w:tcPr>
                  <w:tcW w:w="4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i w:val="0"/>
                      <w:iCs w:val="0"/>
                      <w:color w:val="000000"/>
                      <w:kern w:val="0"/>
                      <w:sz w:val="21"/>
                      <w:szCs w:val="21"/>
                      <w:u w:val="none"/>
                      <w:lang w:val="en-US" w:eastAsia="zh-CN" w:bidi="ar"/>
                    </w:rP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2"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废气</w:t>
                  </w:r>
                </w:p>
              </w:tc>
              <w:tc>
                <w:tcPr>
                  <w:tcW w:w="212"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有组织</w:t>
                  </w:r>
                </w:p>
              </w:tc>
              <w:tc>
                <w:tcPr>
                  <w:tcW w:w="580" w:type="pct"/>
                  <w:gridSpan w:val="2"/>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颗粒物</w:t>
                  </w:r>
                </w:p>
              </w:tc>
              <w:tc>
                <w:tcPr>
                  <w:tcW w:w="777" w:type="pct"/>
                  <w:gridSpan w:val="2"/>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810"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w:t>
                  </w:r>
                  <w:r>
                    <w:rPr>
                      <w:rFonts w:hint="eastAsia" w:cs="Times New Roman"/>
                      <w:color w:val="auto"/>
                      <w:kern w:val="2"/>
                      <w:sz w:val="21"/>
                      <w:szCs w:val="21"/>
                      <w:lang w:val="en-US" w:eastAsia="zh-CN" w:bidi="ar-SA"/>
                    </w:rPr>
                    <w:t>315</w:t>
                  </w:r>
                </w:p>
              </w:tc>
              <w:tc>
                <w:tcPr>
                  <w:tcW w:w="711" w:type="pct"/>
                  <w:gridSpan w:val="2"/>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823"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w:t>
                  </w:r>
                  <w:r>
                    <w:rPr>
                      <w:rFonts w:hint="eastAsia" w:cs="Times New Roman"/>
                      <w:color w:val="auto"/>
                      <w:kern w:val="2"/>
                      <w:sz w:val="21"/>
                      <w:szCs w:val="21"/>
                      <w:lang w:val="en-US" w:eastAsia="zh-CN" w:bidi="ar-SA"/>
                    </w:rPr>
                    <w:t>315</w:t>
                  </w:r>
                </w:p>
              </w:tc>
              <w:tc>
                <w:tcPr>
                  <w:tcW w:w="910"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w:t>
                  </w:r>
                  <w:r>
                    <w:rPr>
                      <w:rFonts w:hint="eastAsia" w:cs="Times New Roman"/>
                      <w:color w:val="auto"/>
                      <w:kern w:val="2"/>
                      <w:sz w:val="21"/>
                      <w:szCs w:val="21"/>
                      <w:lang w:val="en-US" w:eastAsia="zh-CN" w:bidi="ar-SA"/>
                    </w:rPr>
                    <w:t>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2"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212"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VOCs</w:t>
                  </w:r>
                </w:p>
              </w:tc>
              <w:tc>
                <w:tcPr>
                  <w:tcW w:w="777"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10"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0.0729</w:t>
                  </w:r>
                </w:p>
              </w:tc>
              <w:tc>
                <w:tcPr>
                  <w:tcW w:w="711"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23"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0.0729</w:t>
                  </w:r>
                </w:p>
              </w:tc>
              <w:tc>
                <w:tcPr>
                  <w:tcW w:w="910"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0.0729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2" w:type="pct"/>
                  <w:vMerge w:val="continue"/>
                  <w:tcBorders>
                    <w:tl2br w:val="nil"/>
                    <w:tr2bl w:val="nil"/>
                  </w:tcBorders>
                  <w:vAlign w:val="center"/>
                </w:tcPr>
                <w:p>
                  <w:pPr>
                    <w:adjustRightInd w:val="0"/>
                    <w:snapToGrid w:val="0"/>
                    <w:jc w:val="center"/>
                    <w:rPr>
                      <w:rFonts w:hint="eastAsia" w:ascii="Times New Roman" w:hAnsi="Times New Roman" w:eastAsia="宋体"/>
                      <w:color w:val="auto"/>
                      <w:szCs w:val="21"/>
                    </w:rPr>
                  </w:pPr>
                </w:p>
              </w:tc>
              <w:tc>
                <w:tcPr>
                  <w:tcW w:w="212" w:type="pct"/>
                  <w:vMerge w:val="continue"/>
                  <w:tcBorders>
                    <w:tl2br w:val="nil"/>
                    <w:tr2bl w:val="nil"/>
                  </w:tcBorders>
                  <w:vAlign w:val="center"/>
                </w:tcPr>
                <w:p>
                  <w:pPr>
                    <w:adjustRightInd w:val="0"/>
                    <w:snapToGrid w:val="0"/>
                    <w:jc w:val="center"/>
                    <w:rPr>
                      <w:rFonts w:hint="eastAsia" w:ascii="Times New Roman" w:hAnsi="Times New Roman" w:eastAsia="宋体"/>
                      <w:color w:val="auto"/>
                      <w:szCs w:val="21"/>
                    </w:rPr>
                  </w:pPr>
                </w:p>
              </w:tc>
              <w:tc>
                <w:tcPr>
                  <w:tcW w:w="239" w:type="pct"/>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其中</w:t>
                  </w:r>
                </w:p>
              </w:tc>
              <w:tc>
                <w:tcPr>
                  <w:tcW w:w="341" w:type="pct"/>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val="0"/>
                      <w:bCs w:val="0"/>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二甲苯</w:t>
                  </w:r>
                </w:p>
              </w:tc>
              <w:tc>
                <w:tcPr>
                  <w:tcW w:w="777" w:type="pct"/>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0</w:t>
                  </w:r>
                </w:p>
              </w:tc>
              <w:tc>
                <w:tcPr>
                  <w:tcW w:w="810"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0.0067</w:t>
                  </w:r>
                </w:p>
              </w:tc>
              <w:tc>
                <w:tcPr>
                  <w:tcW w:w="711"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82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0.0067</w:t>
                  </w:r>
                </w:p>
              </w:tc>
              <w:tc>
                <w:tcPr>
                  <w:tcW w:w="910"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0.0067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2"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212"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无组织</w:t>
                  </w:r>
                </w:p>
              </w:tc>
              <w:tc>
                <w:tcPr>
                  <w:tcW w:w="580"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VOCs</w:t>
                  </w:r>
                </w:p>
              </w:tc>
              <w:tc>
                <w:tcPr>
                  <w:tcW w:w="777" w:type="pct"/>
                  <w:gridSpan w:val="2"/>
                  <w:tcBorders>
                    <w:tl2br w:val="nil"/>
                    <w:tr2bl w:val="nil"/>
                  </w:tcBorders>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0</w:t>
                  </w:r>
                </w:p>
              </w:tc>
              <w:tc>
                <w:tcPr>
                  <w:tcW w:w="810" w:type="pct"/>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b w:val="0"/>
                      <w:bCs/>
                      <w:color w:val="auto"/>
                      <w:kern w:val="2"/>
                      <w:sz w:val="21"/>
                      <w:szCs w:val="21"/>
                      <w:lang w:val="en-US" w:eastAsia="zh-CN" w:bidi="ar-SA"/>
                    </w:rPr>
                    <w:t>0.0796</w:t>
                  </w:r>
                </w:p>
              </w:tc>
              <w:tc>
                <w:tcPr>
                  <w:tcW w:w="711"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23"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b w:val="0"/>
                      <w:bCs/>
                      <w:color w:val="auto"/>
                      <w:kern w:val="2"/>
                      <w:sz w:val="21"/>
                      <w:szCs w:val="21"/>
                      <w:lang w:val="en-US" w:eastAsia="zh-CN" w:bidi="ar-SA"/>
                    </w:rPr>
                    <w:t>0.0796</w:t>
                  </w:r>
                </w:p>
              </w:tc>
              <w:tc>
                <w:tcPr>
                  <w:tcW w:w="910"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vertAlign w:val="baseline"/>
                      <w:lang w:val="en-US" w:eastAsia="zh-CN" w:bidi="ar"/>
                    </w:rPr>
                    <w:t>+</w:t>
                  </w:r>
                  <w:r>
                    <w:rPr>
                      <w:rFonts w:hint="eastAsia" w:cs="Times New Roman"/>
                      <w:b w:val="0"/>
                      <w:bCs/>
                      <w:color w:val="auto"/>
                      <w:kern w:val="2"/>
                      <w:sz w:val="21"/>
                      <w:szCs w:val="21"/>
                      <w:lang w:val="en-US" w:eastAsia="zh-CN" w:bidi="ar-SA"/>
                    </w:rPr>
                    <w:t>0.0796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2"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212" w:type="pct"/>
                  <w:vMerge w:val="continue"/>
                  <w:tcBorders>
                    <w:tl2br w:val="nil"/>
                    <w:tr2bl w:val="nil"/>
                  </w:tcBorders>
                  <w:vAlign w:val="center"/>
                </w:tcPr>
                <w:p>
                  <w:pPr>
                    <w:adjustRightInd w:val="0"/>
                    <w:snapToGrid w:val="0"/>
                    <w:jc w:val="center"/>
                    <w:rPr>
                      <w:rFonts w:hint="eastAsia" w:ascii="Times New Roman" w:hAnsi="Times New Roman" w:eastAsia="宋体"/>
                      <w:color w:val="auto"/>
                      <w:szCs w:val="21"/>
                    </w:rPr>
                  </w:pPr>
                </w:p>
              </w:tc>
              <w:tc>
                <w:tcPr>
                  <w:tcW w:w="239" w:type="pct"/>
                  <w:tcBorders>
                    <w:tl2br w:val="nil"/>
                    <w:tr2bl w:val="nil"/>
                  </w:tcBorders>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lang w:val="en-US" w:eastAsia="zh-CN"/>
                    </w:rPr>
                    <w:t>其中</w:t>
                  </w:r>
                </w:p>
              </w:tc>
              <w:tc>
                <w:tcPr>
                  <w:tcW w:w="341" w:type="pct"/>
                  <w:tcBorders>
                    <w:tl2br w:val="nil"/>
                    <w:tr2bl w:val="nil"/>
                  </w:tcBorders>
                  <w:vAlign w:val="center"/>
                </w:tcPr>
                <w:p>
                  <w:pPr>
                    <w:pStyle w:val="2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val="0"/>
                      <w:bCs w:val="0"/>
                      <w:iCs/>
                      <w:color w:val="auto"/>
                      <w:spacing w:val="-4"/>
                      <w:kern w:val="0"/>
                      <w:sz w:val="21"/>
                      <w:szCs w:val="21"/>
                      <w:lang w:val="en-US" w:eastAsia="zh-CN" w:bidi="ar"/>
                    </w:rPr>
                  </w:pPr>
                  <w:r>
                    <w:rPr>
                      <w:rFonts w:hint="eastAsia" w:ascii="Times New Roman" w:hAnsi="Times New Roman" w:eastAsia="宋体" w:cs="Times New Roman"/>
                      <w:b w:val="0"/>
                      <w:bCs w:val="0"/>
                      <w:iCs/>
                      <w:color w:val="auto"/>
                      <w:spacing w:val="-4"/>
                      <w:kern w:val="0"/>
                      <w:sz w:val="21"/>
                      <w:szCs w:val="21"/>
                      <w:lang w:val="en-US" w:eastAsia="zh-CN" w:bidi="ar"/>
                    </w:rPr>
                    <w:t>二甲苯</w:t>
                  </w:r>
                </w:p>
              </w:tc>
              <w:tc>
                <w:tcPr>
                  <w:tcW w:w="777" w:type="pct"/>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0</w:t>
                  </w:r>
                </w:p>
              </w:tc>
              <w:tc>
                <w:tcPr>
                  <w:tcW w:w="81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c>
                <w:tcPr>
                  <w:tcW w:w="71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w:t>
                  </w:r>
                </w:p>
              </w:tc>
              <w:tc>
                <w:tcPr>
                  <w:tcW w:w="823"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c>
                <w:tcPr>
                  <w:tcW w:w="910"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2"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212"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颗粒物</w:t>
                  </w:r>
                </w:p>
              </w:tc>
              <w:tc>
                <w:tcPr>
                  <w:tcW w:w="777"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0.08856</w:t>
                  </w:r>
                </w:p>
              </w:tc>
              <w:tc>
                <w:tcPr>
                  <w:tcW w:w="810" w:type="pct"/>
                  <w:gridSpan w:val="2"/>
                  <w:tcBorders>
                    <w:tl2br w:val="nil"/>
                    <w:tr2bl w:val="nil"/>
                  </w:tcBorders>
                  <w:vAlign w:val="center"/>
                </w:tcPr>
                <w:p>
                  <w:pPr>
                    <w:pStyle w:val="47"/>
                    <w:adjustRightInd w:val="0"/>
                    <w:snapToGrid w:val="0"/>
                    <w:spacing w:line="240" w:lineRule="auto"/>
                    <w:jc w:val="center"/>
                    <w:rPr>
                      <w:rFonts w:ascii="Times New Roman" w:hAnsi="Times New Roman" w:eastAsia="宋体"/>
                      <w:color w:val="auto"/>
                      <w:szCs w:val="21"/>
                    </w:rPr>
                  </w:pPr>
                  <w:r>
                    <w:rPr>
                      <w:rFonts w:hint="eastAsia" w:cs="Times New Roman"/>
                      <w:color w:val="auto"/>
                      <w:kern w:val="2"/>
                      <w:sz w:val="21"/>
                      <w:szCs w:val="21"/>
                      <w:lang w:val="en-US" w:eastAsia="zh-CN" w:bidi="ar-SA"/>
                    </w:rPr>
                    <w:t>0.0414</w:t>
                  </w:r>
                </w:p>
              </w:tc>
              <w:tc>
                <w:tcPr>
                  <w:tcW w:w="711"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23"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cs="Times New Roman"/>
                      <w:color w:val="auto"/>
                      <w:kern w:val="2"/>
                      <w:sz w:val="21"/>
                      <w:szCs w:val="21"/>
                      <w:lang w:val="en-US" w:eastAsia="zh-CN" w:bidi="ar-SA"/>
                    </w:rPr>
                    <w:t>0.130</w:t>
                  </w:r>
                </w:p>
              </w:tc>
              <w:tc>
                <w:tcPr>
                  <w:tcW w:w="910" w:type="pct"/>
                  <w:gridSpan w:val="2"/>
                  <w:tcBorders>
                    <w:tl2br w:val="nil"/>
                    <w:tr2bl w:val="nil"/>
                  </w:tcBorders>
                  <w:vAlign w:val="center"/>
                </w:tcPr>
                <w:p>
                  <w:pPr>
                    <w:adjustRightInd w:val="0"/>
                    <w:snapToGrid w:val="0"/>
                    <w:jc w:val="center"/>
                    <w:rPr>
                      <w:rFonts w:hint="default" w:ascii="Times New Roman" w:hAnsi="Times New Roman" w:eastAsia="宋体"/>
                      <w:color w:val="auto"/>
                      <w:szCs w:val="21"/>
                      <w:lang w:val="en-US"/>
                    </w:rPr>
                  </w:pPr>
                  <w:r>
                    <w:rPr>
                      <w:rFonts w:hint="eastAsia" w:ascii="Times New Roman" w:hAnsi="Times New Roman" w:eastAsia="宋体" w:cs="Times New Roman"/>
                      <w:i w:val="0"/>
                      <w:iCs w:val="0"/>
                      <w:color w:val="FF0000"/>
                      <w:kern w:val="0"/>
                      <w:sz w:val="21"/>
                      <w:szCs w:val="21"/>
                      <w:u w:val="none"/>
                      <w:vertAlign w:val="baseline"/>
                      <w:lang w:val="en-US" w:eastAsia="zh-CN" w:bidi="ar"/>
                    </w:rPr>
                    <w:t>+</w:t>
                  </w:r>
                  <w:r>
                    <w:rPr>
                      <w:rFonts w:hint="eastAsia" w:cs="Times New Roman"/>
                      <w:color w:val="auto"/>
                      <w:kern w:val="2"/>
                      <w:sz w:val="21"/>
                      <w:szCs w:val="21"/>
                      <w:lang w:val="en-US" w:eastAsia="zh-CN" w:bidi="ar-SA"/>
                    </w:rPr>
                    <w:t>0.0414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固废</w:t>
                  </w:r>
                </w:p>
              </w:tc>
              <w:tc>
                <w:tcPr>
                  <w:tcW w:w="580" w:type="pct"/>
                  <w:gridSpan w:val="2"/>
                  <w:tcBorders>
                    <w:tl2br w:val="nil"/>
                    <w:tr2bl w:val="nil"/>
                  </w:tcBorders>
                  <w:vAlign w:val="center"/>
                </w:tcPr>
                <w:p>
                  <w:pPr>
                    <w:pStyle w:val="33"/>
                    <w:textAlignment w:val="auto"/>
                    <w:rPr>
                      <w:rFonts w:ascii="Times New Roman" w:hAnsi="Times New Roman" w:eastAsia="宋体"/>
                      <w:color w:val="auto"/>
                    </w:rPr>
                  </w:pPr>
                  <w:r>
                    <w:rPr>
                      <w:rFonts w:hint="eastAsia" w:ascii="Times New Roman" w:hAnsi="Times New Roman" w:eastAsia="宋体"/>
                      <w:color w:val="auto"/>
                    </w:rPr>
                    <w:t>一般固废</w:t>
                  </w:r>
                </w:p>
              </w:tc>
              <w:tc>
                <w:tcPr>
                  <w:tcW w:w="777"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1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711"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23"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91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widowControl/>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pStyle w:val="33"/>
                    <w:textAlignment w:val="auto"/>
                    <w:rPr>
                      <w:rFonts w:ascii="Times New Roman" w:hAnsi="Times New Roman" w:eastAsia="宋体"/>
                      <w:color w:val="auto"/>
                    </w:rPr>
                  </w:pPr>
                  <w:r>
                    <w:rPr>
                      <w:rFonts w:hint="eastAsia" w:ascii="Times New Roman" w:hAnsi="Times New Roman" w:eastAsia="宋体"/>
                      <w:color w:val="auto"/>
                    </w:rPr>
                    <w:t>危险固废</w:t>
                  </w:r>
                </w:p>
              </w:tc>
              <w:tc>
                <w:tcPr>
                  <w:tcW w:w="777"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1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711"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23"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91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5" w:type="pct"/>
                  <w:gridSpan w:val="2"/>
                  <w:vMerge w:val="continue"/>
                  <w:tcBorders>
                    <w:tl2br w:val="nil"/>
                    <w:tr2bl w:val="nil"/>
                  </w:tcBorders>
                  <w:vAlign w:val="center"/>
                </w:tcPr>
                <w:p>
                  <w:pPr>
                    <w:widowControl/>
                    <w:adjustRightInd w:val="0"/>
                    <w:snapToGrid w:val="0"/>
                    <w:jc w:val="center"/>
                    <w:rPr>
                      <w:rFonts w:ascii="Times New Roman" w:hAnsi="Times New Roman" w:eastAsia="宋体"/>
                      <w:color w:val="auto"/>
                      <w:szCs w:val="21"/>
                    </w:rPr>
                  </w:pPr>
                </w:p>
              </w:tc>
              <w:tc>
                <w:tcPr>
                  <w:tcW w:w="580" w:type="pct"/>
                  <w:gridSpan w:val="2"/>
                  <w:tcBorders>
                    <w:tl2br w:val="nil"/>
                    <w:tr2bl w:val="nil"/>
                  </w:tcBorders>
                  <w:vAlign w:val="center"/>
                </w:tcPr>
                <w:p>
                  <w:pPr>
                    <w:pStyle w:val="33"/>
                    <w:textAlignment w:val="auto"/>
                    <w:rPr>
                      <w:rFonts w:ascii="Times New Roman" w:hAnsi="Times New Roman" w:eastAsia="宋体"/>
                      <w:color w:val="auto"/>
                    </w:rPr>
                  </w:pPr>
                  <w:r>
                    <w:rPr>
                      <w:rFonts w:hint="eastAsia" w:ascii="Times New Roman" w:hAnsi="Times New Roman" w:eastAsia="宋体"/>
                      <w:color w:val="auto"/>
                    </w:rPr>
                    <w:t>生活垃圾</w:t>
                  </w:r>
                </w:p>
              </w:tc>
              <w:tc>
                <w:tcPr>
                  <w:tcW w:w="777"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1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711"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823"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c>
                <w:tcPr>
                  <w:tcW w:w="910" w:type="pct"/>
                  <w:gridSpan w:val="2"/>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0</w:t>
                  </w:r>
                </w:p>
              </w:tc>
            </w:tr>
          </w:tbl>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注：*废水接管量根据本次污染物浓度一同核算</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本次技改项目总量控制指标如下：</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大气污染物： VOCs0.</w:t>
            </w:r>
            <w:r>
              <w:rPr>
                <w:rFonts w:hint="eastAsia" w:ascii="Times New Roman" w:hAnsi="Times New Roman" w:cs="Times New Roman"/>
                <w:color w:val="auto"/>
                <w:kern w:val="2"/>
                <w:sz w:val="24"/>
                <w:szCs w:val="24"/>
                <w:lang w:val="en-US" w:eastAsia="zh-CN" w:bidi="ar-SA"/>
              </w:rPr>
              <w:t>1525</w:t>
            </w:r>
            <w:r>
              <w:rPr>
                <w:rFonts w:hint="eastAsia" w:ascii="Times New Roman" w:hAnsi="Times New Roman" w:eastAsia="宋体" w:cs="Times New Roman"/>
                <w:color w:val="auto"/>
                <w:kern w:val="2"/>
                <w:sz w:val="24"/>
                <w:szCs w:val="24"/>
                <w:lang w:val="en-US" w:eastAsia="zh-CN" w:bidi="ar-SA"/>
              </w:rPr>
              <w:t>t/a（有组织0.0729t/a+无组织0.0796t/a），颗粒物</w:t>
            </w:r>
            <w:r>
              <w:rPr>
                <w:rFonts w:hint="eastAsia" w:ascii="Times New Roman" w:hAnsi="Times New Roman" w:cs="Times New Roman"/>
                <w:color w:val="auto"/>
                <w:kern w:val="2"/>
                <w:sz w:val="24"/>
                <w:szCs w:val="24"/>
                <w:lang w:val="en-US" w:eastAsia="zh-CN" w:bidi="ar-SA"/>
              </w:rPr>
              <w:t>0.0729t/a</w:t>
            </w:r>
            <w:r>
              <w:rPr>
                <w:rFonts w:hint="eastAsia" w:ascii="Times New Roman" w:hAnsi="Times New Roman" w:eastAsia="宋体" w:cs="Times New Roman"/>
                <w:color w:val="auto"/>
                <w:kern w:val="2"/>
                <w:sz w:val="24"/>
                <w:szCs w:val="24"/>
                <w:lang w:val="en-US" w:eastAsia="zh-CN" w:bidi="ar-SA"/>
              </w:rPr>
              <w:t>（有组织0.0315t/a+无组织0.0414t/a）；</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废水污染物</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接管量</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废水量120</w:t>
            </w:r>
            <w:r>
              <w:rPr>
                <w:rFonts w:hint="eastAsia" w:ascii="Times New Roman" w:hAnsi="Times New Roman" w:eastAsia="宋体" w:cs="Times New Roman"/>
                <w:color w:val="auto"/>
                <w:kern w:val="0"/>
                <w:sz w:val="24"/>
                <w:szCs w:val="24"/>
              </w:rPr>
              <w:t>t/a、COD</w:t>
            </w:r>
            <w:r>
              <w:rPr>
                <w:rFonts w:hint="eastAsia" w:ascii="Times New Roman" w:hAnsi="Times New Roman" w:eastAsia="宋体" w:cs="Times New Roman"/>
                <w:color w:val="auto"/>
                <w:kern w:val="0"/>
                <w:sz w:val="24"/>
                <w:szCs w:val="24"/>
                <w:lang w:val="en-US" w:eastAsia="zh-CN"/>
              </w:rPr>
              <w:t>0.0245</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SS0.012</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0.0035</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default" w:ascii="Times New Roman" w:hAnsi="Times New Roman" w:eastAsia="宋体" w:cs="Times New Roman"/>
                <w:color w:val="auto"/>
                <w:sz w:val="24"/>
                <w:szCs w:val="24"/>
              </w:rPr>
              <w:t>TP</w:t>
            </w:r>
            <w:r>
              <w:rPr>
                <w:rFonts w:hint="default" w:ascii="Times New Roman" w:hAnsi="Times New Roman" w:eastAsia="宋体" w:cs="Times New Roman"/>
                <w:color w:val="auto"/>
                <w:sz w:val="24"/>
                <w:szCs w:val="24"/>
                <w:lang w:val="en-US" w:eastAsia="zh-CN"/>
              </w:rPr>
              <w:t>0.0004</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s="Times New Roman"/>
                <w:color w:val="auto"/>
                <w:sz w:val="24"/>
                <w:szCs w:val="24"/>
                <w:lang w:val="en-US" w:eastAsia="zh-CN"/>
              </w:rPr>
              <w:t>TN0.0048</w:t>
            </w:r>
            <w:r>
              <w:rPr>
                <w:rFonts w:hint="eastAsia" w:ascii="Times New Roman" w:hAnsi="Times New Roman" w:eastAsia="宋体" w:cs="Times New Roman"/>
                <w:color w:val="auto"/>
                <w:kern w:val="0"/>
                <w:sz w:val="24"/>
                <w:szCs w:val="24"/>
              </w:rPr>
              <w:t>t/a</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废水污染物</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外排量</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废水量120</w:t>
            </w:r>
            <w:r>
              <w:rPr>
                <w:rFonts w:hint="eastAsia" w:ascii="Times New Roman" w:hAnsi="Times New Roman" w:eastAsia="宋体" w:cs="Times New Roman"/>
                <w:color w:val="auto"/>
                <w:kern w:val="0"/>
                <w:sz w:val="24"/>
                <w:szCs w:val="24"/>
              </w:rPr>
              <w:t>t/a、COD</w:t>
            </w:r>
            <w:r>
              <w:rPr>
                <w:rFonts w:hint="eastAsia" w:ascii="Times New Roman" w:hAnsi="Times New Roman" w:eastAsia="宋体" w:cs="Times New Roman"/>
                <w:i w:val="0"/>
                <w:iCs w:val="0"/>
                <w:color w:val="auto"/>
                <w:kern w:val="0"/>
                <w:sz w:val="24"/>
                <w:szCs w:val="24"/>
                <w:u w:val="none"/>
                <w:lang w:val="en-US" w:eastAsia="zh-CN" w:bidi="ar"/>
              </w:rPr>
              <w:t>0.006</w:t>
            </w:r>
            <w:r>
              <w:rPr>
                <w:rFonts w:hint="eastAsia"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SS</w:t>
            </w:r>
            <w:r>
              <w:rPr>
                <w:rFonts w:hint="eastAsia" w:ascii="Times New Roman" w:hAnsi="Times New Roman" w:eastAsia="宋体" w:cs="Times New Roman"/>
                <w:color w:val="auto"/>
                <w:kern w:val="0"/>
                <w:sz w:val="24"/>
                <w:szCs w:val="24"/>
                <w:lang w:val="en-US" w:eastAsia="zh-CN"/>
              </w:rPr>
              <w:t>0.0012t/a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NH</w:t>
            </w:r>
            <w:r>
              <w:rPr>
                <w:rFonts w:hint="eastAsia" w:ascii="Times New Roman" w:hAnsi="Times New Roman" w:eastAsia="宋体" w:cs="Times New Roman"/>
                <w:color w:val="auto"/>
                <w:kern w:val="0"/>
                <w:sz w:val="24"/>
                <w:szCs w:val="24"/>
                <w:vertAlign w:val="subscript"/>
              </w:rPr>
              <w:t>3</w:t>
            </w:r>
            <w:r>
              <w:rPr>
                <w:rFonts w:hint="eastAsia" w:ascii="Times New Roman" w:hAnsi="Times New Roman" w:eastAsia="宋体" w:cs="Times New Roman"/>
                <w:color w:val="auto"/>
                <w:kern w:val="0"/>
                <w:sz w:val="24"/>
                <w:szCs w:val="24"/>
              </w:rPr>
              <w:t>-N</w:t>
            </w:r>
            <w:r>
              <w:rPr>
                <w:rFonts w:hint="eastAsia" w:ascii="Times New Roman" w:hAnsi="Times New Roman" w:eastAsia="宋体" w:cs="Times New Roman"/>
                <w:color w:val="auto"/>
                <w:kern w:val="0"/>
                <w:sz w:val="24"/>
                <w:szCs w:val="24"/>
                <w:lang w:val="en-US" w:eastAsia="zh-CN"/>
              </w:rPr>
              <w:t>0.0006t/a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TP</w:t>
            </w:r>
            <w:r>
              <w:rPr>
                <w:rFonts w:hint="eastAsia" w:ascii="Times New Roman" w:hAnsi="Times New Roman" w:eastAsia="宋体" w:cs="Times New Roman"/>
                <w:color w:val="auto"/>
                <w:kern w:val="0"/>
                <w:sz w:val="24"/>
                <w:szCs w:val="24"/>
                <w:lang w:val="en-US" w:eastAsia="zh-CN"/>
              </w:rPr>
              <w:t>0.00006t/a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TN</w:t>
            </w:r>
            <w:r>
              <w:rPr>
                <w:rFonts w:hint="eastAsia" w:ascii="Times New Roman" w:hAnsi="Times New Roman" w:eastAsia="宋体" w:cs="Times New Roman"/>
                <w:color w:val="auto"/>
                <w:kern w:val="0"/>
                <w:sz w:val="24"/>
                <w:szCs w:val="24"/>
                <w:lang w:val="en-US" w:eastAsia="zh-CN"/>
              </w:rPr>
              <w:t>0.0018t/a</w:t>
            </w:r>
            <w:r>
              <w:rPr>
                <w:rFonts w:hint="eastAsia" w:ascii="Times New Roman" w:hAnsi="Times New Roman" w:eastAsia="宋体" w:cs="Times New Roman"/>
                <w:color w:val="auto"/>
                <w:kern w:val="0"/>
                <w:sz w:val="24"/>
                <w:szCs w:val="24"/>
                <w:lang w:eastAsia="zh-CN"/>
              </w:rPr>
              <w:t>、</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bCs/>
                <w:color w:val="auto"/>
                <w:szCs w:val="21"/>
              </w:rPr>
              <w:t>固废：零排放。</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技改后全厂总量控制指标如下：</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大气污染物：颗粒物0.1</w:t>
            </w:r>
            <w:r>
              <w:rPr>
                <w:rFonts w:hint="eastAsia" w:ascii="Times New Roman" w:hAnsi="Times New Roman" w:cs="Times New Roman"/>
                <w:color w:val="auto"/>
                <w:kern w:val="2"/>
                <w:sz w:val="24"/>
                <w:szCs w:val="24"/>
                <w:lang w:val="en-US" w:eastAsia="zh-CN" w:bidi="ar-SA"/>
              </w:rPr>
              <w:t>615</w:t>
            </w:r>
            <w:r>
              <w:rPr>
                <w:rFonts w:hint="eastAsia" w:ascii="Times New Roman" w:hAnsi="Times New Roman" w:eastAsia="宋体" w:cs="Times New Roman"/>
                <w:color w:val="auto"/>
                <w:kern w:val="2"/>
                <w:sz w:val="24"/>
                <w:szCs w:val="24"/>
                <w:lang w:val="en-US" w:eastAsia="zh-CN" w:bidi="ar-SA"/>
              </w:rPr>
              <w:t>t/a（有组织0.0315t/a+无组织0.1</w:t>
            </w:r>
            <w:r>
              <w:rPr>
                <w:rFonts w:hint="eastAsia" w:ascii="Times New Roman" w:hAnsi="Times New Roman"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t/a）、VOCs0.</w:t>
            </w:r>
            <w:r>
              <w:rPr>
                <w:rFonts w:hint="eastAsia" w:ascii="Times New Roman" w:hAnsi="Times New Roman" w:cs="Times New Roman"/>
                <w:color w:val="auto"/>
                <w:kern w:val="2"/>
                <w:sz w:val="24"/>
                <w:szCs w:val="24"/>
                <w:lang w:val="en-US" w:eastAsia="zh-CN" w:bidi="ar-SA"/>
              </w:rPr>
              <w:t>1525</w:t>
            </w:r>
            <w:r>
              <w:rPr>
                <w:rFonts w:hint="eastAsia" w:ascii="Times New Roman" w:hAnsi="Times New Roman" w:eastAsia="宋体" w:cs="Times New Roman"/>
                <w:color w:val="auto"/>
                <w:kern w:val="2"/>
                <w:sz w:val="24"/>
                <w:szCs w:val="24"/>
                <w:lang w:val="en-US" w:eastAsia="zh-CN" w:bidi="ar-SA"/>
              </w:rPr>
              <w:t>t/a（有组织0.0729t/a+无组织0.0796t/a）；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废水污染物（接管量）：</w:t>
            </w:r>
            <w:r>
              <w:rPr>
                <w:rFonts w:hint="eastAsia" w:ascii="Times New Roman" w:hAnsi="Times New Roman" w:eastAsia="宋体" w:cs="Times New Roman"/>
                <w:color w:val="auto"/>
                <w:kern w:val="0"/>
                <w:sz w:val="24"/>
                <w:szCs w:val="24"/>
                <w:lang w:val="en-US" w:eastAsia="zh-CN"/>
              </w:rPr>
              <w:t>废水量851</w:t>
            </w:r>
            <w:r>
              <w:rPr>
                <w:rFonts w:hint="eastAsia" w:ascii="Times New Roman" w:hAnsi="Times New Roman" w:eastAsia="宋体" w:cs="Times New Roman"/>
                <w:color w:val="auto"/>
                <w:kern w:val="0"/>
                <w:sz w:val="24"/>
                <w:szCs w:val="24"/>
              </w:rPr>
              <w:t>t/a、COD</w:t>
            </w:r>
            <w:r>
              <w:rPr>
                <w:rFonts w:hint="eastAsia" w:ascii="Times New Roman" w:hAnsi="Times New Roman" w:eastAsia="宋体" w:cs="Times New Roman"/>
                <w:color w:val="auto"/>
                <w:kern w:val="0"/>
                <w:sz w:val="24"/>
                <w:szCs w:val="24"/>
                <w:lang w:val="en-US" w:eastAsia="zh-CN"/>
              </w:rPr>
              <w:t>0.1736</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SS0.0851</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0.0249</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default" w:ascii="Times New Roman" w:hAnsi="Times New Roman" w:eastAsia="宋体" w:cs="Times New Roman"/>
                <w:color w:val="auto"/>
                <w:sz w:val="24"/>
                <w:szCs w:val="24"/>
              </w:rPr>
              <w:t>TP</w:t>
            </w:r>
            <w:r>
              <w:rPr>
                <w:rFonts w:hint="default" w:ascii="Times New Roman" w:hAnsi="Times New Roman" w:eastAsia="宋体" w:cs="Times New Roman"/>
                <w:color w:val="auto"/>
                <w:sz w:val="24"/>
                <w:szCs w:val="24"/>
                <w:lang w:val="en-US" w:eastAsia="zh-CN"/>
              </w:rPr>
              <w:t>0.0029</w:t>
            </w:r>
            <w:r>
              <w:rPr>
                <w:rFonts w:hint="eastAsia" w:ascii="Times New Roman" w:hAnsi="Times New Roman" w:eastAsia="宋体" w:cs="Times New Roman"/>
                <w:color w:val="auto"/>
                <w:kern w:val="0"/>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s="Times New Roman"/>
                <w:color w:val="auto"/>
                <w:sz w:val="24"/>
                <w:szCs w:val="24"/>
                <w:lang w:val="en-US" w:eastAsia="zh-CN"/>
              </w:rPr>
              <w:t>TN0.0343</w:t>
            </w:r>
            <w:r>
              <w:rPr>
                <w:rFonts w:hint="eastAsia" w:ascii="Times New Roman" w:hAnsi="Times New Roman" w:eastAsia="宋体" w:cs="Times New Roman"/>
                <w:color w:val="auto"/>
                <w:kern w:val="0"/>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废水污染物（</w:t>
            </w:r>
            <w:r>
              <w:rPr>
                <w:rFonts w:hint="eastAsia" w:ascii="Times New Roman" w:hAnsi="Times New Roman" w:eastAsia="宋体" w:cs="Times New Roman"/>
                <w:color w:val="auto"/>
                <w:kern w:val="0"/>
                <w:sz w:val="24"/>
                <w:szCs w:val="24"/>
                <w:lang w:val="en-US" w:eastAsia="zh-CN"/>
              </w:rPr>
              <w:t>外排</w:t>
            </w:r>
            <w:r>
              <w:rPr>
                <w:rFonts w:hint="eastAsia" w:ascii="Times New Roman" w:hAnsi="Times New Roman" w:eastAsia="宋体" w:cs="Times New Roman"/>
                <w:color w:val="auto"/>
                <w:kern w:val="0"/>
                <w:sz w:val="24"/>
                <w:szCs w:val="24"/>
              </w:rPr>
              <w:t>量）：</w:t>
            </w:r>
            <w:r>
              <w:rPr>
                <w:rFonts w:hint="eastAsia" w:ascii="Times New Roman" w:hAnsi="Times New Roman" w:eastAsia="宋体" w:cs="Times New Roman"/>
                <w:color w:val="auto"/>
                <w:kern w:val="0"/>
                <w:sz w:val="24"/>
                <w:szCs w:val="24"/>
                <w:lang w:val="en-US" w:eastAsia="zh-CN"/>
              </w:rPr>
              <w:t>废水量85</w:t>
            </w:r>
            <w:r>
              <w:rPr>
                <w:rFonts w:hint="eastAsia"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t/a、COD</w:t>
            </w:r>
            <w:r>
              <w:rPr>
                <w:rFonts w:hint="eastAsia" w:ascii="Times New Roman" w:hAnsi="Times New Roman" w:eastAsia="宋体" w:cs="Times New Roman"/>
                <w:color w:val="auto"/>
                <w:kern w:val="0"/>
                <w:sz w:val="24"/>
                <w:szCs w:val="24"/>
                <w:lang w:val="en-US" w:eastAsia="zh-CN"/>
              </w:rPr>
              <w:t>0.04</w:t>
            </w:r>
            <w:r>
              <w:rPr>
                <w:rFonts w:hint="eastAsia" w:cs="Times New Roman"/>
                <w:color w:val="auto"/>
                <w:kern w:val="0"/>
                <w:sz w:val="24"/>
                <w:szCs w:val="24"/>
                <w:lang w:val="en-US" w:eastAsia="zh-CN"/>
              </w:rPr>
              <w:t>3</w:t>
            </w:r>
            <w:r>
              <w:rPr>
                <w:rFonts w:hint="eastAsia"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SS</w:t>
            </w:r>
            <w:r>
              <w:rPr>
                <w:rFonts w:hint="eastAsia" w:ascii="Times New Roman" w:hAnsi="Times New Roman" w:eastAsia="宋体" w:cs="Times New Roman"/>
                <w:color w:val="auto"/>
                <w:kern w:val="0"/>
                <w:sz w:val="24"/>
                <w:szCs w:val="24"/>
                <w:lang w:val="en-US" w:eastAsia="zh-CN"/>
              </w:rPr>
              <w:t>0.008</w:t>
            </w:r>
            <w:r>
              <w:rPr>
                <w:rFonts w:hint="eastAsia" w:cs="Times New Roman"/>
                <w:color w:val="auto"/>
                <w:kern w:val="0"/>
                <w:sz w:val="24"/>
                <w:szCs w:val="24"/>
                <w:lang w:val="en-US" w:eastAsia="zh-CN"/>
              </w:rPr>
              <w:t>5</w:t>
            </w:r>
            <w:r>
              <w:rPr>
                <w:rFonts w:hint="eastAsia"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NH</w:t>
            </w:r>
            <w:r>
              <w:rPr>
                <w:rFonts w:hint="eastAsia" w:ascii="Times New Roman" w:hAnsi="Times New Roman" w:eastAsia="宋体" w:cs="Times New Roman"/>
                <w:color w:val="auto"/>
                <w:kern w:val="0"/>
                <w:sz w:val="24"/>
                <w:szCs w:val="24"/>
                <w:vertAlign w:val="subscript"/>
              </w:rPr>
              <w:t>3</w:t>
            </w:r>
            <w:r>
              <w:rPr>
                <w:rFonts w:hint="eastAsia" w:ascii="Times New Roman" w:hAnsi="Times New Roman" w:eastAsia="宋体" w:cs="Times New Roman"/>
                <w:color w:val="auto"/>
                <w:kern w:val="0"/>
                <w:sz w:val="24"/>
                <w:szCs w:val="24"/>
              </w:rPr>
              <w:t>-N</w:t>
            </w:r>
            <w:r>
              <w:rPr>
                <w:rFonts w:hint="eastAsia" w:ascii="Times New Roman" w:hAnsi="Times New Roman" w:eastAsia="宋体" w:cs="Times New Roman"/>
                <w:color w:val="auto"/>
                <w:kern w:val="0"/>
                <w:sz w:val="24"/>
                <w:szCs w:val="24"/>
                <w:lang w:val="en-US" w:eastAsia="zh-CN"/>
              </w:rPr>
              <w:t>0.004</w:t>
            </w:r>
            <w:r>
              <w:rPr>
                <w:rFonts w:hint="eastAsia" w:cs="Times New Roman"/>
                <w:color w:val="auto"/>
                <w:kern w:val="0"/>
                <w:sz w:val="24"/>
                <w:szCs w:val="24"/>
                <w:lang w:val="en-US" w:eastAsia="zh-CN"/>
              </w:rPr>
              <w:t>3</w:t>
            </w:r>
            <w:r>
              <w:rPr>
                <w:rFonts w:hint="eastAsia"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TP</w:t>
            </w:r>
            <w:r>
              <w:rPr>
                <w:rFonts w:hint="eastAsia" w:ascii="Times New Roman" w:hAnsi="Times New Roman" w:eastAsia="宋体" w:cs="Times New Roman"/>
                <w:color w:val="auto"/>
                <w:kern w:val="0"/>
                <w:sz w:val="24"/>
                <w:szCs w:val="24"/>
                <w:lang w:val="en-US" w:eastAsia="zh-CN"/>
              </w:rPr>
              <w:t>0.000</w:t>
            </w:r>
            <w:r>
              <w:rPr>
                <w:rFonts w:hint="eastAsia" w:cs="Times New Roman"/>
                <w:color w:val="auto"/>
                <w:kern w:val="0"/>
                <w:sz w:val="24"/>
                <w:szCs w:val="24"/>
                <w:lang w:val="en-US" w:eastAsia="zh-CN"/>
              </w:rPr>
              <w:t>4</w:t>
            </w:r>
            <w:r>
              <w:rPr>
                <w:rFonts w:hint="eastAsia"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TN</w:t>
            </w:r>
            <w:r>
              <w:rPr>
                <w:rFonts w:hint="eastAsia" w:ascii="Times New Roman" w:hAnsi="Times New Roman" w:eastAsia="宋体" w:cs="Times New Roman"/>
                <w:color w:val="auto"/>
                <w:kern w:val="0"/>
                <w:sz w:val="24"/>
                <w:szCs w:val="24"/>
                <w:lang w:val="en-US" w:eastAsia="zh-CN"/>
              </w:rPr>
              <w:t>0.0128t/a</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79" w:leftChars="228" w:firstLine="0" w:firstLineChars="0"/>
              <w:jc w:val="both"/>
              <w:textAlignment w:val="auto"/>
              <w:outlineLvl w:val="0"/>
              <w:rPr>
                <w:rFonts w:hint="eastAsia" w:ascii="Times New Roman" w:hAnsi="Times New Roman" w:eastAsia="宋体" w:cs="Times New Roman"/>
                <w:color w:val="auto"/>
                <w:kern w:val="2"/>
                <w:sz w:val="24"/>
                <w:szCs w:val="24"/>
                <w:lang w:val="en-US" w:eastAsia="zh-CN" w:bidi="ar-SA"/>
              </w:rPr>
            </w:pPr>
          </w:p>
        </w:tc>
      </w:tr>
    </w:tbl>
    <w:p>
      <w:pPr>
        <w:pStyle w:val="16"/>
        <w:jc w:val="center"/>
        <w:outlineLvl w:val="0"/>
        <w:rPr>
          <w:rFonts w:hint="eastAsia" w:ascii="黑体" w:hAnsi="黑体" w:eastAsia="黑体"/>
          <w:snapToGrid w:val="0"/>
          <w:color w:val="auto"/>
          <w:sz w:val="36"/>
          <w:szCs w:val="36"/>
        </w:rPr>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1"/>
        <w:tblW w:w="9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8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9" w:hRule="atLeast"/>
        </w:trPr>
        <w:tc>
          <w:tcPr>
            <w:tcW w:w="743" w:type="dxa"/>
          </w:tcPr>
          <w:p>
            <w:pPr>
              <w:pStyle w:val="16"/>
              <w:jc w:val="center"/>
              <w:outlineLvl w:val="0"/>
              <w:rPr>
                <w:rFonts w:hint="eastAsia" w:ascii="黑体" w:hAnsi="黑体" w:eastAsia="黑体"/>
                <w:snapToGrid w:val="0"/>
                <w:color w:val="auto"/>
                <w:sz w:val="36"/>
                <w:szCs w:val="36"/>
              </w:rPr>
            </w:pPr>
            <w:r>
              <w:rPr>
                <w:b/>
                <w:bCs/>
                <w:color w:val="auto"/>
                <w:sz w:val="21"/>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3420745</wp:posOffset>
                      </wp:positionV>
                      <wp:extent cx="481965" cy="638175"/>
                      <wp:effectExtent l="0" t="0" r="0" b="0"/>
                      <wp:wrapNone/>
                      <wp:docPr id="311" name="文本框 404"/>
                      <wp:cNvGraphicFramePr/>
                      <a:graphic xmlns:a="http://schemas.openxmlformats.org/drawingml/2006/main">
                        <a:graphicData uri="http://schemas.microsoft.com/office/word/2010/wordprocessingShape">
                          <wps:wsp>
                            <wps:cNvSpPr txBox="1"/>
                            <wps:spPr>
                              <a:xfrm>
                                <a:off x="0" y="0"/>
                                <a:ext cx="481965" cy="638175"/>
                              </a:xfrm>
                              <a:prstGeom prst="rect">
                                <a:avLst/>
                              </a:prstGeom>
                              <a:noFill/>
                              <a:ln>
                                <a:noFill/>
                              </a:ln>
                            </wps:spPr>
                            <wps:txbx>
                              <w:txbxContent>
                                <w:p>
                                  <w:pPr>
                                    <w:jc w:val="center"/>
                                  </w:pPr>
                                  <w:r>
                                    <w:rPr>
                                      <w:rFonts w:hint="eastAsia" w:ascii="宋体" w:hAnsi="宋体" w:cs="宋体"/>
                                      <w:bCs/>
                                      <w:szCs w:val="21"/>
                                    </w:rPr>
                                    <w:t>总量控制指标</w:t>
                                  </w:r>
                                </w:p>
                              </w:txbxContent>
                            </wps:txbx>
                            <wps:bodyPr wrap="square" upright="1"/>
                          </wps:wsp>
                        </a:graphicData>
                      </a:graphic>
                    </wp:anchor>
                  </w:drawing>
                </mc:Choice>
                <mc:Fallback>
                  <w:pict>
                    <v:shape id="文本框 404" o:spid="_x0000_s1026" o:spt="202" type="#_x0000_t202" style="position:absolute;left:0pt;margin-left:-5.6pt;margin-top:269.35pt;height:50.25pt;width:37.95pt;z-index:251662336;mso-width-relative:page;mso-height-relative:page;" filled="f" stroked="f" coordsize="21600,21600" o:gfxdata="UEsFBgAAAAAAAAAAAAAAAAAAAAAAAFBLAwQKAAAAAACHTuJAAAAAAAAAAAAAAAAABAAAAGRycy9Q&#10;SwMEFAAAAAgAh07iQOw1MUfYAAAACgEAAA8AAABkcnMvZG93bnJldi54bWxNj8tuwjAQRfeV+Adr&#10;kLoDO+FRSOOwAHXbqvQhdWfiIYkaj6PYkPTvO12V1dVoju6cyXeja8UV+9B40pDMFQik0tuGKg3v&#10;b0+zDYgQDVnTekINPxhgV0zucpNZP9ArXo+xElxCITMa6hi7TMpQ1uhMmPsOiXdn3zsTeewraXsz&#10;cLlrZarUWjrTEF+oTYf7Gsvv48Vp+Hg+f30u1Ut1cKtu8KOS5LZS6/tpoh5BRBzjPwx/+qwOBTud&#10;/IVsEK2GWZKkjGpYLTYPIJhYLzlPnIttCrLI5e0LxS9QSwMEFAAAAAgAh07iQHUd+fm7AQAAXwMA&#10;AA4AAABkcnMvZTJvRG9jLnhtbK1TS27bMBDdF+gdCO5rSYnjuoLlAIGRbIq2QNoD0BRpEeAvHNqS&#10;L9DeoKtuuu+5fI4MKcdpkk0W2VDkzPDNe2+oxeVgNNmJAMrZhlaTkhJhuWuV3TT0x/frD3NKIDLb&#10;Mu2saOheAL1cvn+36H0tzlzndCsCQRALde8b2sXo66IA3gnDYOK8sJiULhgW8Rg2RRtYj+hGF2dl&#10;OSt6F1ofHBcAGF2NSXpEDK8BdFIqLlaOb42wcUQNQrOIkqBTHugys5VS8PhVShCR6Iai0phXbIL7&#10;dVqL5YLVm8B8p/iRAnsNhWeaDFMWm56gViwysg3qBZRRPDhwMk64M8UoJDuCKqrymTe3HfMia0Gr&#10;wZ9Mh7eD5V923wJRbUPPq4oSywyO/PD71+HPv8Pfn2RaTpNFvYcaK2891sbhyg34cB7igMGkfJDB&#10;pC9qIphHg/cng8UQCcfgdF59ml1QwjE1O59XHy8SSvF42QeIN8IZkjYNDTi/bCvbfYY4lj6UpF7W&#10;XSut8wy1fRJAzBQpEvORYdrFYT0c5axdu0c1PY6+oXC3ZUFQsvVBbTpsnNXly+h7Znh8I2mw/59z&#10;i8f/Yn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7DUxR9gAAAAKAQAADwAAAAAAAAABACAAAAA4&#10;AAAAZHJzL2Rvd25yZXYueG1sUEsBAhQAFAAAAAgAh07iQHUd+fm7AQAAXwMAAA4AAAAAAAAAAQAg&#10;AAAAPQEAAGRycy9lMm9Eb2MueG1sUEsFBgAAAAAGAAYAWQEAAGoFAAAAAA==&#10;">
                      <v:fill on="f" focussize="0,0"/>
                      <v:stroke on="f"/>
                      <v:imagedata o:title=""/>
                      <o:lock v:ext="edit" aspectratio="f"/>
                      <v:textbox>
                        <w:txbxContent>
                          <w:p>
                            <w:pPr>
                              <w:jc w:val="center"/>
                            </w:pPr>
                            <w:r>
                              <w:rPr>
                                <w:rFonts w:hint="eastAsia" w:ascii="宋体" w:hAnsi="宋体" w:cs="宋体"/>
                                <w:bCs/>
                                <w:szCs w:val="21"/>
                              </w:rPr>
                              <w:t>总量控制指标</w:t>
                            </w:r>
                          </w:p>
                        </w:txbxContent>
                      </v:textbox>
                    </v:shape>
                  </w:pict>
                </mc:Fallback>
              </mc:AlternateContent>
            </w:r>
          </w:p>
        </w:tc>
        <w:tc>
          <w:tcPr>
            <w:tcW w:w="8325" w:type="dxa"/>
          </w:tcPr>
          <w:p>
            <w:pPr>
              <w:spacing w:line="360" w:lineRule="auto"/>
              <w:ind w:firstLine="482" w:firstLineChars="200"/>
              <w:rPr>
                <w:b/>
                <w:bCs/>
                <w:color w:val="auto"/>
                <w:sz w:val="24"/>
              </w:rPr>
            </w:pPr>
            <w:r>
              <w:rPr>
                <w:rFonts w:hint="eastAsia"/>
                <w:b/>
                <w:bCs/>
                <w:color w:val="auto"/>
                <w:sz w:val="24"/>
              </w:rPr>
              <w:t>2、平衡方案</w:t>
            </w:r>
          </w:p>
          <w:p>
            <w:pPr>
              <w:widowControl/>
              <w:snapToGrid w:val="0"/>
              <w:spacing w:line="360" w:lineRule="auto"/>
              <w:ind w:firstLine="480" w:firstLineChars="200"/>
              <w:jc w:val="left"/>
              <w:rPr>
                <w:color w:val="auto"/>
                <w:sz w:val="24"/>
              </w:rPr>
            </w:pPr>
            <w:r>
              <w:rPr>
                <w:rFonts w:hint="eastAsia"/>
                <w:color w:val="auto"/>
                <w:sz w:val="24"/>
              </w:rPr>
              <w:t>根据《国民经济行业分类》，</w:t>
            </w:r>
            <w:r>
              <w:rPr>
                <w:rFonts w:hint="eastAsia"/>
                <w:color w:val="auto"/>
                <w:sz w:val="24"/>
                <w:lang w:val="en-US" w:eastAsia="zh-CN"/>
              </w:rPr>
              <w:t>现有项目及</w:t>
            </w:r>
            <w:r>
              <w:rPr>
                <w:rFonts w:hint="eastAsia"/>
                <w:color w:val="auto"/>
                <w:sz w:val="24"/>
              </w:rPr>
              <w:t>本</w:t>
            </w:r>
            <w:r>
              <w:rPr>
                <w:rFonts w:hint="eastAsia"/>
                <w:color w:val="auto"/>
                <w:sz w:val="24"/>
                <w:lang w:val="en-US" w:eastAsia="zh-CN"/>
              </w:rPr>
              <w:t>次技改</w:t>
            </w:r>
            <w:r>
              <w:rPr>
                <w:rFonts w:hint="eastAsia"/>
                <w:color w:val="auto"/>
                <w:sz w:val="24"/>
              </w:rPr>
              <w:t>项目</w:t>
            </w:r>
            <w:r>
              <w:rPr>
                <w:rFonts w:hint="eastAsia"/>
                <w:color w:val="auto"/>
                <w:sz w:val="24"/>
                <w:lang w:val="en-US" w:eastAsia="zh-CN"/>
              </w:rPr>
              <w:t>均</w:t>
            </w:r>
            <w:r>
              <w:rPr>
                <w:rFonts w:hint="eastAsia"/>
                <w:color w:val="auto"/>
                <w:sz w:val="24"/>
              </w:rPr>
              <w:t>属于</w:t>
            </w:r>
            <w:r>
              <w:rPr>
                <w:rFonts w:hint="eastAsia"/>
                <w:color w:val="auto"/>
                <w:sz w:val="24"/>
                <w:u w:val="single"/>
              </w:rPr>
              <w:t>C</w:t>
            </w:r>
            <w:r>
              <w:rPr>
                <w:rFonts w:hint="eastAsia"/>
                <w:color w:val="auto"/>
                <w:sz w:val="24"/>
                <w:u w:val="single"/>
                <w:lang w:eastAsia="zh-CN"/>
              </w:rPr>
              <w:t>3484</w:t>
            </w:r>
            <w:r>
              <w:rPr>
                <w:rFonts w:hint="eastAsia"/>
                <w:color w:val="auto"/>
                <w:sz w:val="24"/>
                <w:u w:val="single"/>
              </w:rPr>
              <w:t xml:space="preserve"> </w:t>
            </w:r>
            <w:r>
              <w:rPr>
                <w:rFonts w:hint="eastAsia"/>
                <w:color w:val="auto"/>
                <w:sz w:val="24"/>
                <w:u w:val="single"/>
                <w:lang w:eastAsia="zh-CN"/>
              </w:rPr>
              <w:t>机械零部件加工</w:t>
            </w:r>
            <w:r>
              <w:rPr>
                <w:rFonts w:hint="eastAsia"/>
                <w:color w:val="auto"/>
                <w:sz w:val="24"/>
              </w:rPr>
              <w:t>，对照《固定污染源排污许可分类管理名录》（2019年版），项目属于</w:t>
            </w:r>
            <w:r>
              <w:rPr>
                <w:rFonts w:hint="eastAsia"/>
                <w:color w:val="auto"/>
                <w:sz w:val="24"/>
                <w:u w:val="single"/>
              </w:rPr>
              <w:t>“二十九、通用设备制造业34</w:t>
            </w:r>
            <w:r>
              <w:rPr>
                <w:rFonts w:hint="eastAsia"/>
                <w:color w:val="auto"/>
                <w:sz w:val="24"/>
                <w:u w:val="single"/>
                <w:lang w:val="en-US" w:eastAsia="zh-CN"/>
              </w:rPr>
              <w:t>中83通用零部件制造348中</w:t>
            </w:r>
            <w:r>
              <w:rPr>
                <w:rFonts w:hint="eastAsia"/>
                <w:color w:val="auto"/>
                <w:sz w:val="24"/>
                <w:u w:val="single"/>
              </w:rPr>
              <w:t>其他 ”，属于登记管理。</w:t>
            </w:r>
          </w:p>
          <w:p>
            <w:pPr>
              <w:spacing w:line="360" w:lineRule="auto"/>
              <w:ind w:firstLine="480" w:firstLineChars="200"/>
              <w:rPr>
                <w:color w:val="auto"/>
                <w:sz w:val="24"/>
              </w:rPr>
            </w:pPr>
            <w:r>
              <w:rPr>
                <w:rFonts w:hint="eastAsia"/>
                <w:color w:val="auto"/>
                <w:sz w:val="24"/>
              </w:rPr>
              <w:t>对照南通市生态环境局和南通市行政审批局文件“关于印发《关于进一步优化建设项目排污总量指标管理提升环评审批效能的意见（试行）》的通知（通环办〔2023〕132号）”中“需编制报批环境影响报告书（表）的新（改、扩）建项目（不含生活污水及工业废水集中处理厂、垃圾处理场、危险废物填埋和医疗废物处置厂），且属于《固定污染源排污许可分类管理名录》规定的重点管理或简化管理的排污单位，需通过交易获得新增排污总量指标。指标种类为化学需氧量、氨氮、总氮、总磷、二氧化硫、氮氧化物、挥发性有机物、颗粒物等8种，其中化学需氧量、氨氮、总磷、二氧化硫、氮氧化物等5种指标排污总量指标需有偿获得，总氮、挥发性有机物、颗粒物等3种指标待价格主管部门确定有偿使用基准价后再行有偿。”</w:t>
            </w:r>
          </w:p>
          <w:p>
            <w:pPr>
              <w:spacing w:line="360" w:lineRule="auto"/>
              <w:ind w:firstLine="480" w:firstLineChars="200"/>
              <w:rPr>
                <w:color w:val="auto"/>
              </w:rPr>
            </w:pPr>
            <w:r>
              <w:rPr>
                <w:rFonts w:hint="eastAsia"/>
                <w:color w:val="auto"/>
                <w:sz w:val="24"/>
              </w:rPr>
              <w:t>本项目为登记管理，无需申请总量。</w:t>
            </w:r>
          </w:p>
        </w:tc>
      </w:tr>
    </w:tbl>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r>
        <w:rPr>
          <w:rFonts w:ascii="黑体" w:hAnsi="黑体" w:eastAsia="黑体"/>
          <w:snapToGrid w:val="0"/>
          <w:color w:val="auto"/>
          <w:sz w:val="36"/>
          <w:szCs w:val="36"/>
        </w:rPr>
        <w:br w:type="page"/>
      </w: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6"/>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8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dxa"/>
            <w:vAlign w:val="center"/>
          </w:tcPr>
          <w:p>
            <w:pPr>
              <w:pStyle w:val="16"/>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施工期环境保护措施</w:t>
            </w:r>
          </w:p>
        </w:tc>
        <w:tc>
          <w:tcPr>
            <w:tcW w:w="8310" w:type="dxa"/>
            <w:vAlign w:val="center"/>
          </w:tcPr>
          <w:p>
            <w:pPr>
              <w:adjustRightInd w:val="0"/>
              <w:snapToGrid w:val="0"/>
              <w:spacing w:line="360" w:lineRule="auto"/>
              <w:ind w:firstLine="480" w:firstLineChars="200"/>
              <w:rPr>
                <w:rFonts w:hint="default"/>
                <w:bCs/>
                <w:color w:val="auto"/>
                <w:sz w:val="24"/>
                <w:lang w:val="en-US" w:eastAsia="zh-CN"/>
              </w:rPr>
            </w:pPr>
            <w:r>
              <w:rPr>
                <w:rFonts w:hint="eastAsia"/>
                <w:bCs/>
                <w:color w:val="auto"/>
                <w:sz w:val="24"/>
                <w:lang w:val="en-US" w:eastAsia="zh-CN"/>
              </w:rPr>
              <w:t>本项目利用现有厂房进行建设，不涉及室外土建。施工期项目的建设内容主要为生产设备的安装和调试，时间较短，项目施工期对环境影响较小。</w:t>
            </w:r>
          </w:p>
          <w:p>
            <w:pPr>
              <w:adjustRightInd w:val="0"/>
              <w:snapToGrid w:val="0"/>
              <w:spacing w:line="360" w:lineRule="auto"/>
              <w:ind w:firstLine="480" w:firstLineChars="200"/>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rPr>
                <w:color w:val="auto"/>
                <w:sz w:val="24"/>
              </w:rPr>
            </w:pPr>
          </w:p>
          <w:p>
            <w:pPr>
              <w:rPr>
                <w:color w:val="auto"/>
                <w:sz w:val="24"/>
              </w:rPr>
            </w:pPr>
          </w:p>
          <w:p>
            <w:pPr>
              <w:pStyle w:val="7"/>
            </w:pPr>
          </w:p>
          <w:p>
            <w:pPr>
              <w:adjustRightInd w:val="0"/>
              <w:snapToGrid w:val="0"/>
              <w:spacing w:line="360" w:lineRule="auto"/>
              <w:rPr>
                <w:bCs/>
                <w:color w:val="auto"/>
                <w:spacing w:val="-10"/>
                <w:szCs w:val="21"/>
              </w:rPr>
            </w:pPr>
          </w:p>
        </w:tc>
      </w:tr>
    </w:tbl>
    <w:p>
      <w:pPr>
        <w:rPr>
          <w:color w:val="auto"/>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1"/>
        <w:tblW w:w="13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1" w:hRule="atLeast"/>
        </w:trPr>
        <w:tc>
          <w:tcPr>
            <w:tcW w:w="366" w:type="dxa"/>
            <w:vAlign w:val="center"/>
          </w:tcPr>
          <w:p>
            <w:pPr>
              <w:pStyle w:val="3"/>
              <w:jc w:val="center"/>
              <w:rPr>
                <w:rFonts w:hint="eastAsia" w:ascii="Times New Roman" w:hAnsi="Times New Roman" w:eastAsia="宋体" w:cs="宋体"/>
                <w:b w:val="0"/>
                <w:bCs w:val="0"/>
                <w:color w:val="auto"/>
                <w:sz w:val="21"/>
                <w:szCs w:val="21"/>
              </w:rPr>
            </w:pPr>
            <w:r>
              <w:rPr>
                <w:rFonts w:hint="eastAsia" w:ascii="Times New Roman" w:hAnsi="Times New Roman" w:eastAsia="宋体" w:cs="宋体"/>
                <w:b w:val="0"/>
                <w:bCs w:val="0"/>
                <w:color w:val="auto"/>
                <w:sz w:val="21"/>
                <w:szCs w:val="21"/>
              </w:rPr>
              <w:t>运营</w:t>
            </w:r>
          </w:p>
          <w:p>
            <w:pPr>
              <w:pStyle w:val="3"/>
              <w:jc w:val="center"/>
              <w:rPr>
                <w:rFonts w:hint="eastAsia" w:ascii="Times New Roman" w:hAnsi="Times New Roman" w:eastAsia="宋体" w:cs="宋体"/>
                <w:b w:val="0"/>
                <w:bCs w:val="0"/>
                <w:color w:val="auto"/>
                <w:sz w:val="21"/>
                <w:szCs w:val="21"/>
              </w:rPr>
            </w:pPr>
            <w:r>
              <w:rPr>
                <w:rFonts w:hint="eastAsia" w:ascii="Times New Roman" w:hAnsi="Times New Roman" w:eastAsia="宋体" w:cs="宋体"/>
                <w:b w:val="0"/>
                <w:bCs w:val="0"/>
                <w:color w:val="auto"/>
                <w:sz w:val="21"/>
                <w:szCs w:val="21"/>
              </w:rPr>
              <w:t>期环</w:t>
            </w:r>
          </w:p>
          <w:p>
            <w:pPr>
              <w:pStyle w:val="3"/>
              <w:jc w:val="center"/>
              <w:rPr>
                <w:rFonts w:hint="eastAsia" w:ascii="Times New Roman" w:hAnsi="Times New Roman" w:eastAsia="宋体" w:cs="宋体"/>
                <w:b w:val="0"/>
                <w:bCs w:val="0"/>
                <w:color w:val="auto"/>
                <w:sz w:val="21"/>
                <w:szCs w:val="21"/>
              </w:rPr>
            </w:pPr>
            <w:r>
              <w:rPr>
                <w:rFonts w:hint="eastAsia" w:ascii="Times New Roman" w:hAnsi="Times New Roman" w:eastAsia="宋体" w:cs="宋体"/>
                <w:b w:val="0"/>
                <w:bCs w:val="0"/>
                <w:color w:val="auto"/>
                <w:sz w:val="21"/>
                <w:szCs w:val="21"/>
              </w:rPr>
              <w:t>境影</w:t>
            </w:r>
          </w:p>
          <w:p>
            <w:pPr>
              <w:pStyle w:val="3"/>
              <w:jc w:val="center"/>
              <w:rPr>
                <w:rFonts w:hint="eastAsia" w:ascii="Times New Roman" w:hAnsi="Times New Roman" w:eastAsia="宋体" w:cs="宋体"/>
                <w:b w:val="0"/>
                <w:bCs w:val="0"/>
                <w:color w:val="auto"/>
                <w:sz w:val="21"/>
                <w:szCs w:val="21"/>
              </w:rPr>
            </w:pPr>
            <w:r>
              <w:rPr>
                <w:rFonts w:hint="eastAsia" w:ascii="Times New Roman" w:hAnsi="Times New Roman" w:eastAsia="宋体" w:cs="宋体"/>
                <w:b w:val="0"/>
                <w:bCs w:val="0"/>
                <w:color w:val="auto"/>
                <w:sz w:val="21"/>
                <w:szCs w:val="21"/>
              </w:rPr>
              <w:t>响和</w:t>
            </w:r>
          </w:p>
          <w:p>
            <w:pPr>
              <w:pStyle w:val="3"/>
              <w:jc w:val="center"/>
              <w:rPr>
                <w:rFonts w:hint="eastAsia" w:ascii="Times New Roman" w:hAnsi="Times New Roman" w:eastAsia="宋体" w:cs="宋体"/>
                <w:b w:val="0"/>
                <w:bCs w:val="0"/>
                <w:color w:val="auto"/>
                <w:sz w:val="21"/>
                <w:szCs w:val="21"/>
              </w:rPr>
            </w:pPr>
            <w:r>
              <w:rPr>
                <w:rFonts w:hint="eastAsia" w:ascii="Times New Roman" w:hAnsi="Times New Roman" w:eastAsia="宋体" w:cs="宋体"/>
                <w:b w:val="0"/>
                <w:bCs w:val="0"/>
                <w:color w:val="auto"/>
                <w:sz w:val="21"/>
                <w:szCs w:val="21"/>
              </w:rPr>
              <w:t>保护</w:t>
            </w:r>
          </w:p>
          <w:p>
            <w:pPr>
              <w:pStyle w:val="3"/>
              <w:jc w:val="center"/>
              <w:rPr>
                <w:rFonts w:hint="eastAsia" w:ascii="Times New Roman" w:hAnsi="Times New Roman" w:eastAsia="宋体" w:cs="宋体"/>
                <w:b w:val="0"/>
                <w:bCs w:val="0"/>
                <w:color w:val="auto"/>
                <w:sz w:val="21"/>
                <w:szCs w:val="21"/>
              </w:rPr>
            </w:pPr>
            <w:r>
              <w:rPr>
                <w:rFonts w:hint="eastAsia" w:ascii="Times New Roman" w:hAnsi="Times New Roman" w:eastAsia="宋体" w:cs="宋体"/>
                <w:b w:val="0"/>
                <w:bCs w:val="0"/>
                <w:color w:val="auto"/>
                <w:sz w:val="21"/>
                <w:szCs w:val="21"/>
              </w:rPr>
              <w:t>措施</w:t>
            </w:r>
          </w:p>
          <w:p>
            <w:pPr>
              <w:pStyle w:val="3"/>
              <w:jc w:val="center"/>
              <w:rPr>
                <w:rFonts w:ascii="Times New Roman" w:hAnsi="Times New Roman" w:eastAsia="宋体"/>
                <w:color w:val="auto"/>
                <w:sz w:val="21"/>
                <w:szCs w:val="21"/>
              </w:rPr>
            </w:pPr>
          </w:p>
        </w:tc>
        <w:tc>
          <w:tcPr>
            <w:tcW w:w="13193" w:type="dxa"/>
          </w:tcPr>
          <w:p>
            <w:pPr>
              <w:pStyle w:val="3"/>
              <w:spacing w:line="360" w:lineRule="auto"/>
              <w:ind w:firstLine="482" w:firstLineChars="200"/>
              <w:rPr>
                <w:rFonts w:ascii="Times New Roman" w:hAnsi="Times New Roman" w:eastAsia="宋体"/>
                <w:color w:val="auto"/>
                <w:sz w:val="24"/>
                <w:szCs w:val="24"/>
              </w:rPr>
            </w:pPr>
            <w:r>
              <w:rPr>
                <w:rFonts w:ascii="Times New Roman" w:hAnsi="Times New Roman" w:eastAsia="宋体"/>
                <w:color w:val="auto"/>
                <w:sz w:val="24"/>
                <w:szCs w:val="24"/>
              </w:rPr>
              <w:t>（一）废气</w:t>
            </w:r>
          </w:p>
          <w:p>
            <w:pPr>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（1）污染工序及源强分析</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 xml:space="preserve">根据《污染源源强核算技术指南 </w:t>
            </w:r>
            <w:r>
              <w:rPr>
                <w:rFonts w:hint="eastAsia"/>
                <w:color w:val="auto"/>
                <w:sz w:val="24"/>
                <w:lang w:val="en-US" w:eastAsia="zh-CN"/>
              </w:rPr>
              <w:t>准</w:t>
            </w:r>
            <w:r>
              <w:rPr>
                <w:rFonts w:ascii="Times New Roman" w:hAnsi="Times New Roman" w:eastAsia="宋体"/>
                <w:color w:val="auto"/>
                <w:sz w:val="24"/>
              </w:rPr>
              <w:t>则》（HJ884-2018）及生产工艺，</w:t>
            </w:r>
            <w:r>
              <w:rPr>
                <w:rFonts w:hint="eastAsia" w:ascii="Times New Roman" w:hAnsi="Times New Roman" w:eastAsia="宋体"/>
                <w:color w:val="auto"/>
                <w:sz w:val="24"/>
              </w:rPr>
              <w:t>项目</w:t>
            </w:r>
            <w:r>
              <w:rPr>
                <w:rFonts w:ascii="Times New Roman" w:hAnsi="Times New Roman" w:eastAsia="宋体"/>
                <w:color w:val="auto"/>
                <w:sz w:val="24"/>
              </w:rPr>
              <w:t>识别废气为</w:t>
            </w:r>
            <w:r>
              <w:rPr>
                <w:rFonts w:hint="eastAsia"/>
                <w:color w:val="auto"/>
                <w:sz w:val="24"/>
                <w:lang w:val="en-US" w:eastAsia="zh-CN"/>
              </w:rPr>
              <w:t>机加工废气、</w:t>
            </w:r>
            <w:r>
              <w:rPr>
                <w:rFonts w:hint="eastAsia" w:ascii="Times New Roman" w:hAnsi="Times New Roman" w:eastAsia="宋体"/>
                <w:color w:val="auto"/>
                <w:sz w:val="24"/>
                <w:lang w:val="en-US" w:eastAsia="zh-CN"/>
              </w:rPr>
              <w:t>喷漆废气</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晾干废气、</w:t>
            </w:r>
            <w:r>
              <w:rPr>
                <w:rFonts w:hint="eastAsia" w:ascii="Times New Roman" w:hAnsi="Times New Roman" w:eastAsia="宋体"/>
                <w:color w:val="auto"/>
                <w:sz w:val="24"/>
              </w:rPr>
              <w:t>危废仓库废气</w:t>
            </w:r>
            <w:r>
              <w:rPr>
                <w:rFonts w:ascii="Times New Roman" w:hAnsi="Times New Roman" w:eastAsia="宋体"/>
                <w:color w:val="auto"/>
                <w:sz w:val="24"/>
              </w:rPr>
              <w:t>。</w:t>
            </w:r>
          </w:p>
          <w:p>
            <w:pPr>
              <w:adjustRightInd w:val="0"/>
              <w:snapToGrid w:val="0"/>
              <w:spacing w:line="360" w:lineRule="auto"/>
              <w:ind w:firstLine="480" w:firstLineChars="200"/>
              <w:rPr>
                <w:rFonts w:ascii="Times New Roman" w:hAnsi="Times New Roman" w:eastAsia="宋体"/>
                <w:b/>
                <w:bCs/>
                <w:color w:val="auto"/>
                <w:sz w:val="24"/>
              </w:rPr>
            </w:pPr>
            <w:r>
              <w:rPr>
                <w:rFonts w:hint="eastAsia" w:ascii="Times New Roman" w:hAnsi="Times New Roman" w:eastAsia="宋体"/>
                <w:color w:val="auto"/>
                <w:sz w:val="24"/>
              </w:rPr>
              <w:t>本次</w:t>
            </w:r>
            <w:r>
              <w:rPr>
                <w:rFonts w:hint="eastAsia" w:ascii="Times New Roman" w:hAnsi="Times New Roman" w:eastAsia="宋体"/>
                <w:color w:val="auto"/>
                <w:sz w:val="24"/>
                <w:lang w:val="en-US" w:eastAsia="zh-CN"/>
              </w:rPr>
              <w:t>技改</w:t>
            </w:r>
            <w:r>
              <w:rPr>
                <w:rFonts w:hint="eastAsia" w:ascii="Times New Roman" w:hAnsi="Times New Roman" w:eastAsia="宋体"/>
                <w:color w:val="auto"/>
                <w:sz w:val="24"/>
              </w:rPr>
              <w:t>项目</w:t>
            </w:r>
            <w:r>
              <w:rPr>
                <w:rFonts w:ascii="Times New Roman" w:hAnsi="Times New Roman" w:eastAsia="宋体"/>
                <w:color w:val="auto"/>
                <w:sz w:val="24"/>
              </w:rPr>
              <w:t>废气污染物排放源情况见下表。</w:t>
            </w:r>
            <w:r>
              <w:rPr>
                <w:rFonts w:hint="eastAsia" w:ascii="Times New Roman" w:hAnsi="Times New Roman" w:eastAsia="宋体"/>
                <w:color w:val="auto"/>
                <w:sz w:val="24"/>
              </w:rPr>
              <w:t>各废气核算依据见下表4-1。</w:t>
            </w:r>
          </w:p>
          <w:p>
            <w:pPr>
              <w:jc w:val="center"/>
              <w:rPr>
                <w:rFonts w:ascii="Times New Roman" w:hAnsi="Times New Roman" w:eastAsia="宋体"/>
                <w:b/>
                <w:bCs/>
                <w:color w:val="auto"/>
                <w:szCs w:val="21"/>
              </w:rPr>
            </w:pPr>
            <w:r>
              <w:rPr>
                <w:rFonts w:ascii="Times New Roman" w:hAnsi="Times New Roman" w:eastAsia="宋体"/>
                <w:b/>
                <w:bCs/>
                <w:color w:val="auto"/>
                <w:szCs w:val="21"/>
              </w:rPr>
              <w:t>表4-</w:t>
            </w:r>
            <w:r>
              <w:rPr>
                <w:rFonts w:hint="eastAsia" w:ascii="Times New Roman" w:hAnsi="Times New Roman" w:eastAsia="宋体"/>
                <w:b/>
                <w:bCs/>
                <w:color w:val="auto"/>
                <w:szCs w:val="21"/>
              </w:rPr>
              <w:t>1</w:t>
            </w:r>
            <w:r>
              <w:rPr>
                <w:rFonts w:ascii="Times New Roman" w:hAnsi="Times New Roman" w:eastAsia="宋体"/>
                <w:b/>
                <w:bCs/>
                <w:color w:val="auto"/>
                <w:szCs w:val="21"/>
              </w:rPr>
              <w:t xml:space="preserve">  </w:t>
            </w:r>
            <w:r>
              <w:rPr>
                <w:rFonts w:hint="eastAsia" w:ascii="Times New Roman" w:hAnsi="Times New Roman" w:eastAsia="宋体"/>
                <w:b/>
                <w:bCs/>
                <w:color w:val="auto"/>
                <w:szCs w:val="21"/>
              </w:rPr>
              <w:t>本次</w:t>
            </w:r>
            <w:r>
              <w:rPr>
                <w:rFonts w:hint="eastAsia" w:ascii="Times New Roman" w:hAnsi="Times New Roman" w:eastAsia="宋体"/>
                <w:b/>
                <w:bCs/>
                <w:color w:val="auto"/>
                <w:szCs w:val="21"/>
                <w:lang w:val="en-US" w:eastAsia="zh-CN"/>
              </w:rPr>
              <w:t>技改</w:t>
            </w:r>
            <w:r>
              <w:rPr>
                <w:rFonts w:hint="eastAsia" w:ascii="Times New Roman" w:hAnsi="Times New Roman" w:eastAsia="宋体"/>
                <w:b/>
                <w:bCs/>
                <w:color w:val="auto"/>
                <w:szCs w:val="21"/>
              </w:rPr>
              <w:t>项目有组织</w:t>
            </w:r>
            <w:r>
              <w:rPr>
                <w:rFonts w:ascii="Times New Roman" w:hAnsi="Times New Roman" w:eastAsia="宋体"/>
                <w:b/>
                <w:bCs/>
                <w:color w:val="auto"/>
                <w:szCs w:val="21"/>
              </w:rPr>
              <w:t>废气</w:t>
            </w:r>
            <w:r>
              <w:rPr>
                <w:rFonts w:hint="eastAsia" w:ascii="Times New Roman" w:hAnsi="Times New Roman" w:eastAsia="宋体"/>
                <w:b/>
                <w:bCs/>
                <w:color w:val="auto"/>
                <w:szCs w:val="21"/>
              </w:rPr>
              <w:t>污染物排放源</w:t>
            </w:r>
            <w:r>
              <w:rPr>
                <w:rFonts w:ascii="Times New Roman" w:hAnsi="Times New Roman" w:eastAsia="宋体"/>
                <w:b/>
                <w:bCs/>
                <w:color w:val="auto"/>
                <w:szCs w:val="21"/>
              </w:rPr>
              <w:t>情况一览表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31"/>
              <w:gridCol w:w="257"/>
              <w:gridCol w:w="334"/>
              <w:gridCol w:w="679"/>
              <w:gridCol w:w="777"/>
              <w:gridCol w:w="612"/>
              <w:gridCol w:w="612"/>
              <w:gridCol w:w="221"/>
              <w:gridCol w:w="432"/>
              <w:gridCol w:w="423"/>
              <w:gridCol w:w="432"/>
              <w:gridCol w:w="221"/>
              <w:gridCol w:w="777"/>
              <w:gridCol w:w="745"/>
              <w:gridCol w:w="745"/>
              <w:gridCol w:w="278"/>
              <w:gridCol w:w="344"/>
              <w:gridCol w:w="476"/>
              <w:gridCol w:w="713"/>
              <w:gridCol w:w="221"/>
              <w:gridCol w:w="1490"/>
              <w:gridCol w:w="546"/>
              <w:gridCol w:w="778"/>
              <w:gridCol w:w="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62" w:type="pct"/>
                  <w:vMerge w:val="restart"/>
                  <w:tcBorders>
                    <w:tl2br w:val="nil"/>
                    <w:tr2bl w:val="nil"/>
                  </w:tcBorders>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产排污环节</w:t>
                  </w:r>
                </w:p>
              </w:tc>
              <w:tc>
                <w:tcPr>
                  <w:tcW w:w="225" w:type="pct"/>
                  <w:gridSpan w:val="2"/>
                  <w:vMerge w:val="restar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污染物种类</w:t>
                  </w:r>
                </w:p>
              </w:tc>
              <w:tc>
                <w:tcPr>
                  <w:tcW w:w="250" w:type="pct"/>
                  <w:vMerge w:val="restar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hint="eastAsia" w:ascii="Times New Roman" w:hAnsi="Times New Roman" w:eastAsia="宋体"/>
                      <w:b/>
                      <w:bCs/>
                      <w:color w:val="auto"/>
                      <w:sz w:val="21"/>
                    </w:rPr>
                    <w:t>产生风量m</w:t>
                  </w:r>
                  <w:r>
                    <w:rPr>
                      <w:rFonts w:hint="eastAsia" w:ascii="Times New Roman" w:hAnsi="Times New Roman" w:eastAsia="宋体"/>
                      <w:b/>
                      <w:bCs/>
                      <w:color w:val="auto"/>
                      <w:sz w:val="21"/>
                      <w:vertAlign w:val="superscript"/>
                    </w:rPr>
                    <w:t>3</w:t>
                  </w:r>
                  <w:r>
                    <w:rPr>
                      <w:rFonts w:hint="eastAsia" w:ascii="Times New Roman" w:hAnsi="Times New Roman" w:eastAsia="宋体"/>
                      <w:b/>
                      <w:bCs/>
                      <w:color w:val="auto"/>
                      <w:sz w:val="21"/>
                    </w:rPr>
                    <w:t>/h</w:t>
                  </w:r>
                </w:p>
              </w:tc>
              <w:tc>
                <w:tcPr>
                  <w:tcW w:w="657" w:type="pct"/>
                  <w:gridSpan w:val="3"/>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产生状况</w:t>
                  </w:r>
                </w:p>
              </w:tc>
              <w:tc>
                <w:tcPr>
                  <w:tcW w:w="120" w:type="pct"/>
                  <w:vMerge w:val="restar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排放形式</w:t>
                  </w:r>
                </w:p>
              </w:tc>
              <w:tc>
                <w:tcPr>
                  <w:tcW w:w="196" w:type="pct"/>
                  <w:vMerge w:val="restart"/>
                  <w:tcBorders>
                    <w:tl2br w:val="nil"/>
                    <w:tr2bl w:val="nil"/>
                  </w:tcBorders>
                  <w:tcMar>
                    <w:left w:w="0" w:type="dxa"/>
                    <w:right w:w="0" w:type="dxa"/>
                  </w:tcMar>
                  <w:vAlign w:val="center"/>
                </w:tcPr>
                <w:p>
                  <w:pPr>
                    <w:pStyle w:val="48"/>
                    <w:rPr>
                      <w:rFonts w:hint="default" w:ascii="Times New Roman" w:hAnsi="Times New Roman" w:eastAsia="宋体"/>
                      <w:b/>
                      <w:bCs/>
                      <w:color w:val="auto"/>
                      <w:sz w:val="21"/>
                      <w:lang w:val="en-US" w:eastAsia="zh-CN"/>
                    </w:rPr>
                  </w:pPr>
                  <w:r>
                    <w:rPr>
                      <w:rFonts w:hint="eastAsia" w:ascii="Times New Roman" w:hAnsi="Times New Roman" w:eastAsia="宋体"/>
                      <w:b/>
                      <w:bCs/>
                      <w:color w:val="auto"/>
                      <w:sz w:val="21"/>
                      <w:lang w:val="en-US" w:eastAsia="zh-CN"/>
                    </w:rPr>
                    <w:t>收集效率%</w:t>
                  </w:r>
                </w:p>
              </w:tc>
              <w:tc>
                <w:tcPr>
                  <w:tcW w:w="776" w:type="pct"/>
                  <w:gridSpan w:val="3"/>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治理设施</w:t>
                  </w:r>
                </w:p>
              </w:tc>
              <w:tc>
                <w:tcPr>
                  <w:tcW w:w="696" w:type="pct"/>
                  <w:gridSpan w:val="3"/>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排放情况</w:t>
                  </w:r>
                </w:p>
              </w:tc>
              <w:tc>
                <w:tcPr>
                  <w:tcW w:w="1350" w:type="pct"/>
                  <w:gridSpan w:val="6"/>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排放口基本情况</w:t>
                  </w:r>
                </w:p>
              </w:tc>
              <w:tc>
                <w:tcPr>
                  <w:tcW w:w="167" w:type="pct"/>
                  <w:vMerge w:val="restar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hint="eastAsia" w:ascii="Times New Roman" w:hAnsi="Times New Roman" w:eastAsia="宋体"/>
                      <w:b/>
                      <w:bCs/>
                      <w:color w:val="auto"/>
                      <w:sz w:val="21"/>
                    </w:rPr>
                    <w:t>排放时间</w:t>
                  </w:r>
                </w:p>
                <w:p>
                  <w:pPr>
                    <w:pStyle w:val="48"/>
                    <w:rPr>
                      <w:rFonts w:ascii="Times New Roman" w:hAnsi="Times New Roman" w:eastAsia="宋体"/>
                      <w:b/>
                      <w:bCs/>
                      <w:color w:val="auto"/>
                      <w:sz w:val="21"/>
                    </w:rPr>
                  </w:pPr>
                  <w:r>
                    <w:rPr>
                      <w:rFonts w:hint="eastAsia" w:ascii="Times New Roman" w:hAnsi="Times New Roman" w:eastAsia="宋体"/>
                      <w:b/>
                      <w:bCs/>
                      <w:color w:val="auto"/>
                      <w:sz w:val="21"/>
                    </w:rPr>
                    <w:t>h</w:t>
                  </w:r>
                </w:p>
              </w:tc>
              <w:tc>
                <w:tcPr>
                  <w:tcW w:w="394" w:type="pct"/>
                  <w:gridSpan w:val="2"/>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8" w:hRule="atLeast"/>
                <w:jc w:val="center"/>
              </w:trPr>
              <w:tc>
                <w:tcPr>
                  <w:tcW w:w="162" w:type="pct"/>
                  <w:vMerge w:val="continue"/>
                  <w:tcBorders>
                    <w:tl2br w:val="nil"/>
                    <w:tr2bl w:val="nil"/>
                  </w:tcBorders>
                  <w:vAlign w:val="center"/>
                </w:tcPr>
                <w:p>
                  <w:pPr>
                    <w:pStyle w:val="48"/>
                    <w:rPr>
                      <w:rFonts w:ascii="Times New Roman" w:hAnsi="Times New Roman" w:eastAsia="宋体"/>
                      <w:b/>
                      <w:bCs/>
                      <w:color w:val="auto"/>
                      <w:sz w:val="21"/>
                    </w:rPr>
                  </w:pPr>
                </w:p>
              </w:tc>
              <w:tc>
                <w:tcPr>
                  <w:tcW w:w="225" w:type="pct"/>
                  <w:gridSpan w:val="2"/>
                  <w:vMerge w:val="continue"/>
                  <w:tcBorders>
                    <w:tl2br w:val="nil"/>
                    <w:tr2bl w:val="nil"/>
                  </w:tcBorders>
                  <w:tcMar>
                    <w:left w:w="0" w:type="dxa"/>
                    <w:right w:w="0" w:type="dxa"/>
                  </w:tcMar>
                  <w:vAlign w:val="center"/>
                </w:tcPr>
                <w:p>
                  <w:pPr>
                    <w:pStyle w:val="48"/>
                    <w:rPr>
                      <w:rFonts w:ascii="Times New Roman" w:hAnsi="Times New Roman" w:eastAsia="宋体"/>
                      <w:b/>
                      <w:bCs/>
                      <w:color w:val="auto"/>
                      <w:sz w:val="21"/>
                    </w:rPr>
                  </w:pPr>
                </w:p>
              </w:tc>
              <w:tc>
                <w:tcPr>
                  <w:tcW w:w="250" w:type="pct"/>
                  <w:vMerge w:val="continue"/>
                  <w:tcBorders>
                    <w:tl2br w:val="nil"/>
                    <w:tr2bl w:val="nil"/>
                  </w:tcBorders>
                  <w:tcMar>
                    <w:left w:w="0" w:type="dxa"/>
                    <w:right w:w="0" w:type="dxa"/>
                  </w:tcMar>
                  <w:vAlign w:val="center"/>
                </w:tcPr>
                <w:p>
                  <w:pPr>
                    <w:pStyle w:val="48"/>
                    <w:rPr>
                      <w:rFonts w:ascii="Times New Roman" w:hAnsi="Times New Roman" w:eastAsia="宋体"/>
                      <w:b/>
                      <w:bCs/>
                      <w:color w:val="auto"/>
                      <w:sz w:val="21"/>
                    </w:rPr>
                  </w:pPr>
                </w:p>
              </w:tc>
              <w:tc>
                <w:tcPr>
                  <w:tcW w:w="229"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浓度</w:t>
                  </w:r>
                </w:p>
                <w:p>
                  <w:pPr>
                    <w:pStyle w:val="48"/>
                    <w:rPr>
                      <w:rFonts w:ascii="Times New Roman" w:hAnsi="Times New Roman" w:eastAsia="宋体"/>
                      <w:b/>
                      <w:bCs/>
                      <w:color w:val="auto"/>
                      <w:sz w:val="21"/>
                    </w:rPr>
                  </w:pPr>
                  <w:r>
                    <w:rPr>
                      <w:rFonts w:ascii="Times New Roman" w:hAnsi="Times New Roman" w:eastAsia="宋体"/>
                      <w:b/>
                      <w:bCs/>
                      <w:color w:val="auto"/>
                      <w:sz w:val="21"/>
                    </w:rPr>
                    <w:t>mg/m</w:t>
                  </w:r>
                  <w:r>
                    <w:rPr>
                      <w:rFonts w:ascii="Times New Roman" w:hAnsi="Times New Roman" w:eastAsia="宋体"/>
                      <w:b/>
                      <w:bCs/>
                      <w:color w:val="auto"/>
                      <w:sz w:val="21"/>
                      <w:vertAlign w:val="superscript"/>
                    </w:rPr>
                    <w:t>3</w:t>
                  </w:r>
                </w:p>
              </w:tc>
              <w:tc>
                <w:tcPr>
                  <w:tcW w:w="196"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hint="eastAsia" w:ascii="Times New Roman" w:hAnsi="Times New Roman" w:eastAsia="宋体"/>
                      <w:b/>
                      <w:bCs/>
                      <w:color w:val="auto"/>
                      <w:sz w:val="21"/>
                    </w:rPr>
                    <w:t>速率kg/h</w:t>
                  </w:r>
                </w:p>
              </w:tc>
              <w:tc>
                <w:tcPr>
                  <w:tcW w:w="231"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产生量</w:t>
                  </w:r>
                </w:p>
                <w:p>
                  <w:pPr>
                    <w:pStyle w:val="48"/>
                    <w:rPr>
                      <w:rFonts w:ascii="Times New Roman" w:hAnsi="Times New Roman" w:eastAsia="宋体"/>
                      <w:b/>
                      <w:bCs/>
                      <w:color w:val="auto"/>
                      <w:sz w:val="21"/>
                    </w:rPr>
                  </w:pPr>
                  <w:r>
                    <w:rPr>
                      <w:rFonts w:ascii="Times New Roman" w:hAnsi="Times New Roman" w:eastAsia="宋体"/>
                      <w:b/>
                      <w:bCs/>
                      <w:color w:val="auto"/>
                      <w:sz w:val="21"/>
                    </w:rPr>
                    <w:t>t/a</w:t>
                  </w:r>
                </w:p>
              </w:tc>
              <w:tc>
                <w:tcPr>
                  <w:tcW w:w="120" w:type="pct"/>
                  <w:vMerge w:val="continue"/>
                  <w:tcBorders>
                    <w:tl2br w:val="nil"/>
                    <w:tr2bl w:val="nil"/>
                  </w:tcBorders>
                  <w:tcMar>
                    <w:left w:w="0" w:type="dxa"/>
                    <w:right w:w="0" w:type="dxa"/>
                  </w:tcMar>
                  <w:vAlign w:val="center"/>
                </w:tcPr>
                <w:p>
                  <w:pPr>
                    <w:pStyle w:val="48"/>
                    <w:rPr>
                      <w:rFonts w:ascii="Times New Roman" w:hAnsi="Times New Roman" w:eastAsia="宋体"/>
                      <w:b/>
                      <w:bCs/>
                      <w:color w:val="auto"/>
                      <w:sz w:val="21"/>
                    </w:rPr>
                  </w:pPr>
                </w:p>
              </w:tc>
              <w:tc>
                <w:tcPr>
                  <w:tcW w:w="196" w:type="pct"/>
                  <w:vMerge w:val="continue"/>
                  <w:tcBorders>
                    <w:tl2br w:val="nil"/>
                    <w:tr2bl w:val="nil"/>
                  </w:tcBorders>
                  <w:tcMar>
                    <w:left w:w="0" w:type="dxa"/>
                    <w:right w:w="0" w:type="dxa"/>
                  </w:tcMar>
                  <w:vAlign w:val="center"/>
                </w:tcPr>
                <w:p>
                  <w:pPr>
                    <w:pStyle w:val="48"/>
                    <w:rPr>
                      <w:rFonts w:ascii="Times New Roman" w:hAnsi="Times New Roman" w:eastAsia="宋体"/>
                      <w:b/>
                      <w:bCs/>
                      <w:color w:val="auto"/>
                      <w:sz w:val="21"/>
                    </w:rPr>
                  </w:pPr>
                </w:p>
              </w:tc>
              <w:tc>
                <w:tcPr>
                  <w:tcW w:w="407"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hint="eastAsia" w:ascii="Times New Roman" w:hAnsi="Times New Roman" w:eastAsia="宋体"/>
                      <w:b/>
                      <w:bCs/>
                      <w:color w:val="auto"/>
                      <w:sz w:val="21"/>
                    </w:rPr>
                    <w:t>污染治理工艺</w:t>
                  </w:r>
                </w:p>
              </w:tc>
              <w:tc>
                <w:tcPr>
                  <w:tcW w:w="177"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去除率%</w:t>
                  </w:r>
                </w:p>
              </w:tc>
              <w:tc>
                <w:tcPr>
                  <w:tcW w:w="191"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是否为可行技术</w:t>
                  </w:r>
                </w:p>
              </w:tc>
              <w:tc>
                <w:tcPr>
                  <w:tcW w:w="229"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浓度</w:t>
                  </w:r>
                </w:p>
                <w:p>
                  <w:pPr>
                    <w:pStyle w:val="48"/>
                    <w:rPr>
                      <w:rFonts w:ascii="Times New Roman" w:hAnsi="Times New Roman" w:eastAsia="宋体"/>
                      <w:b/>
                      <w:bCs/>
                      <w:color w:val="auto"/>
                      <w:sz w:val="21"/>
                    </w:rPr>
                  </w:pPr>
                  <w:r>
                    <w:rPr>
                      <w:rFonts w:ascii="Times New Roman" w:hAnsi="Times New Roman" w:eastAsia="宋体"/>
                      <w:b/>
                      <w:bCs/>
                      <w:color w:val="auto"/>
                      <w:sz w:val="21"/>
                    </w:rPr>
                    <w:t>mg/m</w:t>
                  </w:r>
                  <w:r>
                    <w:rPr>
                      <w:rFonts w:ascii="Times New Roman" w:hAnsi="Times New Roman" w:eastAsia="宋体"/>
                      <w:b/>
                      <w:bCs/>
                      <w:color w:val="auto"/>
                      <w:sz w:val="21"/>
                      <w:vertAlign w:val="superscript"/>
                    </w:rPr>
                    <w:t>3</w:t>
                  </w:r>
                </w:p>
              </w:tc>
              <w:tc>
                <w:tcPr>
                  <w:tcW w:w="228"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速率</w:t>
                  </w:r>
                </w:p>
                <w:p>
                  <w:pPr>
                    <w:pStyle w:val="48"/>
                    <w:rPr>
                      <w:rFonts w:ascii="Times New Roman" w:hAnsi="Times New Roman" w:eastAsia="宋体"/>
                      <w:b/>
                      <w:bCs/>
                      <w:color w:val="auto"/>
                      <w:sz w:val="21"/>
                    </w:rPr>
                  </w:pPr>
                  <w:r>
                    <w:rPr>
                      <w:rFonts w:ascii="Times New Roman" w:hAnsi="Times New Roman" w:eastAsia="宋体"/>
                      <w:b/>
                      <w:bCs/>
                      <w:color w:val="auto"/>
                      <w:sz w:val="21"/>
                    </w:rPr>
                    <w:t>kg/h</w:t>
                  </w:r>
                </w:p>
              </w:tc>
              <w:tc>
                <w:tcPr>
                  <w:tcW w:w="238"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排放量t/a</w:t>
                  </w:r>
                </w:p>
              </w:tc>
              <w:tc>
                <w:tcPr>
                  <w:tcW w:w="107"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高度m</w:t>
                  </w:r>
                </w:p>
              </w:tc>
              <w:tc>
                <w:tcPr>
                  <w:tcW w:w="180"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排气筒内径m</w:t>
                  </w:r>
                </w:p>
              </w:tc>
              <w:tc>
                <w:tcPr>
                  <w:tcW w:w="173"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温度℃</w:t>
                  </w:r>
                </w:p>
              </w:tc>
              <w:tc>
                <w:tcPr>
                  <w:tcW w:w="252"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编号及名称</w:t>
                  </w:r>
                </w:p>
              </w:tc>
              <w:tc>
                <w:tcPr>
                  <w:tcW w:w="146"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类型</w:t>
                  </w:r>
                  <w:r>
                    <w:rPr>
                      <w:rFonts w:hint="eastAsia" w:ascii="Times New Roman" w:hAnsi="Times New Roman" w:eastAsia="宋体"/>
                      <w:b/>
                      <w:bCs/>
                      <w:color w:val="auto"/>
                      <w:sz w:val="21"/>
                      <w:vertAlign w:val="superscript"/>
                    </w:rPr>
                    <w:t>①</w:t>
                  </w:r>
                </w:p>
              </w:tc>
              <w:tc>
                <w:tcPr>
                  <w:tcW w:w="489"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地理坐标</w:t>
                  </w:r>
                </w:p>
              </w:tc>
              <w:tc>
                <w:tcPr>
                  <w:tcW w:w="167" w:type="pct"/>
                  <w:vMerge w:val="continue"/>
                  <w:tcBorders>
                    <w:tl2br w:val="nil"/>
                    <w:tr2bl w:val="nil"/>
                  </w:tcBorders>
                  <w:tcMar>
                    <w:left w:w="0" w:type="dxa"/>
                    <w:right w:w="0" w:type="dxa"/>
                  </w:tcMar>
                  <w:vAlign w:val="center"/>
                </w:tcPr>
                <w:p>
                  <w:pPr>
                    <w:pStyle w:val="48"/>
                    <w:rPr>
                      <w:rFonts w:ascii="Times New Roman" w:hAnsi="Times New Roman" w:eastAsia="宋体"/>
                      <w:b/>
                      <w:bCs/>
                      <w:color w:val="auto"/>
                      <w:sz w:val="21"/>
                    </w:rPr>
                  </w:pPr>
                </w:p>
              </w:tc>
              <w:tc>
                <w:tcPr>
                  <w:tcW w:w="230"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浓度</w:t>
                  </w:r>
                </w:p>
                <w:p>
                  <w:pPr>
                    <w:pStyle w:val="48"/>
                    <w:rPr>
                      <w:rFonts w:ascii="Times New Roman" w:hAnsi="Times New Roman" w:eastAsia="宋体"/>
                      <w:b/>
                      <w:bCs/>
                      <w:color w:val="auto"/>
                      <w:sz w:val="21"/>
                    </w:rPr>
                  </w:pPr>
                  <w:r>
                    <w:rPr>
                      <w:rFonts w:ascii="Times New Roman" w:hAnsi="Times New Roman" w:eastAsia="宋体"/>
                      <w:b/>
                      <w:bCs/>
                      <w:color w:val="auto"/>
                      <w:sz w:val="21"/>
                    </w:rPr>
                    <w:t>mg/m</w:t>
                  </w:r>
                  <w:r>
                    <w:rPr>
                      <w:rFonts w:ascii="Times New Roman" w:hAnsi="Times New Roman" w:eastAsia="宋体"/>
                      <w:b/>
                      <w:bCs/>
                      <w:color w:val="auto"/>
                      <w:sz w:val="21"/>
                      <w:vertAlign w:val="superscript"/>
                    </w:rPr>
                    <w:t>3</w:t>
                  </w:r>
                </w:p>
              </w:tc>
              <w:tc>
                <w:tcPr>
                  <w:tcW w:w="164" w:type="pct"/>
                  <w:tcBorders>
                    <w:tl2br w:val="nil"/>
                    <w:tr2bl w:val="nil"/>
                  </w:tcBorders>
                  <w:tcMar>
                    <w:left w:w="0" w:type="dxa"/>
                    <w:right w:w="0" w:type="dxa"/>
                  </w:tcMar>
                  <w:vAlign w:val="center"/>
                </w:tcPr>
                <w:p>
                  <w:pPr>
                    <w:pStyle w:val="48"/>
                    <w:rPr>
                      <w:rFonts w:ascii="Times New Roman" w:hAnsi="Times New Roman" w:eastAsia="宋体"/>
                      <w:b/>
                      <w:bCs/>
                      <w:color w:val="auto"/>
                      <w:sz w:val="21"/>
                    </w:rPr>
                  </w:pPr>
                  <w:r>
                    <w:rPr>
                      <w:rFonts w:ascii="Times New Roman" w:hAnsi="Times New Roman" w:eastAsia="宋体"/>
                      <w:b/>
                      <w:bCs/>
                      <w:color w:val="auto"/>
                      <w:sz w:val="21"/>
                    </w:rPr>
                    <w:t>速率</w:t>
                  </w:r>
                </w:p>
                <w:p>
                  <w:pPr>
                    <w:pStyle w:val="48"/>
                    <w:rPr>
                      <w:rFonts w:ascii="Times New Roman" w:hAnsi="Times New Roman" w:eastAsia="宋体"/>
                      <w:b/>
                      <w:bCs/>
                      <w:color w:val="auto"/>
                      <w:sz w:val="21"/>
                    </w:rPr>
                  </w:pPr>
                  <w:r>
                    <w:rPr>
                      <w:rFonts w:ascii="Times New Roman" w:hAnsi="Times New Roman" w:eastAsia="宋体"/>
                      <w:b/>
                      <w:bCs/>
                      <w:color w:val="auto"/>
                      <w:sz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62" w:type="pct"/>
                  <w:vMerge w:val="restart"/>
                  <w:tcBorders>
                    <w:tl2br w:val="nil"/>
                    <w:tr2bl w:val="nil"/>
                  </w:tcBorders>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高固份漆喷涂晾干</w:t>
                  </w:r>
                </w:p>
              </w:tc>
              <w:tc>
                <w:tcPr>
                  <w:tcW w:w="225" w:type="pct"/>
                  <w:gridSpan w:val="2"/>
                  <w:tcBorders>
                    <w:tl2br w:val="nil"/>
                    <w:tr2bl w:val="nil"/>
                  </w:tcBorders>
                  <w:tcMar>
                    <w:left w:w="0" w:type="dxa"/>
                    <w:right w:w="0" w:type="dxa"/>
                  </w:tcMar>
                  <w:vAlign w:val="center"/>
                </w:tcPr>
                <w:p>
                  <w:pPr>
                    <w:pStyle w:val="48"/>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颗粒物</w:t>
                  </w:r>
                </w:p>
              </w:tc>
              <w:tc>
                <w:tcPr>
                  <w:tcW w:w="250" w:type="pct"/>
                  <w:vMerge w:val="restar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15000</w:t>
                  </w: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89.3</w:t>
                  </w:r>
                </w:p>
              </w:tc>
              <w:tc>
                <w:tcPr>
                  <w:tcW w:w="196"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1.34</w:t>
                  </w:r>
                </w:p>
              </w:tc>
              <w:tc>
                <w:tcPr>
                  <w:tcW w:w="231"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0.788</w:t>
                  </w:r>
                </w:p>
              </w:tc>
              <w:tc>
                <w:tcPr>
                  <w:tcW w:w="120" w:type="pc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有组织</w:t>
                  </w:r>
                </w:p>
              </w:tc>
              <w:tc>
                <w:tcPr>
                  <w:tcW w:w="196"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95</w:t>
                  </w:r>
                </w:p>
              </w:tc>
              <w:tc>
                <w:tcPr>
                  <w:tcW w:w="407"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lang w:val="en-US" w:eastAsia="zh-CN"/>
                    </w:rPr>
                    <w:t>多级过滤器</w:t>
                  </w:r>
                  <w:r>
                    <w:rPr>
                      <w:rFonts w:hint="eastAsia" w:ascii="Times New Roman" w:hAnsi="Times New Roman" w:eastAsia="宋体"/>
                      <w:color w:val="auto"/>
                      <w:sz w:val="21"/>
                    </w:rPr>
                    <w:t>+</w:t>
                  </w:r>
                  <w:r>
                    <w:rPr>
                      <w:rFonts w:hint="eastAsia" w:ascii="Times New Roman" w:hAnsi="Times New Roman" w:eastAsia="宋体"/>
                      <w:color w:val="auto"/>
                      <w:sz w:val="21"/>
                      <w:lang w:val="en-US" w:eastAsia="zh-CN"/>
                    </w:rPr>
                    <w:t>三</w:t>
                  </w:r>
                  <w:r>
                    <w:rPr>
                      <w:rFonts w:hint="eastAsia" w:ascii="Times New Roman" w:hAnsi="Times New Roman" w:eastAsia="宋体"/>
                      <w:color w:val="auto"/>
                      <w:sz w:val="21"/>
                    </w:rPr>
                    <w:t>级活性炭吸附装置</w:t>
                  </w:r>
                </w:p>
              </w:tc>
              <w:tc>
                <w:tcPr>
                  <w:tcW w:w="177" w:type="pct"/>
                  <w:tcBorders>
                    <w:tl2br w:val="nil"/>
                    <w:tr2bl w:val="nil"/>
                  </w:tcBorders>
                  <w:tcMar>
                    <w:left w:w="0" w:type="dxa"/>
                    <w:right w:w="0" w:type="dxa"/>
                  </w:tcMar>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rPr>
                    <w:t>9</w:t>
                  </w:r>
                  <w:r>
                    <w:rPr>
                      <w:rFonts w:hint="eastAsia" w:ascii="Times New Roman" w:hAnsi="Times New Roman" w:eastAsia="宋体"/>
                      <w:color w:val="auto"/>
                      <w:sz w:val="21"/>
                      <w:lang w:val="en-US" w:eastAsia="zh-CN"/>
                    </w:rPr>
                    <w:t>6</w:t>
                  </w:r>
                </w:p>
              </w:tc>
              <w:tc>
                <w:tcPr>
                  <w:tcW w:w="191" w:type="pc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是</w:t>
                  </w: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3.6</w:t>
                  </w:r>
                </w:p>
              </w:tc>
              <w:tc>
                <w:tcPr>
                  <w:tcW w:w="228"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0.054</w:t>
                  </w:r>
                </w:p>
              </w:tc>
              <w:tc>
                <w:tcPr>
                  <w:tcW w:w="238"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0.0315</w:t>
                  </w:r>
                </w:p>
              </w:tc>
              <w:tc>
                <w:tcPr>
                  <w:tcW w:w="107"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15</w:t>
                  </w:r>
                </w:p>
              </w:tc>
              <w:tc>
                <w:tcPr>
                  <w:tcW w:w="180"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0.7</w:t>
                  </w:r>
                </w:p>
              </w:tc>
              <w:tc>
                <w:tcPr>
                  <w:tcW w:w="173"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25</w:t>
                  </w:r>
                </w:p>
              </w:tc>
              <w:tc>
                <w:tcPr>
                  <w:tcW w:w="252"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DA001</w:t>
                  </w:r>
                </w:p>
              </w:tc>
              <w:tc>
                <w:tcPr>
                  <w:tcW w:w="146"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一般排放口</w:t>
                  </w:r>
                </w:p>
              </w:tc>
              <w:tc>
                <w:tcPr>
                  <w:tcW w:w="489" w:type="pct"/>
                  <w:vMerge w:val="restar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120.724639，</w:t>
                  </w:r>
                </w:p>
                <w:p>
                  <w:pPr>
                    <w:pStyle w:val="48"/>
                    <w:rPr>
                      <w:rFonts w:ascii="Times New Roman" w:hAnsi="Times New Roman" w:eastAsia="宋体"/>
                      <w:color w:val="auto"/>
                      <w:sz w:val="21"/>
                    </w:rPr>
                  </w:pPr>
                  <w:r>
                    <w:rPr>
                      <w:rFonts w:hint="eastAsia" w:ascii="Times New Roman" w:hAnsi="Times New Roman" w:eastAsia="宋体"/>
                      <w:color w:val="auto"/>
                      <w:sz w:val="21"/>
                    </w:rPr>
                    <w:t xml:space="preserve">32.295887 </w:t>
                  </w:r>
                </w:p>
              </w:tc>
              <w:tc>
                <w:tcPr>
                  <w:tcW w:w="167" w:type="pct"/>
                  <w:vMerge w:val="restart"/>
                  <w:tcBorders>
                    <w:tl2br w:val="nil"/>
                    <w:tr2bl w:val="nil"/>
                  </w:tcBorders>
                  <w:tcMar>
                    <w:left w:w="0" w:type="dxa"/>
                    <w:right w:w="0" w:type="dxa"/>
                  </w:tcMar>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喷漆588</w:t>
                  </w:r>
                </w:p>
                <w:p>
                  <w:pPr>
                    <w:pStyle w:val="48"/>
                    <w:rPr>
                      <w:rFonts w:hint="default" w:ascii="Times New Roman" w:hAnsi="Times New Roman" w:eastAsia="宋体"/>
                      <w:color w:val="auto"/>
                      <w:sz w:val="21"/>
                      <w:lang w:val="en-US" w:eastAsia="zh-CN"/>
                    </w:rPr>
                  </w:pPr>
                  <w:r>
                    <w:rPr>
                      <w:rFonts w:hint="eastAsia" w:ascii="Times New Roman" w:hAnsi="Times New Roman" w:eastAsia="宋体" w:cs="Times New Roman"/>
                      <w:b w:val="0"/>
                      <w:bCs w:val="0"/>
                      <w:color w:val="000000"/>
                      <w:sz w:val="21"/>
                      <w:szCs w:val="21"/>
                      <w:vertAlign w:val="baseline"/>
                      <w:lang w:val="en-US" w:eastAsia="zh-CN"/>
                    </w:rPr>
                    <w:t>晾干1800</w:t>
                  </w:r>
                </w:p>
              </w:tc>
              <w:tc>
                <w:tcPr>
                  <w:tcW w:w="230"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c>
                <w:tcPr>
                  <w:tcW w:w="164"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62" w:type="pct"/>
                  <w:vMerge w:val="continue"/>
                  <w:tcBorders>
                    <w:tl2br w:val="nil"/>
                    <w:tr2bl w:val="nil"/>
                  </w:tcBorders>
                  <w:vAlign w:val="center"/>
                </w:tcPr>
                <w:p>
                  <w:pPr>
                    <w:pStyle w:val="48"/>
                    <w:rPr>
                      <w:rFonts w:ascii="Times New Roman" w:hAnsi="Times New Roman" w:eastAsia="宋体"/>
                      <w:color w:val="auto"/>
                      <w:sz w:val="21"/>
                    </w:rPr>
                  </w:pPr>
                </w:p>
              </w:tc>
              <w:tc>
                <w:tcPr>
                  <w:tcW w:w="225" w:type="pct"/>
                  <w:gridSpan w:val="2"/>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非甲烷总烃</w:t>
                  </w:r>
                </w:p>
              </w:tc>
              <w:tc>
                <w:tcPr>
                  <w:tcW w:w="250"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color w:val="auto"/>
                      <w:sz w:val="21"/>
                      <w:lang w:val="en-US" w:eastAsia="zh-CN"/>
                    </w:rPr>
                    <w:t>41</w:t>
                  </w:r>
                </w:p>
              </w:tc>
              <w:tc>
                <w:tcPr>
                  <w:tcW w:w="196"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color w:val="auto"/>
                      <w:sz w:val="21"/>
                      <w:lang w:val="en-US" w:eastAsia="zh-CN"/>
                    </w:rPr>
                    <w:t>0.61</w:t>
                  </w:r>
                </w:p>
              </w:tc>
              <w:tc>
                <w:tcPr>
                  <w:tcW w:w="231"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1.458</w:t>
                  </w:r>
                </w:p>
              </w:tc>
              <w:tc>
                <w:tcPr>
                  <w:tcW w:w="120" w:type="pc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有组织</w:t>
                  </w:r>
                </w:p>
              </w:tc>
              <w:tc>
                <w:tcPr>
                  <w:tcW w:w="196"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95</w:t>
                  </w:r>
                </w:p>
              </w:tc>
              <w:tc>
                <w:tcPr>
                  <w:tcW w:w="40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77" w:type="pc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9</w:t>
                  </w:r>
                  <w:r>
                    <w:rPr>
                      <w:rFonts w:hint="eastAsia" w:ascii="Times New Roman" w:hAnsi="Times New Roman" w:eastAsia="宋体"/>
                      <w:color w:val="auto"/>
                      <w:sz w:val="21"/>
                      <w:lang w:val="en-US" w:eastAsia="zh-CN"/>
                    </w:rPr>
                    <w:t>5</w:t>
                  </w:r>
                </w:p>
              </w:tc>
              <w:tc>
                <w:tcPr>
                  <w:tcW w:w="191" w:type="pct"/>
                  <w:tcBorders>
                    <w:tl2br w:val="nil"/>
                    <w:tr2bl w:val="nil"/>
                  </w:tcBorders>
                  <w:tcMar>
                    <w:left w:w="0" w:type="dxa"/>
                    <w:right w:w="0" w:type="dxa"/>
                  </w:tcMar>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是</w:t>
                  </w: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2.1</w:t>
                  </w:r>
                </w:p>
              </w:tc>
              <w:tc>
                <w:tcPr>
                  <w:tcW w:w="228"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0.031</w:t>
                  </w:r>
                </w:p>
              </w:tc>
              <w:tc>
                <w:tcPr>
                  <w:tcW w:w="238"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0.0729</w:t>
                  </w:r>
                </w:p>
              </w:tc>
              <w:tc>
                <w:tcPr>
                  <w:tcW w:w="10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80"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73"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52"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46"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489"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6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30"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50</w:t>
                  </w:r>
                </w:p>
              </w:tc>
              <w:tc>
                <w:tcPr>
                  <w:tcW w:w="164"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62" w:type="pct"/>
                  <w:vMerge w:val="continue"/>
                  <w:tcBorders>
                    <w:tl2br w:val="nil"/>
                    <w:tr2bl w:val="nil"/>
                  </w:tcBorders>
                  <w:vAlign w:val="center"/>
                </w:tcPr>
                <w:p>
                  <w:pPr>
                    <w:pStyle w:val="48"/>
                    <w:rPr>
                      <w:rFonts w:ascii="Times New Roman" w:hAnsi="Times New Roman" w:eastAsia="宋体"/>
                      <w:color w:val="auto"/>
                      <w:sz w:val="21"/>
                    </w:rPr>
                  </w:pPr>
                </w:p>
              </w:tc>
              <w:tc>
                <w:tcPr>
                  <w:tcW w:w="225" w:type="pct"/>
                  <w:gridSpan w:val="2"/>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TVOC</w:t>
                  </w:r>
                </w:p>
              </w:tc>
              <w:tc>
                <w:tcPr>
                  <w:tcW w:w="250"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29" w:type="pct"/>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41</w:t>
                  </w:r>
                </w:p>
              </w:tc>
              <w:tc>
                <w:tcPr>
                  <w:tcW w:w="196" w:type="pct"/>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0.61</w:t>
                  </w:r>
                </w:p>
              </w:tc>
              <w:tc>
                <w:tcPr>
                  <w:tcW w:w="231" w:type="pct"/>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1.458</w:t>
                  </w:r>
                </w:p>
              </w:tc>
              <w:tc>
                <w:tcPr>
                  <w:tcW w:w="120" w:type="pct"/>
                  <w:tcBorders>
                    <w:tl2br w:val="nil"/>
                    <w:tr2bl w:val="nil"/>
                  </w:tcBorders>
                  <w:tcMar>
                    <w:left w:w="0" w:type="dxa"/>
                    <w:right w:w="0" w:type="dxa"/>
                  </w:tcMar>
                  <w:vAlign w:val="center"/>
                </w:tcPr>
                <w:p>
                  <w:pPr>
                    <w:pStyle w:val="48"/>
                    <w:rPr>
                      <w:rFonts w:hint="eastAsia" w:ascii="Times New Roman" w:hAnsi="Times New Roman" w:eastAsia="宋体"/>
                      <w:color w:val="auto"/>
                      <w:sz w:val="21"/>
                    </w:rPr>
                  </w:pPr>
                  <w:r>
                    <w:rPr>
                      <w:rFonts w:hint="eastAsia" w:ascii="Times New Roman" w:hAnsi="Times New Roman" w:eastAsia="宋体"/>
                      <w:color w:val="auto"/>
                      <w:sz w:val="21"/>
                    </w:rPr>
                    <w:t>有组织</w:t>
                  </w:r>
                </w:p>
              </w:tc>
              <w:tc>
                <w:tcPr>
                  <w:tcW w:w="196" w:type="pct"/>
                  <w:tcBorders>
                    <w:tl2br w:val="nil"/>
                    <w:tr2bl w:val="nil"/>
                  </w:tcBorders>
                  <w:tcMar>
                    <w:left w:w="0" w:type="dxa"/>
                    <w:right w:w="0" w:type="dxa"/>
                  </w:tcMar>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95</w:t>
                  </w:r>
                </w:p>
              </w:tc>
              <w:tc>
                <w:tcPr>
                  <w:tcW w:w="40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77" w:type="pct"/>
                  <w:tcBorders>
                    <w:tl2br w:val="nil"/>
                    <w:tr2bl w:val="nil"/>
                  </w:tcBorders>
                  <w:tcMar>
                    <w:left w:w="0" w:type="dxa"/>
                    <w:right w:w="0" w:type="dxa"/>
                  </w:tcMar>
                  <w:vAlign w:val="center"/>
                </w:tcPr>
                <w:p>
                  <w:pPr>
                    <w:pStyle w:val="48"/>
                    <w:rPr>
                      <w:rFonts w:hint="eastAsia" w:ascii="Times New Roman" w:hAnsi="Times New Roman" w:eastAsia="宋体"/>
                      <w:color w:val="auto"/>
                      <w:sz w:val="21"/>
                    </w:rPr>
                  </w:pPr>
                  <w:r>
                    <w:rPr>
                      <w:rFonts w:hint="eastAsia" w:ascii="Times New Roman" w:hAnsi="Times New Roman" w:eastAsia="宋体"/>
                      <w:color w:val="auto"/>
                      <w:sz w:val="21"/>
                      <w:lang w:val="en-US" w:eastAsia="zh-CN"/>
                    </w:rPr>
                    <w:t>95</w:t>
                  </w:r>
                </w:p>
              </w:tc>
              <w:tc>
                <w:tcPr>
                  <w:tcW w:w="191" w:type="pct"/>
                  <w:tcBorders>
                    <w:tl2br w:val="nil"/>
                    <w:tr2bl w:val="nil"/>
                  </w:tcBorders>
                  <w:tcMar>
                    <w:left w:w="0" w:type="dxa"/>
                    <w:right w:w="0" w:type="dxa"/>
                  </w:tcMar>
                  <w:vAlign w:val="center"/>
                </w:tcPr>
                <w:p>
                  <w:pPr>
                    <w:pStyle w:val="48"/>
                    <w:rPr>
                      <w:rFonts w:hint="eastAsia" w:ascii="Times New Roman" w:hAnsi="Times New Roman" w:eastAsia="宋体"/>
                      <w:color w:val="auto"/>
                      <w:sz w:val="21"/>
                    </w:rPr>
                  </w:pPr>
                  <w:r>
                    <w:rPr>
                      <w:rFonts w:hint="eastAsia" w:ascii="Times New Roman" w:hAnsi="Times New Roman" w:eastAsia="宋体"/>
                      <w:color w:val="auto"/>
                      <w:sz w:val="21"/>
                      <w:lang w:val="en-US" w:eastAsia="zh-CN"/>
                    </w:rPr>
                    <w:t>是</w:t>
                  </w: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2.1</w:t>
                  </w:r>
                </w:p>
              </w:tc>
              <w:tc>
                <w:tcPr>
                  <w:tcW w:w="228" w:type="pct"/>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0.031</w:t>
                  </w:r>
                </w:p>
              </w:tc>
              <w:tc>
                <w:tcPr>
                  <w:tcW w:w="238" w:type="pct"/>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0.0729</w:t>
                  </w:r>
                </w:p>
              </w:tc>
              <w:tc>
                <w:tcPr>
                  <w:tcW w:w="10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80"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73"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52"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46"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489"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6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30"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80</w:t>
                  </w:r>
                </w:p>
              </w:tc>
              <w:tc>
                <w:tcPr>
                  <w:tcW w:w="164"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62" w:type="pct"/>
                  <w:vMerge w:val="continue"/>
                  <w:tcBorders>
                    <w:tl2br w:val="nil"/>
                    <w:tr2bl w:val="nil"/>
                  </w:tcBorders>
                  <w:vAlign w:val="center"/>
                </w:tcPr>
                <w:p>
                  <w:pPr>
                    <w:pStyle w:val="48"/>
                    <w:rPr>
                      <w:rFonts w:ascii="Times New Roman" w:hAnsi="Times New Roman" w:eastAsia="宋体"/>
                      <w:color w:val="auto"/>
                      <w:sz w:val="21"/>
                    </w:rPr>
                  </w:pPr>
                </w:p>
              </w:tc>
              <w:tc>
                <w:tcPr>
                  <w:tcW w:w="98" w:type="pct"/>
                  <w:tcBorders>
                    <w:tl2br w:val="nil"/>
                    <w:tr2bl w:val="nil"/>
                  </w:tcBorders>
                  <w:tcMar>
                    <w:left w:w="0" w:type="dxa"/>
                    <w:right w:w="0" w:type="dxa"/>
                  </w:tcMar>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其中</w:t>
                  </w:r>
                </w:p>
              </w:tc>
              <w:tc>
                <w:tcPr>
                  <w:tcW w:w="127"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二甲苯</w:t>
                  </w:r>
                </w:p>
              </w:tc>
              <w:tc>
                <w:tcPr>
                  <w:tcW w:w="250"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3.73</w:t>
                  </w:r>
                </w:p>
              </w:tc>
              <w:tc>
                <w:tcPr>
                  <w:tcW w:w="196"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0.056</w:t>
                  </w:r>
                </w:p>
              </w:tc>
              <w:tc>
                <w:tcPr>
                  <w:tcW w:w="231"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0.134</w:t>
                  </w:r>
                </w:p>
              </w:tc>
              <w:tc>
                <w:tcPr>
                  <w:tcW w:w="120" w:type="pct"/>
                  <w:tcBorders>
                    <w:tl2br w:val="nil"/>
                    <w:tr2bl w:val="nil"/>
                  </w:tcBorders>
                  <w:tcMar>
                    <w:left w:w="0" w:type="dxa"/>
                    <w:right w:w="0" w:type="dxa"/>
                  </w:tcMar>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有组织</w:t>
                  </w:r>
                </w:p>
              </w:tc>
              <w:tc>
                <w:tcPr>
                  <w:tcW w:w="196"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95</w:t>
                  </w:r>
                </w:p>
              </w:tc>
              <w:tc>
                <w:tcPr>
                  <w:tcW w:w="40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77"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95</w:t>
                  </w:r>
                </w:p>
              </w:tc>
              <w:tc>
                <w:tcPr>
                  <w:tcW w:w="191" w:type="pct"/>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rPr>
                    <w:t>是</w:t>
                  </w:r>
                </w:p>
              </w:tc>
              <w:tc>
                <w:tcPr>
                  <w:tcW w:w="229"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0.19</w:t>
                  </w:r>
                </w:p>
              </w:tc>
              <w:tc>
                <w:tcPr>
                  <w:tcW w:w="228"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0.0028</w:t>
                  </w:r>
                </w:p>
              </w:tc>
              <w:tc>
                <w:tcPr>
                  <w:tcW w:w="238"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0.0067</w:t>
                  </w:r>
                </w:p>
              </w:tc>
              <w:tc>
                <w:tcPr>
                  <w:tcW w:w="107"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80"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73" w:type="pct"/>
                  <w:vMerge w:val="continue"/>
                  <w:tcBorders>
                    <w:tl2br w:val="nil"/>
                    <w:tr2bl w:val="nil"/>
                  </w:tcBorders>
                  <w:tcMar>
                    <w:left w:w="0" w:type="dxa"/>
                    <w:right w:w="0" w:type="dxa"/>
                  </w:tcMar>
                  <w:vAlign w:val="center"/>
                </w:tcPr>
                <w:p>
                  <w:pPr>
                    <w:pStyle w:val="48"/>
                    <w:rPr>
                      <w:rFonts w:hint="eastAsia" w:ascii="Times New Roman" w:hAnsi="Times New Roman" w:eastAsia="宋体" w:cs="Times New Roman"/>
                      <w:color w:val="auto"/>
                      <w:kern w:val="2"/>
                      <w:sz w:val="21"/>
                      <w:szCs w:val="21"/>
                      <w:lang w:val="en-US" w:eastAsia="zh-CN" w:bidi="ar-SA"/>
                    </w:rPr>
                  </w:pPr>
                </w:p>
              </w:tc>
              <w:tc>
                <w:tcPr>
                  <w:tcW w:w="252"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46"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489" w:type="pct"/>
                  <w:vMerge w:val="continue"/>
                  <w:tcBorders>
                    <w:tl2br w:val="nil"/>
                    <w:tr2bl w:val="nil"/>
                  </w:tcBorders>
                  <w:tcMar>
                    <w:left w:w="0" w:type="dxa"/>
                    <w:right w:w="0" w:type="dxa"/>
                  </w:tcMar>
                  <w:vAlign w:val="center"/>
                </w:tcPr>
                <w:p>
                  <w:pPr>
                    <w:pStyle w:val="48"/>
                    <w:rPr>
                      <w:rFonts w:ascii="Times New Roman" w:hAnsi="Times New Roman" w:eastAsia="宋体"/>
                      <w:color w:val="auto"/>
                      <w:sz w:val="21"/>
                    </w:rPr>
                  </w:pPr>
                </w:p>
              </w:tc>
              <w:tc>
                <w:tcPr>
                  <w:tcW w:w="167" w:type="pct"/>
                  <w:vMerge w:val="continue"/>
                  <w:tcBorders>
                    <w:tl2br w:val="nil"/>
                    <w:tr2bl w:val="nil"/>
                  </w:tcBorders>
                  <w:tcMar>
                    <w:left w:w="0" w:type="dxa"/>
                    <w:right w:w="0" w:type="dxa"/>
                  </w:tcMar>
                  <w:vAlign w:val="center"/>
                </w:tcPr>
                <w:p>
                  <w:pPr>
                    <w:pStyle w:val="48"/>
                    <w:rPr>
                      <w:rFonts w:hint="eastAsia" w:ascii="Times New Roman" w:hAnsi="Times New Roman" w:eastAsia="宋体"/>
                      <w:color w:val="auto"/>
                      <w:sz w:val="21"/>
                    </w:rPr>
                  </w:pPr>
                </w:p>
              </w:tc>
              <w:tc>
                <w:tcPr>
                  <w:tcW w:w="230"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c>
                <w:tcPr>
                  <w:tcW w:w="164" w:type="pct"/>
                  <w:tcBorders>
                    <w:tl2br w:val="nil"/>
                    <w:tr2bl w:val="nil"/>
                  </w:tcBorders>
                  <w:tcMar>
                    <w:left w:w="0" w:type="dxa"/>
                    <w:right w:w="0" w:type="dxa"/>
                  </w:tcMar>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w:t>
                  </w:r>
                  <w:r>
                    <w:rPr>
                      <w:rFonts w:hint="eastAsia"/>
                      <w:color w:val="auto"/>
                      <w:sz w:val="21"/>
                      <w:lang w:val="en-US" w:eastAsia="zh-CN"/>
                    </w:rPr>
                    <w:t>7</w:t>
                  </w:r>
                  <w:r>
                    <w:rPr>
                      <w:rFonts w:hint="eastAsia" w:ascii="Times New Roman" w:hAnsi="Times New Roman" w:eastAsia="宋体"/>
                      <w:color w:val="auto"/>
                      <w:sz w:val="21"/>
                      <w:lang w:val="en-US" w:eastAsia="zh-CN"/>
                    </w:rPr>
                    <w:t>2</w:t>
                  </w:r>
                </w:p>
              </w:tc>
            </w:tr>
          </w:tbl>
          <w:p>
            <w:pPr>
              <w:rPr>
                <w:rFonts w:ascii="Times New Roman" w:hAnsi="Times New Roman" w:eastAsia="宋体"/>
                <w:color w:val="auto"/>
                <w:szCs w:val="21"/>
              </w:rPr>
            </w:pPr>
            <w:r>
              <w:rPr>
                <w:rFonts w:ascii="Times New Roman" w:hAnsi="Times New Roman" w:eastAsia="宋体"/>
                <w:bCs/>
                <w:color w:val="auto"/>
                <w:szCs w:val="21"/>
              </w:rPr>
              <w:t>注：①依据</w:t>
            </w:r>
            <w:r>
              <w:rPr>
                <w:rFonts w:hint="default" w:ascii="Times New Roman" w:hAnsi="Times New Roman" w:eastAsia="宋体"/>
                <w:bCs/>
                <w:color w:val="auto"/>
                <w:szCs w:val="21"/>
                <w:lang w:val="en-US" w:eastAsia="zh-CN"/>
              </w:rPr>
              <w:t>《排污许可证申请与核发技术规范 铁路、船舶、航空航天和其他运输设备制造业》</w:t>
            </w:r>
            <w:r>
              <w:rPr>
                <w:rFonts w:hint="eastAsia" w:ascii="Times New Roman" w:hAnsi="Times New Roman" w:eastAsia="宋体"/>
                <w:bCs/>
                <w:color w:val="auto"/>
                <w:szCs w:val="21"/>
                <w:lang w:val="en-US" w:eastAsia="zh-CN"/>
              </w:rPr>
              <w:t>（HJ1124—2020）</w:t>
            </w:r>
            <w:r>
              <w:rPr>
                <w:rFonts w:ascii="Times New Roman" w:hAnsi="Times New Roman" w:eastAsia="宋体"/>
                <w:bCs/>
                <w:color w:val="auto"/>
                <w:szCs w:val="21"/>
              </w:rPr>
              <w:t>中排放口类型及可行性技术确定。</w:t>
            </w:r>
          </w:p>
          <w:p>
            <w:pPr>
              <w:jc w:val="center"/>
              <w:rPr>
                <w:rFonts w:ascii="Times New Roman" w:hAnsi="Times New Roman" w:eastAsia="宋体"/>
                <w:b/>
                <w:bCs/>
                <w:color w:val="auto"/>
                <w:szCs w:val="21"/>
              </w:rPr>
            </w:pPr>
            <w:r>
              <w:rPr>
                <w:rFonts w:ascii="Times New Roman" w:hAnsi="Times New Roman" w:eastAsia="宋体"/>
                <w:b/>
                <w:bCs/>
                <w:color w:val="auto"/>
                <w:szCs w:val="21"/>
              </w:rPr>
              <w:t>表</w:t>
            </w:r>
            <w:r>
              <w:rPr>
                <w:rFonts w:hint="eastAsia" w:ascii="Times New Roman" w:hAnsi="Times New Roman" w:eastAsia="宋体"/>
                <w:b/>
                <w:bCs/>
                <w:color w:val="auto"/>
                <w:szCs w:val="21"/>
              </w:rPr>
              <w:t>4</w:t>
            </w:r>
            <w:r>
              <w:rPr>
                <w:rFonts w:ascii="Times New Roman" w:hAnsi="Times New Roman" w:eastAsia="宋体"/>
                <w:b/>
                <w:bCs/>
                <w:color w:val="auto"/>
                <w:szCs w:val="21"/>
              </w:rPr>
              <w:t>-</w:t>
            </w:r>
            <w:r>
              <w:rPr>
                <w:rFonts w:hint="eastAsia" w:ascii="Times New Roman" w:hAnsi="Times New Roman" w:eastAsia="宋体"/>
                <w:b/>
                <w:bCs/>
                <w:color w:val="auto"/>
                <w:szCs w:val="21"/>
              </w:rPr>
              <w:t>2</w:t>
            </w:r>
            <w:r>
              <w:rPr>
                <w:rFonts w:ascii="Times New Roman" w:hAnsi="Times New Roman" w:eastAsia="宋体"/>
                <w:b/>
                <w:bCs/>
                <w:color w:val="auto"/>
                <w:szCs w:val="21"/>
              </w:rPr>
              <w:t xml:space="preserve"> </w:t>
            </w:r>
            <w:r>
              <w:rPr>
                <w:rFonts w:hint="eastAsia" w:ascii="Times New Roman" w:hAnsi="Times New Roman" w:eastAsia="宋体"/>
                <w:b/>
                <w:bCs/>
                <w:color w:val="auto"/>
                <w:szCs w:val="21"/>
              </w:rPr>
              <w:t>项目</w:t>
            </w:r>
            <w:r>
              <w:rPr>
                <w:rFonts w:ascii="Times New Roman" w:hAnsi="Times New Roman" w:eastAsia="宋体"/>
                <w:b/>
                <w:bCs/>
                <w:color w:val="auto"/>
                <w:szCs w:val="21"/>
              </w:rPr>
              <w:t>无组织废气产生及排放情况</w:t>
            </w:r>
          </w:p>
          <w:tbl>
            <w:tblPr>
              <w:tblStyle w:val="2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659"/>
              <w:gridCol w:w="796"/>
              <w:gridCol w:w="871"/>
              <w:gridCol w:w="1280"/>
              <w:gridCol w:w="1280"/>
              <w:gridCol w:w="1314"/>
              <w:gridCol w:w="858"/>
              <w:gridCol w:w="902"/>
              <w:gridCol w:w="845"/>
              <w:gridCol w:w="1257"/>
              <w:gridCol w:w="1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名称</w:t>
                  </w:r>
                </w:p>
              </w:tc>
              <w:tc>
                <w:tcPr>
                  <w:tcW w:w="644" w:type="pct"/>
                  <w:vMerge w:val="restar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产排污环节</w:t>
                  </w:r>
                </w:p>
              </w:tc>
              <w:tc>
                <w:tcPr>
                  <w:tcW w:w="647" w:type="pct"/>
                  <w:gridSpan w:val="2"/>
                  <w:vMerge w:val="restar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污染物种类</w:t>
                  </w:r>
                </w:p>
              </w:tc>
              <w:tc>
                <w:tcPr>
                  <w:tcW w:w="1504" w:type="pct"/>
                  <w:gridSpan w:val="3"/>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产生及排放情况</w:t>
                  </w:r>
                </w:p>
              </w:tc>
              <w:tc>
                <w:tcPr>
                  <w:tcW w:w="1011" w:type="pct"/>
                  <w:gridSpan w:val="3"/>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面源情况</w:t>
                  </w: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排放标准</w:t>
                  </w:r>
                </w:p>
              </w:tc>
              <w:tc>
                <w:tcPr>
                  <w:tcW w:w="411" w:type="pct"/>
                  <w:vMerge w:val="restar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工作时间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644" w:type="pct"/>
                  <w:vMerge w:val="continue"/>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647" w:type="pct"/>
                  <w:gridSpan w:val="2"/>
                  <w:vMerge w:val="continue"/>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497"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产生量</w:t>
                  </w:r>
                </w:p>
              </w:tc>
              <w:tc>
                <w:tcPr>
                  <w:tcW w:w="497"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排放量</w:t>
                  </w:r>
                </w:p>
              </w:tc>
              <w:tc>
                <w:tcPr>
                  <w:tcW w:w="510"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排放速率</w:t>
                  </w:r>
                </w:p>
              </w:tc>
              <w:tc>
                <w:tcPr>
                  <w:tcW w:w="333"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面源长度</w:t>
                  </w:r>
                </w:p>
              </w:tc>
              <w:tc>
                <w:tcPr>
                  <w:tcW w:w="350"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面源宽度</w:t>
                  </w:r>
                </w:p>
              </w:tc>
              <w:tc>
                <w:tcPr>
                  <w:tcW w:w="32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有效高度</w:t>
                  </w: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浓度</w:t>
                  </w:r>
                </w:p>
              </w:tc>
              <w:tc>
                <w:tcPr>
                  <w:tcW w:w="411" w:type="pct"/>
                  <w:vMerge w:val="continue"/>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bCs/>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pct"/>
                  <w:gridSpan w:val="4"/>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单位</w:t>
                  </w:r>
                </w:p>
              </w:tc>
              <w:tc>
                <w:tcPr>
                  <w:tcW w:w="497"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t/a</w:t>
                  </w:r>
                </w:p>
              </w:tc>
              <w:tc>
                <w:tcPr>
                  <w:tcW w:w="497"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t/a</w:t>
                  </w:r>
                </w:p>
              </w:tc>
              <w:tc>
                <w:tcPr>
                  <w:tcW w:w="510"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kg/h</w:t>
                  </w:r>
                </w:p>
              </w:tc>
              <w:tc>
                <w:tcPr>
                  <w:tcW w:w="333"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p>
              </w:tc>
              <w:tc>
                <w:tcPr>
                  <w:tcW w:w="350"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p>
              </w:tc>
              <w:tc>
                <w:tcPr>
                  <w:tcW w:w="32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mg/m</w:t>
                  </w:r>
                  <w:r>
                    <w:rPr>
                      <w:rFonts w:hint="default" w:ascii="Times New Roman" w:hAnsi="Times New Roman" w:eastAsia="宋体" w:cs="Times New Roman"/>
                      <w:b w:val="0"/>
                      <w:bCs w:val="0"/>
                      <w:color w:val="000000"/>
                      <w:sz w:val="21"/>
                      <w:szCs w:val="21"/>
                      <w:vertAlign w:val="superscript"/>
                      <w:lang w:val="en-US" w:eastAsia="zh-CN"/>
                    </w:rPr>
                    <w:t>3</w:t>
                  </w:r>
                </w:p>
              </w:tc>
              <w:tc>
                <w:tcPr>
                  <w:tcW w:w="411"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生产车间一</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喷漆</w:t>
                  </w:r>
                </w:p>
              </w:tc>
              <w:tc>
                <w:tcPr>
                  <w:tcW w:w="309" w:type="pct"/>
                  <w:tcBorders>
                    <w:tl2br w:val="nil"/>
                    <w:tr2bl w:val="nil"/>
                  </w:tcBorders>
                  <w:noWrap w:val="0"/>
                  <w:vAlign w:val="center"/>
                </w:tcPr>
                <w:p>
                  <w:pPr>
                    <w:pStyle w:val="27"/>
                    <w:keepNext w:val="0"/>
                    <w:keepLines w:val="0"/>
                    <w:pageBreakBefore w:val="0"/>
                    <w:kinsoku/>
                    <w:wordWrap/>
                    <w:overflowPunct/>
                    <w:topLinePunct w:val="0"/>
                    <w:autoSpaceDE/>
                    <w:autoSpaceDN/>
                    <w:bidi w:val="0"/>
                    <w:spacing w:beforeLines="0" w:afterLines="0" w:line="240" w:lineRule="exact"/>
                    <w:ind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高固份漆</w:t>
                  </w:r>
                </w:p>
              </w:tc>
              <w:tc>
                <w:tcPr>
                  <w:tcW w:w="338" w:type="pct"/>
                  <w:tcBorders>
                    <w:tl2br w:val="nil"/>
                    <w:tr2bl w:val="nil"/>
                  </w:tcBorders>
                  <w:noWrap w:val="0"/>
                  <w:vAlign w:val="center"/>
                </w:tcPr>
                <w:p>
                  <w:pPr>
                    <w:pStyle w:val="27"/>
                    <w:keepNext w:val="0"/>
                    <w:keepLines w:val="0"/>
                    <w:pageBreakBefore w:val="0"/>
                    <w:kinsoku/>
                    <w:wordWrap/>
                    <w:overflowPunct/>
                    <w:topLinePunct w:val="0"/>
                    <w:autoSpaceDE/>
                    <w:autoSpaceDN/>
                    <w:bidi w:val="0"/>
                    <w:spacing w:beforeLines="0" w:afterLines="0" w:line="240" w:lineRule="exact"/>
                    <w:ind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颗粒物</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0.0414</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0.0414</w:t>
                  </w:r>
                </w:p>
              </w:tc>
              <w:tc>
                <w:tcPr>
                  <w:tcW w:w="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0.07</w:t>
                  </w:r>
                </w:p>
              </w:tc>
              <w:tc>
                <w:tcPr>
                  <w:tcW w:w="333" w:type="pct"/>
                  <w:vMerge w:val="restart"/>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114</w:t>
                  </w:r>
                </w:p>
              </w:tc>
              <w:tc>
                <w:tcPr>
                  <w:tcW w:w="350" w:type="pct"/>
                  <w:vMerge w:val="restart"/>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39</w:t>
                  </w:r>
                </w:p>
              </w:tc>
              <w:tc>
                <w:tcPr>
                  <w:tcW w:w="328" w:type="pct"/>
                  <w:vMerge w:val="restart"/>
                  <w:tcBorders>
                    <w:tl2br w:val="nil"/>
                    <w:tr2bl w:val="nil"/>
                  </w:tcBorders>
                  <w:noWrap w:val="0"/>
                  <w:vAlign w:val="center"/>
                </w:tcPr>
                <w:p>
                  <w:pPr>
                    <w:pStyle w:val="33"/>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5</w:t>
                  </w: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肉眼不可见</w:t>
                  </w:r>
                </w:p>
              </w:tc>
              <w:tc>
                <w:tcPr>
                  <w:tcW w:w="411"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588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9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64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喷漆晾干</w:t>
                  </w:r>
                </w:p>
              </w:tc>
              <w:tc>
                <w:tcPr>
                  <w:tcW w:w="647" w:type="pct"/>
                  <w:gridSpan w:val="2"/>
                  <w:tcBorders>
                    <w:tl2br w:val="nil"/>
                    <w:tr2bl w:val="nil"/>
                  </w:tcBorders>
                  <w:noWrap w:val="0"/>
                  <w:vAlign w:val="center"/>
                </w:tcPr>
                <w:p>
                  <w:pPr>
                    <w:pStyle w:val="27"/>
                    <w:keepNext w:val="0"/>
                    <w:keepLines w:val="0"/>
                    <w:pageBreakBefore w:val="0"/>
                    <w:kinsoku/>
                    <w:wordWrap/>
                    <w:overflowPunct/>
                    <w:topLinePunct w:val="0"/>
                    <w:autoSpaceDE/>
                    <w:autoSpaceDN/>
                    <w:bidi w:val="0"/>
                    <w:spacing w:beforeLines="0" w:afterLines="0" w:line="240" w:lineRule="exact"/>
                    <w:ind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非甲烷总烃</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0.0768</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0.0768</w:t>
                  </w:r>
                </w:p>
              </w:tc>
              <w:tc>
                <w:tcPr>
                  <w:tcW w:w="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0.032</w:t>
                  </w:r>
                </w:p>
              </w:tc>
              <w:tc>
                <w:tcPr>
                  <w:tcW w:w="333" w:type="pct"/>
                  <w:vMerge w:val="continue"/>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50" w:type="pct"/>
                  <w:vMerge w:val="continue"/>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28" w:type="pct"/>
                  <w:vMerge w:val="continue"/>
                  <w:tcBorders>
                    <w:tl2br w:val="nil"/>
                    <w:tr2bl w:val="nil"/>
                  </w:tcBorders>
                  <w:noWrap w:val="0"/>
                  <w:vAlign w:val="center"/>
                </w:tcPr>
                <w:p>
                  <w:pPr>
                    <w:pStyle w:val="33"/>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4.0</w:t>
                  </w:r>
                </w:p>
              </w:tc>
              <w:tc>
                <w:tcPr>
                  <w:tcW w:w="411" w:type="pct"/>
                  <w:vMerge w:val="restar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喷漆</w:t>
                  </w:r>
                  <w:bookmarkStart w:id="23" w:name="OLE_LINK8"/>
                  <w:r>
                    <w:rPr>
                      <w:rFonts w:hint="eastAsia" w:ascii="Times New Roman" w:hAnsi="Times New Roman" w:eastAsia="宋体" w:cs="Times New Roman"/>
                      <w:b w:val="0"/>
                      <w:bCs w:val="0"/>
                      <w:color w:val="000000"/>
                      <w:sz w:val="21"/>
                      <w:szCs w:val="21"/>
                      <w:vertAlign w:val="baseline"/>
                      <w:lang w:val="en-US" w:eastAsia="zh-CN"/>
                    </w:rPr>
                    <w:t>588</w:t>
                  </w:r>
                  <w:bookmarkEnd w:id="23"/>
                </w:p>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晾干1800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64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09" w:type="pct"/>
                  <w:tcBorders>
                    <w:tl2br w:val="nil"/>
                    <w:tr2bl w:val="nil"/>
                  </w:tcBorders>
                  <w:noWrap w:val="0"/>
                  <w:vAlign w:val="center"/>
                </w:tcPr>
                <w:p>
                  <w:pPr>
                    <w:pStyle w:val="27"/>
                    <w:keepNext w:val="0"/>
                    <w:keepLines w:val="0"/>
                    <w:pageBreakBefore w:val="0"/>
                    <w:kinsoku/>
                    <w:wordWrap/>
                    <w:overflowPunct/>
                    <w:topLinePunct w:val="0"/>
                    <w:autoSpaceDE/>
                    <w:autoSpaceDN/>
                    <w:bidi w:val="0"/>
                    <w:spacing w:beforeLines="0" w:afterLines="0" w:line="240" w:lineRule="exact"/>
                    <w:ind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其中</w:t>
                  </w:r>
                </w:p>
              </w:tc>
              <w:tc>
                <w:tcPr>
                  <w:tcW w:w="338" w:type="pct"/>
                  <w:tcBorders>
                    <w:tl2br w:val="nil"/>
                    <w:tr2bl w:val="nil"/>
                  </w:tcBorders>
                  <w:noWrap w:val="0"/>
                  <w:vAlign w:val="center"/>
                </w:tcPr>
                <w:p>
                  <w:pPr>
                    <w:pStyle w:val="27"/>
                    <w:keepNext w:val="0"/>
                    <w:keepLines w:val="0"/>
                    <w:pageBreakBefore w:val="0"/>
                    <w:kinsoku/>
                    <w:wordWrap/>
                    <w:overflowPunct/>
                    <w:topLinePunct w:val="0"/>
                    <w:autoSpaceDE/>
                    <w:autoSpaceDN/>
                    <w:bidi w:val="0"/>
                    <w:spacing w:beforeLines="0" w:afterLines="0" w:line="240" w:lineRule="exact"/>
                    <w:ind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二甲苯</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0.0071</w:t>
                  </w:r>
                </w:p>
              </w:tc>
              <w:tc>
                <w:tcPr>
                  <w:tcW w:w="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0.003</w:t>
                  </w:r>
                </w:p>
              </w:tc>
              <w:tc>
                <w:tcPr>
                  <w:tcW w:w="333" w:type="pct"/>
                  <w:vMerge w:val="continue"/>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50" w:type="pct"/>
                  <w:vMerge w:val="continue"/>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28" w:type="pct"/>
                  <w:vMerge w:val="continue"/>
                  <w:tcBorders>
                    <w:tl2br w:val="nil"/>
                    <w:tr2bl w:val="nil"/>
                  </w:tcBorders>
                  <w:noWrap w:val="0"/>
                  <w:vAlign w:val="center"/>
                </w:tcPr>
                <w:p>
                  <w:pPr>
                    <w:pStyle w:val="33"/>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0.2</w:t>
                  </w:r>
                </w:p>
              </w:tc>
              <w:tc>
                <w:tcPr>
                  <w:tcW w:w="411" w:type="pct"/>
                  <w:vMerge w:val="continue"/>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生产车间二</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机加工</w:t>
                  </w:r>
                </w:p>
              </w:tc>
              <w:tc>
                <w:tcPr>
                  <w:tcW w:w="647" w:type="pct"/>
                  <w:gridSpan w:val="2"/>
                  <w:tcBorders>
                    <w:tl2br w:val="nil"/>
                    <w:tr2bl w:val="nil"/>
                  </w:tcBorders>
                  <w:noWrap w:val="0"/>
                  <w:vAlign w:val="center"/>
                </w:tcPr>
                <w:p>
                  <w:pPr>
                    <w:pStyle w:val="27"/>
                    <w:keepNext w:val="0"/>
                    <w:keepLines w:val="0"/>
                    <w:pageBreakBefore w:val="0"/>
                    <w:kinsoku/>
                    <w:wordWrap/>
                    <w:overflowPunct/>
                    <w:topLinePunct w:val="0"/>
                    <w:autoSpaceDE/>
                    <w:autoSpaceDN/>
                    <w:bidi w:val="0"/>
                    <w:spacing w:beforeLines="0" w:afterLines="0" w:line="240" w:lineRule="exact"/>
                    <w:ind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非甲烷总烃</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0.0028</w:t>
                  </w:r>
                </w:p>
              </w:tc>
              <w:tc>
                <w:tcPr>
                  <w:tcW w:w="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0.0028</w:t>
                  </w:r>
                </w:p>
              </w:tc>
              <w:tc>
                <w:tcPr>
                  <w:tcW w:w="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ascii="Times New Roman" w:hAnsi="Times New Roman" w:eastAsia="宋体" w:cs="Times New Roman"/>
                      <w:i w:val="0"/>
                      <w:iCs w:val="0"/>
                      <w:color w:val="000000"/>
                      <w:kern w:val="0"/>
                      <w:sz w:val="21"/>
                      <w:szCs w:val="21"/>
                      <w:u w:val="none"/>
                      <w:vertAlign w:val="baseline"/>
                      <w:lang w:val="en-US" w:eastAsia="zh-CN" w:bidi="ar"/>
                    </w:rPr>
                    <w:t>0.0012</w:t>
                  </w:r>
                </w:p>
              </w:tc>
              <w:tc>
                <w:tcPr>
                  <w:tcW w:w="333" w:type="pct"/>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48</w:t>
                  </w:r>
                </w:p>
              </w:tc>
              <w:tc>
                <w:tcPr>
                  <w:tcW w:w="350" w:type="pct"/>
                  <w:tcBorders>
                    <w:tl2br w:val="nil"/>
                    <w:tr2bl w:val="nil"/>
                  </w:tcBorders>
                  <w:noWrap w:val="0"/>
                  <w:vAlign w:val="center"/>
                </w:tcPr>
                <w:p>
                  <w:pPr>
                    <w:pStyle w:val="9"/>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18</w:t>
                  </w:r>
                </w:p>
              </w:tc>
              <w:tc>
                <w:tcPr>
                  <w:tcW w:w="328" w:type="pct"/>
                  <w:tcBorders>
                    <w:tl2br w:val="nil"/>
                    <w:tr2bl w:val="nil"/>
                  </w:tcBorders>
                  <w:noWrap w:val="0"/>
                  <w:vAlign w:val="center"/>
                </w:tcPr>
                <w:p>
                  <w:pPr>
                    <w:pStyle w:val="33"/>
                    <w:keepNext w:val="0"/>
                    <w:keepLines w:val="0"/>
                    <w:pageBreakBefore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5</w:t>
                  </w:r>
                </w:p>
              </w:tc>
              <w:tc>
                <w:tcPr>
                  <w:tcW w:w="488"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4.0</w:t>
                  </w:r>
                </w:p>
              </w:tc>
              <w:tc>
                <w:tcPr>
                  <w:tcW w:w="411" w:type="pct"/>
                  <w:tcBorders>
                    <w:tl2br w:val="nil"/>
                    <w:tr2bl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before="0" w:after="0" w:line="240" w:lineRule="exact"/>
                    <w:ind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2400</w:t>
                  </w:r>
                </w:p>
              </w:tc>
            </w:tr>
          </w:tbl>
          <w:p>
            <w:pPr>
              <w:pStyle w:val="2"/>
              <w:rPr>
                <w:rFonts w:ascii="Times New Roman" w:hAnsi="Times New Roman" w:eastAsia="宋体"/>
              </w:rPr>
            </w:pPr>
          </w:p>
          <w:p>
            <w:pPr>
              <w:snapToGrid w:val="0"/>
              <w:ind w:firstLine="210" w:firstLineChars="100"/>
              <w:rPr>
                <w:rFonts w:ascii="Times New Roman" w:hAnsi="Times New Roman" w:eastAsia="宋体"/>
                <w:color w:val="auto"/>
                <w:szCs w:val="21"/>
              </w:rPr>
            </w:pPr>
          </w:p>
          <w:p>
            <w:pPr>
              <w:ind w:firstLine="420" w:firstLineChars="200"/>
              <w:rPr>
                <w:rFonts w:ascii="Times New Roman" w:hAnsi="Times New Roman" w:eastAsia="宋体"/>
                <w:color w:val="auto"/>
                <w:szCs w:val="21"/>
              </w:rPr>
            </w:pPr>
            <w:r>
              <w:rPr>
                <w:rFonts w:hint="eastAsia" w:ascii="Times New Roman" w:hAnsi="Times New Roman" w:eastAsia="宋体"/>
                <w:color w:val="auto"/>
                <w:szCs w:val="21"/>
              </w:rPr>
              <w:t xml:space="preserve"> </w:t>
            </w:r>
          </w:p>
        </w:tc>
      </w:tr>
    </w:tbl>
    <w:p>
      <w:pPr>
        <w:pStyle w:val="3"/>
        <w:rPr>
          <w:color w:val="auto"/>
        </w:rPr>
        <w:sectPr>
          <w:pgSz w:w="16838" w:h="11905" w:orient="landscape"/>
          <w:pgMar w:top="1531" w:right="1531" w:bottom="1531" w:left="1531"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1"/>
        <w:tblW w:w="9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1" w:hRule="atLeast"/>
        </w:trPr>
        <w:tc>
          <w:tcPr>
            <w:tcW w:w="783" w:type="dxa"/>
            <w:vAlign w:val="center"/>
          </w:tcPr>
          <w:p>
            <w:pPr>
              <w:adjustRightInd w:val="0"/>
              <w:snapToGrid w:val="0"/>
              <w:jc w:val="center"/>
              <w:rPr>
                <w:rFonts w:hint="eastAsia" w:ascii="Times New Roman" w:hAnsi="Times New Roman" w:eastAsia="宋体" w:cs="宋体"/>
                <w:bCs/>
                <w:color w:val="auto"/>
                <w:szCs w:val="21"/>
              </w:rPr>
            </w:pPr>
            <w:r>
              <w:rPr>
                <w:rFonts w:hint="eastAsia" w:ascii="Times New Roman" w:hAnsi="Times New Roman" w:eastAsia="宋体" w:cs="宋体"/>
                <w:bCs/>
                <w:color w:val="auto"/>
                <w:szCs w:val="21"/>
              </w:rPr>
              <w:t>运营</w:t>
            </w:r>
          </w:p>
          <w:p>
            <w:pPr>
              <w:adjustRightInd w:val="0"/>
              <w:snapToGrid w:val="0"/>
              <w:jc w:val="center"/>
              <w:rPr>
                <w:rFonts w:hint="eastAsia" w:ascii="Times New Roman" w:hAnsi="Times New Roman" w:eastAsia="宋体" w:cs="宋体"/>
                <w:bCs/>
                <w:color w:val="auto"/>
                <w:szCs w:val="21"/>
              </w:rPr>
            </w:pPr>
            <w:r>
              <w:rPr>
                <w:rFonts w:hint="eastAsia" w:ascii="Times New Roman" w:hAnsi="Times New Roman" w:eastAsia="宋体" w:cs="宋体"/>
                <w:bCs/>
                <w:color w:val="auto"/>
                <w:szCs w:val="21"/>
              </w:rPr>
              <w:t>期环</w:t>
            </w:r>
          </w:p>
          <w:p>
            <w:pPr>
              <w:adjustRightInd w:val="0"/>
              <w:snapToGrid w:val="0"/>
              <w:jc w:val="center"/>
              <w:rPr>
                <w:rFonts w:hint="eastAsia" w:ascii="Times New Roman" w:hAnsi="Times New Roman" w:eastAsia="宋体" w:cs="宋体"/>
                <w:bCs/>
                <w:color w:val="auto"/>
                <w:szCs w:val="21"/>
              </w:rPr>
            </w:pPr>
            <w:r>
              <w:rPr>
                <w:rFonts w:hint="eastAsia" w:ascii="Times New Roman" w:hAnsi="Times New Roman" w:eastAsia="宋体" w:cs="宋体"/>
                <w:bCs/>
                <w:color w:val="auto"/>
                <w:szCs w:val="21"/>
              </w:rPr>
              <w:t>境影</w:t>
            </w:r>
          </w:p>
          <w:p>
            <w:pPr>
              <w:adjustRightInd w:val="0"/>
              <w:snapToGrid w:val="0"/>
              <w:jc w:val="center"/>
              <w:rPr>
                <w:rFonts w:hint="eastAsia" w:ascii="Times New Roman" w:hAnsi="Times New Roman" w:eastAsia="宋体" w:cs="宋体"/>
                <w:bCs/>
                <w:color w:val="auto"/>
                <w:szCs w:val="21"/>
              </w:rPr>
            </w:pPr>
            <w:r>
              <w:rPr>
                <w:rFonts w:hint="eastAsia" w:ascii="Times New Roman" w:hAnsi="Times New Roman" w:eastAsia="宋体" w:cs="宋体"/>
                <w:bCs/>
                <w:color w:val="auto"/>
                <w:szCs w:val="21"/>
              </w:rPr>
              <w:t>响和</w:t>
            </w:r>
          </w:p>
          <w:p>
            <w:pPr>
              <w:adjustRightInd w:val="0"/>
              <w:snapToGrid w:val="0"/>
              <w:jc w:val="center"/>
              <w:rPr>
                <w:rFonts w:hint="eastAsia" w:ascii="Times New Roman" w:hAnsi="Times New Roman" w:eastAsia="宋体" w:cs="宋体"/>
                <w:bCs/>
                <w:color w:val="auto"/>
                <w:szCs w:val="21"/>
              </w:rPr>
            </w:pPr>
            <w:r>
              <w:rPr>
                <w:rFonts w:hint="eastAsia" w:ascii="Times New Roman" w:hAnsi="Times New Roman" w:eastAsia="宋体" w:cs="宋体"/>
                <w:bCs/>
                <w:color w:val="auto"/>
                <w:szCs w:val="21"/>
              </w:rPr>
              <w:t>保护</w:t>
            </w:r>
          </w:p>
          <w:p>
            <w:pPr>
              <w:jc w:val="center"/>
              <w:rPr>
                <w:rFonts w:ascii="Times New Roman" w:hAnsi="Times New Roman" w:eastAsia="宋体"/>
                <w:color w:val="auto"/>
                <w:szCs w:val="21"/>
              </w:rPr>
            </w:pPr>
            <w:r>
              <w:rPr>
                <w:rFonts w:hint="eastAsia" w:ascii="Times New Roman" w:hAnsi="Times New Roman" w:eastAsia="宋体" w:cs="宋体"/>
                <w:bCs/>
                <w:color w:val="auto"/>
                <w:szCs w:val="21"/>
              </w:rPr>
              <w:t>措施</w:t>
            </w:r>
          </w:p>
        </w:tc>
        <w:tc>
          <w:tcPr>
            <w:tcW w:w="8323" w:type="dxa"/>
          </w:tcPr>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本项目废气核算依据见下表4-</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本项目废气核算依据</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70"/>
              <w:gridCol w:w="670"/>
              <w:gridCol w:w="860"/>
              <w:gridCol w:w="2018"/>
              <w:gridCol w:w="31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污染源编号</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2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系数</w:t>
                  </w:r>
                </w:p>
              </w:tc>
              <w:tc>
                <w:tcPr>
                  <w:tcW w:w="3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机加工废气</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G3</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生产车间二</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2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5.64kg/t-原料</w:t>
                  </w:r>
                </w:p>
              </w:tc>
              <w:tc>
                <w:tcPr>
                  <w:tcW w:w="3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《排放源统计调查产排污核算方法和系数手册》“机械行业系数手册”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喷漆废气</w:t>
                  </w:r>
                </w:p>
              </w:tc>
              <w:tc>
                <w:tcPr>
                  <w:tcW w:w="67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G4、G6</w:t>
                  </w:r>
                </w:p>
              </w:tc>
              <w:tc>
                <w:tcPr>
                  <w:tcW w:w="67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lang w:val="en-US" w:eastAsia="zh-CN"/>
                    </w:rPr>
                    <w:t>喷漆房</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2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上漆率以</w:t>
                  </w:r>
                  <w:r>
                    <w:rPr>
                      <w:rFonts w:hint="eastAsia" w:ascii="Times New Roman" w:hAnsi="Times New Roman" w:eastAsia="宋体"/>
                      <w:color w:val="auto"/>
                      <w:sz w:val="21"/>
                      <w:szCs w:val="21"/>
                      <w:lang w:val="en-US" w:eastAsia="zh-CN"/>
                    </w:rPr>
                    <w:t>70</w:t>
                  </w:r>
                  <w:r>
                    <w:rPr>
                      <w:rFonts w:hint="default" w:ascii="Times New Roman" w:hAnsi="Times New Roman" w:eastAsia="宋体"/>
                      <w:color w:val="auto"/>
                      <w:sz w:val="21"/>
                      <w:szCs w:val="21"/>
                      <w:lang w:val="en-US" w:eastAsia="zh-CN"/>
                    </w:rPr>
                    <w:t>%计，约有</w:t>
                  </w:r>
                  <w:r>
                    <w:rPr>
                      <w:rFonts w:hint="eastAsia" w:ascii="Times New Roman" w:hAnsi="Times New Roman" w:eastAsia="宋体"/>
                      <w:color w:val="auto"/>
                      <w:sz w:val="21"/>
                      <w:szCs w:val="21"/>
                      <w:lang w:val="en-US" w:eastAsia="zh-CN"/>
                    </w:rPr>
                    <w:t>10</w:t>
                  </w:r>
                  <w:r>
                    <w:rPr>
                      <w:rFonts w:hint="default" w:ascii="Times New Roman" w:hAnsi="Times New Roman" w:eastAsia="宋体"/>
                      <w:color w:val="auto"/>
                      <w:sz w:val="21"/>
                      <w:szCs w:val="21"/>
                      <w:lang w:val="en-US" w:eastAsia="zh-CN"/>
                    </w:rPr>
                    <w:t>%降落地面直接为漆渣，20%形成漆雾</w:t>
                  </w:r>
                </w:p>
              </w:tc>
              <w:tc>
                <w:tcPr>
                  <w:tcW w:w="3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物料衡算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olor w:val="auto"/>
                    </w:rPr>
                  </w:pPr>
                </w:p>
              </w:tc>
              <w:tc>
                <w:tcPr>
                  <w:tcW w:w="67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olor w:val="auto"/>
                    </w:rPr>
                  </w:pPr>
                </w:p>
              </w:tc>
              <w:tc>
                <w:tcPr>
                  <w:tcW w:w="67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olor w:val="auto"/>
                    </w:rPr>
                  </w:pP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2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按最不利原则，挥发分全部挥发</w:t>
                  </w:r>
                </w:p>
              </w:tc>
              <w:tc>
                <w:tcPr>
                  <w:tcW w:w="3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物料衡算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晾干废气</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G5、G7</w:t>
                  </w:r>
                </w:p>
              </w:tc>
              <w:tc>
                <w:tcPr>
                  <w:tcW w:w="67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2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按最不利原则，挥发分全部挥发</w:t>
                  </w:r>
                </w:p>
              </w:tc>
              <w:tc>
                <w:tcPr>
                  <w:tcW w:w="3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物料衡算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危废库废气</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G8</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危废库</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2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0.5035kg/t固废·年</w:t>
                  </w:r>
                </w:p>
              </w:tc>
              <w:tc>
                <w:tcPr>
                  <w:tcW w:w="3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美国环保局网站AP-42空气排放因子汇编</w:t>
                  </w:r>
                </w:p>
              </w:tc>
            </w:tr>
          </w:tbl>
          <w:p>
            <w:pPr>
              <w:adjustRightInd w:val="0"/>
              <w:snapToGrid w:val="0"/>
              <w:spacing w:line="360" w:lineRule="auto"/>
              <w:ind w:firstLine="480" w:firstLineChars="200"/>
              <w:rPr>
                <w:rFonts w:hint="default" w:ascii="Times New Roman" w:hAnsi="Times New Roman" w:eastAsia="宋体"/>
                <w:color w:val="auto"/>
                <w:kern w:val="0"/>
                <w:sz w:val="24"/>
                <w:szCs w:val="24"/>
                <w:lang w:val="en-US" w:eastAsia="zh-CN"/>
              </w:rPr>
            </w:pPr>
            <w:r>
              <w:rPr>
                <w:rFonts w:hint="eastAsia" w:ascii="Times New Roman" w:hAnsi="Times New Roman" w:eastAsia="宋体"/>
                <w:color w:val="auto"/>
                <w:kern w:val="0"/>
                <w:sz w:val="24"/>
                <w:szCs w:val="24"/>
                <w:lang w:val="en-US" w:eastAsia="zh-CN"/>
              </w:rPr>
              <w:t>（1）机加工废气</w:t>
            </w:r>
          </w:p>
          <w:p>
            <w:pPr>
              <w:adjustRightInd w:val="0"/>
              <w:snapToGrid w:val="0"/>
              <w:spacing w:line="360" w:lineRule="auto"/>
              <w:ind w:firstLine="480" w:firstLineChars="200"/>
              <w:rPr>
                <w:rFonts w:hint="eastAsia" w:ascii="Times New Roman" w:hAnsi="Times New Roman" w:eastAsia="宋体"/>
                <w:color w:val="auto"/>
                <w:sz w:val="24"/>
              </w:rPr>
            </w:pPr>
            <w:r>
              <w:rPr>
                <w:rFonts w:ascii="Times New Roman" w:hAnsi="Times New Roman" w:eastAsia="宋体"/>
                <w:color w:val="auto"/>
                <w:kern w:val="0"/>
                <w:sz w:val="24"/>
                <w:szCs w:val="24"/>
              </w:rPr>
              <w:t>本项目</w:t>
            </w:r>
            <w:r>
              <w:rPr>
                <w:rFonts w:hint="default" w:ascii="Times New Roman" w:hAnsi="Times New Roman" w:eastAsia="宋体"/>
                <w:color w:val="auto"/>
                <w:kern w:val="0"/>
                <w:sz w:val="24"/>
                <w:szCs w:val="24"/>
                <w:lang w:val="en-US" w:eastAsia="zh-CN"/>
              </w:rPr>
              <w:t>机加工过程中，工件加工处会产生高温，导致该区域切削液油受热挥发，产生油雾，以非甲烷总烃</w:t>
            </w:r>
            <w:r>
              <w:rPr>
                <w:rFonts w:hint="eastAsia" w:ascii="Times New Roman" w:hAnsi="Times New Roman" w:eastAsia="宋体"/>
                <w:color w:val="auto"/>
                <w:kern w:val="0"/>
                <w:sz w:val="24"/>
                <w:szCs w:val="24"/>
                <w:lang w:val="en-US" w:eastAsia="zh-CN"/>
              </w:rPr>
              <w:t>计，机加工工作时间为2400h/a，</w:t>
            </w:r>
            <w:r>
              <w:rPr>
                <w:rFonts w:ascii="Times New Roman" w:hAnsi="Times New Roman" w:eastAsia="宋体"/>
                <w:color w:val="auto"/>
                <w:kern w:val="0"/>
                <w:sz w:val="24"/>
                <w:szCs w:val="24"/>
              </w:rPr>
              <w:t>参照《排放源统计调查产排污核算方法和系数手册》“机械行业系数手册”中“切削液-挥发性有机废气”</w:t>
            </w:r>
            <w:r>
              <w:rPr>
                <w:rFonts w:hint="eastAsia" w:ascii="Times New Roman" w:hAnsi="Times New Roman" w:eastAsia="宋体"/>
                <w:color w:val="auto"/>
                <w:kern w:val="0"/>
                <w:sz w:val="24"/>
                <w:szCs w:val="24"/>
              </w:rPr>
              <w:t>，切削液有机废气</w:t>
            </w:r>
            <w:r>
              <w:rPr>
                <w:rFonts w:ascii="Times New Roman" w:hAnsi="Times New Roman" w:eastAsia="宋体"/>
                <w:color w:val="auto"/>
                <w:kern w:val="0"/>
                <w:sz w:val="24"/>
                <w:szCs w:val="24"/>
              </w:rPr>
              <w:t>产污系数</w:t>
            </w:r>
            <w:r>
              <w:rPr>
                <w:rFonts w:hint="eastAsia" w:ascii="Times New Roman" w:hAnsi="Times New Roman" w:eastAsia="宋体"/>
                <w:color w:val="auto"/>
                <w:kern w:val="0"/>
                <w:sz w:val="24"/>
                <w:szCs w:val="24"/>
              </w:rPr>
              <w:t>为</w:t>
            </w:r>
            <w:r>
              <w:rPr>
                <w:rFonts w:ascii="Times New Roman" w:hAnsi="Times New Roman" w:eastAsia="宋体"/>
                <w:color w:val="auto"/>
                <w:kern w:val="0"/>
                <w:sz w:val="24"/>
                <w:szCs w:val="24"/>
              </w:rPr>
              <w:t>5.64kg/t-原料，</w:t>
            </w:r>
            <w:r>
              <w:rPr>
                <w:rFonts w:hint="eastAsia"/>
                <w:color w:val="auto"/>
                <w:kern w:val="0"/>
                <w:sz w:val="24"/>
                <w:szCs w:val="24"/>
                <w:lang w:val="en-US" w:eastAsia="zh-CN"/>
              </w:rPr>
              <w:t>全厂</w:t>
            </w:r>
            <w:r>
              <w:rPr>
                <w:rFonts w:ascii="Times New Roman" w:hAnsi="Times New Roman" w:eastAsia="宋体"/>
                <w:color w:val="auto"/>
                <w:kern w:val="0"/>
                <w:sz w:val="24"/>
                <w:szCs w:val="24"/>
              </w:rPr>
              <w:t>切削液使用量</w:t>
            </w:r>
            <w:r>
              <w:rPr>
                <w:rFonts w:hint="eastAsia" w:ascii="Times New Roman" w:hAnsi="Times New Roman" w:eastAsia="宋体"/>
                <w:color w:val="auto"/>
                <w:kern w:val="0"/>
                <w:sz w:val="24"/>
                <w:szCs w:val="24"/>
                <w:lang w:val="en-US" w:eastAsia="zh-CN"/>
              </w:rPr>
              <w:t>0.5</w:t>
            </w:r>
            <w:r>
              <w:rPr>
                <w:rFonts w:ascii="Times New Roman" w:hAnsi="Times New Roman" w:eastAsia="宋体"/>
                <w:color w:val="auto"/>
                <w:kern w:val="0"/>
                <w:sz w:val="24"/>
                <w:szCs w:val="24"/>
              </w:rPr>
              <w:t>t</w:t>
            </w:r>
            <w:r>
              <w:rPr>
                <w:rFonts w:hint="eastAsia"/>
                <w:color w:val="auto"/>
                <w:kern w:val="0"/>
                <w:sz w:val="24"/>
                <w:szCs w:val="24"/>
                <w:lang w:val="en-US" w:eastAsia="zh-CN"/>
              </w:rPr>
              <w:t>/a</w:t>
            </w:r>
            <w:r>
              <w:rPr>
                <w:rFonts w:ascii="Times New Roman" w:hAnsi="Times New Roman" w:eastAsia="宋体"/>
                <w:color w:val="auto"/>
                <w:kern w:val="0"/>
                <w:sz w:val="24"/>
                <w:szCs w:val="24"/>
              </w:rPr>
              <w:t>，则挥发性有机废气产生量约为0.00</w:t>
            </w:r>
            <w:r>
              <w:rPr>
                <w:rFonts w:hint="eastAsia" w:ascii="Times New Roman" w:hAnsi="Times New Roman" w:eastAsia="宋体"/>
                <w:color w:val="auto"/>
                <w:kern w:val="0"/>
                <w:sz w:val="24"/>
                <w:szCs w:val="24"/>
                <w:lang w:val="en-US" w:eastAsia="zh-CN"/>
              </w:rPr>
              <w:t>28</w:t>
            </w:r>
            <w:r>
              <w:rPr>
                <w:rFonts w:ascii="Times New Roman" w:hAnsi="Times New Roman" w:eastAsia="宋体"/>
                <w:color w:val="auto"/>
                <w:kern w:val="0"/>
                <w:sz w:val="24"/>
                <w:szCs w:val="24"/>
              </w:rPr>
              <w:t>t/a，</w:t>
            </w:r>
            <w:r>
              <w:rPr>
                <w:rFonts w:hint="eastAsia" w:ascii="Times New Roman" w:hAnsi="Times New Roman" w:eastAsia="宋体"/>
                <w:color w:val="auto"/>
                <w:kern w:val="0"/>
                <w:sz w:val="24"/>
                <w:szCs w:val="24"/>
                <w:lang w:val="en-US" w:eastAsia="zh-CN"/>
              </w:rPr>
              <w:t>参</w:t>
            </w:r>
            <w:r>
              <w:rPr>
                <w:rFonts w:hint="default" w:ascii="Times New Roman" w:hAnsi="Times New Roman" w:eastAsia="宋体"/>
                <w:color w:val="auto"/>
                <w:kern w:val="0"/>
                <w:sz w:val="24"/>
                <w:szCs w:val="24"/>
                <w:lang w:val="en-US" w:eastAsia="zh-CN"/>
              </w:rPr>
              <w:t>照《挥发性有机物无组织排放控制标准》（GB 37822-2019）中</w:t>
            </w:r>
            <w:r>
              <w:rPr>
                <w:rFonts w:hint="eastAsia" w:ascii="Times New Roman" w:hAnsi="Times New Roman" w:eastAsia="宋体"/>
                <w:color w:val="auto"/>
                <w:kern w:val="0"/>
                <w:sz w:val="24"/>
                <w:szCs w:val="24"/>
                <w:lang w:val="en-US" w:eastAsia="zh-CN"/>
              </w:rPr>
              <w:t>10.3VOCs排放控制要求“对于重点地区，收集的废气中</w:t>
            </w:r>
            <w:r>
              <w:rPr>
                <w:rFonts w:hint="default" w:ascii="Times New Roman" w:hAnsi="Times New Roman" w:eastAsia="宋体"/>
                <w:color w:val="auto"/>
                <w:kern w:val="0"/>
                <w:sz w:val="24"/>
                <w:szCs w:val="24"/>
                <w:lang w:val="en-US" w:eastAsia="zh-CN"/>
              </w:rPr>
              <w:t>NMHC</w:t>
            </w:r>
            <w:r>
              <w:rPr>
                <w:rFonts w:hint="eastAsia" w:ascii="Times New Roman" w:hAnsi="Times New Roman" w:eastAsia="宋体"/>
                <w:color w:val="auto"/>
                <w:kern w:val="0"/>
                <w:sz w:val="24"/>
                <w:szCs w:val="24"/>
                <w:lang w:val="en-US" w:eastAsia="zh-CN"/>
              </w:rPr>
              <w:t>初始排放速率≥</w:t>
            </w:r>
            <w:r>
              <w:rPr>
                <w:rFonts w:hint="default" w:ascii="Times New Roman" w:hAnsi="Times New Roman" w:eastAsia="宋体"/>
                <w:color w:val="auto"/>
                <w:kern w:val="0"/>
                <w:sz w:val="24"/>
                <w:szCs w:val="24"/>
                <w:lang w:val="en-US" w:eastAsia="zh-CN"/>
              </w:rPr>
              <w:t>2 kg/h</w:t>
            </w:r>
            <w:r>
              <w:rPr>
                <w:rFonts w:hint="eastAsia" w:ascii="Times New Roman" w:hAnsi="Times New Roman" w:eastAsia="宋体"/>
                <w:color w:val="auto"/>
                <w:kern w:val="0"/>
                <w:sz w:val="24"/>
                <w:szCs w:val="24"/>
                <w:lang w:val="en-US" w:eastAsia="zh-CN"/>
              </w:rPr>
              <w:t>时，应配置</w:t>
            </w:r>
            <w:r>
              <w:rPr>
                <w:rFonts w:hint="default" w:ascii="Times New Roman" w:hAnsi="Times New Roman" w:eastAsia="宋体"/>
                <w:color w:val="auto"/>
                <w:kern w:val="0"/>
                <w:sz w:val="24"/>
                <w:szCs w:val="24"/>
                <w:lang w:val="en-US" w:eastAsia="zh-CN"/>
              </w:rPr>
              <w:t>VOCs</w:t>
            </w:r>
            <w:r>
              <w:rPr>
                <w:rFonts w:hint="eastAsia" w:ascii="Times New Roman" w:hAnsi="Times New Roman" w:eastAsia="宋体"/>
                <w:color w:val="auto"/>
                <w:kern w:val="0"/>
                <w:sz w:val="24"/>
                <w:szCs w:val="24"/>
                <w:lang w:val="en-US" w:eastAsia="zh-CN"/>
              </w:rPr>
              <w:t>处理设施，处理效率不应低于</w:t>
            </w:r>
            <w:r>
              <w:rPr>
                <w:rFonts w:hint="default" w:ascii="Times New Roman" w:hAnsi="Times New Roman" w:eastAsia="宋体"/>
                <w:color w:val="auto"/>
                <w:kern w:val="0"/>
                <w:sz w:val="24"/>
                <w:szCs w:val="24"/>
                <w:lang w:val="en-US" w:eastAsia="zh-CN"/>
              </w:rPr>
              <w:t>80%</w:t>
            </w:r>
            <w:r>
              <w:rPr>
                <w:rFonts w:hint="eastAsia" w:ascii="Times New Roman" w:hAnsi="Times New Roman" w:eastAsia="宋体"/>
                <w:color w:val="auto"/>
                <w:kern w:val="0"/>
                <w:sz w:val="24"/>
                <w:szCs w:val="24"/>
                <w:lang w:val="en-US" w:eastAsia="zh-CN"/>
              </w:rPr>
              <w:t>”，磨床加工工段年运行时间约2400h，则</w:t>
            </w:r>
            <w:r>
              <w:rPr>
                <w:rFonts w:hint="eastAsia"/>
                <w:color w:val="auto"/>
                <w:kern w:val="0"/>
                <w:sz w:val="24"/>
                <w:szCs w:val="24"/>
                <w:lang w:val="en-US" w:eastAsia="zh-CN"/>
              </w:rPr>
              <w:t>机加工</w:t>
            </w:r>
            <w:r>
              <w:rPr>
                <w:rFonts w:hint="eastAsia" w:ascii="Times New Roman" w:hAnsi="Times New Roman" w:eastAsia="宋体"/>
                <w:color w:val="auto"/>
                <w:kern w:val="0"/>
                <w:sz w:val="24"/>
                <w:szCs w:val="24"/>
                <w:lang w:val="en-US" w:eastAsia="zh-CN"/>
              </w:rPr>
              <w:t>废气初始排放速率为0.0012</w:t>
            </w:r>
            <w:r>
              <w:rPr>
                <w:rFonts w:hint="default" w:ascii="Times New Roman" w:hAnsi="Times New Roman" w:eastAsia="宋体"/>
                <w:color w:val="auto"/>
                <w:kern w:val="0"/>
                <w:sz w:val="24"/>
                <w:szCs w:val="24"/>
                <w:lang w:val="en-US" w:eastAsia="zh-CN"/>
              </w:rPr>
              <w:t>kg/h</w:t>
            </w:r>
            <w:r>
              <w:rPr>
                <w:rFonts w:hint="eastAsia" w:ascii="Times New Roman" w:hAnsi="Times New Roman" w:eastAsia="宋体"/>
                <w:color w:val="auto"/>
                <w:kern w:val="0"/>
                <w:sz w:val="24"/>
                <w:szCs w:val="24"/>
                <w:lang w:val="en-US" w:eastAsia="zh-CN"/>
              </w:rPr>
              <w:t>≤</w:t>
            </w:r>
            <w:r>
              <w:rPr>
                <w:rFonts w:hint="default" w:ascii="Times New Roman" w:hAnsi="Times New Roman" w:eastAsia="宋体"/>
                <w:color w:val="auto"/>
                <w:kern w:val="0"/>
                <w:sz w:val="24"/>
                <w:szCs w:val="24"/>
                <w:lang w:val="en-US" w:eastAsia="zh-CN"/>
              </w:rPr>
              <w:t>2 kg/h</w:t>
            </w:r>
            <w:r>
              <w:rPr>
                <w:rFonts w:hint="eastAsia" w:ascii="Times New Roman" w:hAnsi="Times New Roman" w:eastAsia="宋体"/>
                <w:color w:val="auto"/>
                <w:kern w:val="0"/>
                <w:sz w:val="24"/>
                <w:szCs w:val="24"/>
                <w:lang w:val="en-US" w:eastAsia="zh-CN"/>
              </w:rPr>
              <w:t>，符合上述规定，因此</w:t>
            </w:r>
            <w:r>
              <w:rPr>
                <w:rFonts w:hint="eastAsia"/>
                <w:color w:val="auto"/>
                <w:kern w:val="0"/>
                <w:sz w:val="24"/>
                <w:szCs w:val="24"/>
                <w:lang w:val="en-US" w:eastAsia="zh-CN"/>
              </w:rPr>
              <w:t>机加工</w:t>
            </w:r>
            <w:r>
              <w:rPr>
                <w:rFonts w:hint="eastAsia" w:ascii="Times New Roman" w:hAnsi="Times New Roman" w:eastAsia="宋体"/>
                <w:color w:val="auto"/>
                <w:kern w:val="0"/>
                <w:sz w:val="24"/>
                <w:szCs w:val="24"/>
                <w:lang w:val="en-US" w:eastAsia="zh-CN"/>
              </w:rPr>
              <w:t>废气直排对</w:t>
            </w:r>
            <w:r>
              <w:rPr>
                <w:rFonts w:hint="default" w:ascii="Times New Roman" w:hAnsi="Times New Roman" w:eastAsia="宋体"/>
                <w:color w:val="auto"/>
                <w:kern w:val="0"/>
                <w:sz w:val="24"/>
                <w:szCs w:val="24"/>
                <w:lang w:val="en-US" w:eastAsia="zh-CN"/>
              </w:rPr>
              <w:t>周围环境影响较小</w:t>
            </w:r>
            <w:r>
              <w:rPr>
                <w:rFonts w:hint="eastAsia" w:ascii="Times New Roman" w:hAnsi="Times New Roman" w:eastAsia="宋体"/>
                <w:color w:val="auto"/>
                <w:kern w:val="0"/>
                <w:sz w:val="24"/>
                <w:szCs w:val="24"/>
                <w:lang w:val="en-US" w:eastAsia="zh-CN"/>
              </w:rPr>
              <w:t>，不增加废气治理设施是可行的。</w:t>
            </w:r>
          </w:p>
          <w:p>
            <w:pPr>
              <w:adjustRightInd w:val="0"/>
              <w:snapToGrid w:val="0"/>
              <w:spacing w:line="360" w:lineRule="auto"/>
              <w:ind w:firstLine="480" w:firstLineChars="200"/>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olor w:val="auto"/>
                <w:sz w:val="24"/>
                <w:lang w:val="en-US" w:eastAsia="zh-CN"/>
              </w:rPr>
              <w:t>（2）喷漆晾干</w:t>
            </w:r>
            <w:r>
              <w:rPr>
                <w:rFonts w:hint="eastAsia" w:ascii="Times New Roman" w:hAnsi="Times New Roman" w:eastAsia="宋体"/>
                <w:color w:val="auto"/>
                <w:sz w:val="24"/>
              </w:rPr>
              <w:t>废气</w:t>
            </w:r>
          </w:p>
          <w:p>
            <w:pPr>
              <w:pStyle w:val="7"/>
              <w:keepNext w:val="0"/>
              <w:keepLines w:val="0"/>
              <w:pageBreakBefore w:val="0"/>
              <w:widowControl w:val="0"/>
              <w:kinsoku/>
              <w:wordWrap/>
              <w:overflowPunct/>
              <w:topLinePunct w:val="0"/>
              <w:autoSpaceDE/>
              <w:autoSpaceDN/>
              <w:bidi w:val="0"/>
              <w:adjustRightInd/>
              <w:spacing w:before="0" w:after="0" w:line="360" w:lineRule="auto"/>
              <w:ind w:right="0" w:firstLine="480" w:firstLineChars="200"/>
              <w:jc w:val="both"/>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s="Times New Roman"/>
                <w:color w:val="auto"/>
                <w:sz w:val="24"/>
                <w:szCs w:val="24"/>
                <w:lang w:val="en-US" w:eastAsia="zh-CN"/>
              </w:rPr>
              <w:t>本项目喷漆工序会产生喷漆废气，污染因子为颗粒物、非甲烷总烃（包含二甲苯），晾干工序会产生晾干废气，污染因子为非甲烷总烃（包含二甲苯）。</w:t>
            </w:r>
            <w:r>
              <w:rPr>
                <w:rFonts w:hint="eastAsia" w:ascii="Times New Roman" w:hAnsi="Times New Roman" w:eastAsia="宋体"/>
                <w:b w:val="0"/>
                <w:bCs w:val="0"/>
                <w:color w:val="auto"/>
                <w:sz w:val="24"/>
                <w:szCs w:val="24"/>
              </w:rPr>
              <w:t>参照《喷涂废气的全过程控制》（韩忠峰，沧州市环境保护研究所）等文献资料：在喷漆阶段约有30%有机溶剂挥发，在</w:t>
            </w:r>
            <w:r>
              <w:rPr>
                <w:rFonts w:hint="eastAsia" w:ascii="Times New Roman" w:hAnsi="Times New Roman" w:eastAsia="宋体"/>
                <w:b w:val="0"/>
                <w:bCs w:val="0"/>
                <w:color w:val="auto"/>
                <w:sz w:val="24"/>
                <w:szCs w:val="24"/>
                <w:lang w:eastAsia="zh-CN"/>
              </w:rPr>
              <w:t>晾干</w:t>
            </w:r>
            <w:r>
              <w:rPr>
                <w:rFonts w:hint="eastAsia" w:ascii="Times New Roman" w:hAnsi="Times New Roman" w:eastAsia="宋体"/>
                <w:b w:val="0"/>
                <w:bCs w:val="0"/>
                <w:color w:val="auto"/>
                <w:sz w:val="24"/>
                <w:szCs w:val="24"/>
              </w:rPr>
              <w:t>阶段约有70%有机溶剂挥发</w:t>
            </w:r>
            <w:r>
              <w:rPr>
                <w:rFonts w:hint="eastAsia" w:ascii="Times New Roman" w:hAnsi="Times New Roman" w:eastAsia="宋体"/>
                <w:b w:val="0"/>
                <w:bCs w:val="0"/>
                <w:color w:val="auto"/>
                <w:sz w:val="24"/>
                <w:szCs w:val="24"/>
                <w:lang w:eastAsia="zh-CN"/>
              </w:rPr>
              <w:t>。</w:t>
            </w:r>
          </w:p>
          <w:p>
            <w:pPr>
              <w:pageBreakBefore w:val="0"/>
              <w:widowControl w:val="0"/>
              <w:kinsoku/>
              <w:wordWrap/>
              <w:overflowPunct/>
              <w:topLinePunct w:val="0"/>
              <w:autoSpaceDE/>
              <w:autoSpaceDN/>
              <w:bidi w:val="0"/>
              <w:spacing w:line="360" w:lineRule="auto"/>
              <w:ind w:right="0" w:firstLine="480"/>
              <w:textAlignment w:val="auto"/>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项目油漆使用前需进行调漆，</w:t>
            </w:r>
            <w:r>
              <w:rPr>
                <w:rFonts w:hint="default" w:ascii="Times New Roman" w:hAnsi="Times New Roman" w:eastAsia="宋体" w:cs="Times New Roman"/>
                <w:color w:val="auto"/>
                <w:sz w:val="24"/>
                <w:szCs w:val="24"/>
                <w:lang w:eastAsia="zh-CN"/>
              </w:rPr>
              <w:t>按照物料平衡</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高固份</w:t>
            </w:r>
            <w:r>
              <w:rPr>
                <w:rFonts w:hint="default" w:ascii="Times New Roman" w:hAnsi="Times New Roman" w:eastAsia="宋体" w:cs="Times New Roman"/>
                <w:color w:val="auto"/>
                <w:sz w:val="24"/>
                <w:szCs w:val="24"/>
                <w:lang w:val="en-US" w:eastAsia="zh-CN"/>
              </w:rPr>
              <w:t>漆、稀释剂配比=10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，由人工搅拌混合均匀，该过程在密闭喷漆房内进行。项目调漆挥发产生的有机废气少且并入喷漆房配套的废气处理装置一并处理，为简化分析，不单独进行物料衡算。</w:t>
            </w:r>
          </w:p>
          <w:p>
            <w:pPr>
              <w:pStyle w:val="49"/>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rPr>
              <w:t>喷涂</w:t>
            </w:r>
            <w:r>
              <w:rPr>
                <w:rFonts w:hint="default" w:ascii="Times New Roman" w:hAnsi="Times New Roman" w:eastAsia="宋体" w:cs="Times New Roman"/>
                <w:color w:val="auto"/>
                <w:sz w:val="24"/>
                <w:szCs w:val="24"/>
                <w:lang w:eastAsia="zh-CN"/>
              </w:rPr>
              <w:t>、晾干</w:t>
            </w:r>
            <w:r>
              <w:rPr>
                <w:rFonts w:hint="default" w:ascii="Times New Roman" w:hAnsi="Times New Roman" w:eastAsia="宋体" w:cs="Times New Roman"/>
                <w:color w:val="auto"/>
                <w:sz w:val="24"/>
                <w:szCs w:val="24"/>
              </w:rPr>
              <w:t>过程</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废气包括调漆废气、</w:t>
            </w:r>
            <w:r>
              <w:rPr>
                <w:rFonts w:hint="default" w:ascii="Times New Roman" w:hAnsi="Times New Roman" w:eastAsia="宋体" w:cs="Times New Roman"/>
                <w:color w:val="auto"/>
                <w:sz w:val="24"/>
                <w:szCs w:val="24"/>
                <w:lang w:eastAsia="zh-CN"/>
              </w:rPr>
              <w:t>喷漆废气、晾干</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sz w:val="24"/>
                <w:szCs w:val="24"/>
                <w:lang w:eastAsia="zh-CN"/>
              </w:rPr>
              <w:t>等</w:t>
            </w:r>
            <w:r>
              <w:rPr>
                <w:rFonts w:hint="default" w:ascii="Times New Roman" w:hAnsi="Times New Roman" w:eastAsia="宋体" w:cs="Times New Roman"/>
                <w:color w:val="auto"/>
                <w:sz w:val="24"/>
                <w:szCs w:val="24"/>
              </w:rPr>
              <w:t>。本项目调漆</w:t>
            </w:r>
            <w:r>
              <w:rPr>
                <w:rFonts w:hint="default" w:ascii="Times New Roman" w:hAnsi="Times New Roman" w:eastAsia="宋体" w:cs="Times New Roman"/>
                <w:color w:val="auto"/>
                <w:sz w:val="24"/>
                <w:szCs w:val="24"/>
                <w:lang w:eastAsia="zh-CN"/>
              </w:rPr>
              <w:t>、喷涂</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晾干</w:t>
            </w:r>
            <w:r>
              <w:rPr>
                <w:rFonts w:hint="default" w:ascii="Times New Roman" w:hAnsi="Times New Roman" w:eastAsia="宋体" w:cs="Times New Roman"/>
                <w:color w:val="auto"/>
                <w:sz w:val="24"/>
                <w:szCs w:val="24"/>
              </w:rPr>
              <w:t>均在专用喷漆房内进行，</w:t>
            </w:r>
            <w:r>
              <w:rPr>
                <w:rFonts w:hint="default" w:ascii="Times New Roman" w:hAnsi="Times New Roman" w:eastAsia="宋体" w:cs="Times New Roman"/>
                <w:color w:val="auto"/>
                <w:sz w:val="24"/>
                <w:szCs w:val="24"/>
                <w:lang w:eastAsia="zh-CN"/>
              </w:rPr>
              <w:t>企业共设有</w:t>
            </w:r>
            <w:r>
              <w:rPr>
                <w:rFonts w:hint="default" w:ascii="Times New Roman" w:hAnsi="Times New Roman" w:eastAsia="宋体" w:cs="Times New Roman"/>
                <w:color w:val="auto"/>
                <w:sz w:val="24"/>
                <w:szCs w:val="24"/>
                <w:lang w:val="en-US" w:eastAsia="zh-CN"/>
              </w:rPr>
              <w:t>1间喷漆房，</w:t>
            </w:r>
            <w:r>
              <w:rPr>
                <w:rFonts w:hint="default" w:ascii="Times New Roman" w:hAnsi="Times New Roman" w:eastAsia="宋体" w:cs="Times New Roman"/>
                <w:color w:val="auto"/>
                <w:sz w:val="24"/>
                <w:szCs w:val="24"/>
                <w:lang w:eastAsia="zh-CN"/>
              </w:rPr>
              <w:t>喷漆房</w:t>
            </w:r>
            <w:r>
              <w:rPr>
                <w:rFonts w:hint="default" w:ascii="Times New Roman" w:hAnsi="Times New Roman" w:eastAsia="宋体" w:cs="Times New Roman"/>
                <w:color w:val="auto"/>
                <w:sz w:val="24"/>
                <w:szCs w:val="24"/>
              </w:rPr>
              <w:t>设计尺寸为</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采用防火阻燃的岩棉墙板做成。</w:t>
            </w:r>
          </w:p>
          <w:p>
            <w:pPr>
              <w:pStyle w:val="50"/>
              <w:pageBreakBefore w:val="0"/>
              <w:widowControl w:val="0"/>
              <w:kinsoku/>
              <w:wordWrap/>
              <w:overflowPunct/>
              <w:topLinePunct w:val="0"/>
              <w:autoSpaceDE/>
              <w:autoSpaceDN/>
              <w:bidi w:val="0"/>
              <w:adjustRightInd w:val="0"/>
              <w:snapToGrid w:val="0"/>
              <w:spacing w:beforeLines="0" w:line="360" w:lineRule="auto"/>
              <w:ind w:right="0" w:firstLine="480" w:firstLineChars="200"/>
              <w:textAlignment w:val="auto"/>
              <w:rPr>
                <w:rFonts w:hint="default" w:ascii="Times New Roman" w:hAnsi="Times New Roman" w:eastAsia="宋体" w:cs="Times New Roman"/>
                <w:color w:val="auto"/>
                <w:sz w:val="24"/>
                <w:szCs w:val="24"/>
                <w:lang w:eastAsia="zh-CN"/>
              </w:rPr>
            </w:pPr>
            <w:bookmarkStart w:id="24" w:name="OLE_LINK19"/>
            <w:r>
              <w:rPr>
                <w:rFonts w:hint="eastAsia" w:ascii="Times New Roman" w:hAnsi="Times New Roman" w:eastAsia="宋体" w:cs="Times New Roman"/>
                <w:color w:val="auto"/>
                <w:sz w:val="24"/>
                <w:szCs w:val="24"/>
                <w:lang w:val="en-US" w:eastAsia="zh-CN"/>
              </w:rPr>
              <w:t>DA001风机</w:t>
            </w:r>
            <w:r>
              <w:rPr>
                <w:rFonts w:hint="eastAsia" w:ascii="Times New Roman" w:hAnsi="Times New Roman" w:eastAsia="宋体" w:cs="Times New Roman"/>
                <w:color w:val="auto"/>
                <w:sz w:val="24"/>
                <w:szCs w:val="24"/>
                <w:lang w:eastAsia="zh-CN"/>
              </w:rPr>
              <w:t>风量：</w:t>
            </w:r>
          </w:p>
          <w:p>
            <w:pPr>
              <w:adjustRightInd w:val="0"/>
              <w:snapToGrid w:val="0"/>
              <w:spacing w:line="360" w:lineRule="auto"/>
              <w:ind w:firstLine="496"/>
              <w:rPr>
                <w:rFonts w:hint="default" w:ascii="Times New Roman" w:hAnsi="Times New Roman" w:eastAsia="宋体"/>
                <w:color w:val="auto"/>
                <w:sz w:val="24"/>
                <w:szCs w:val="24"/>
                <w:lang w:val="en-US" w:eastAsia="zh-CN"/>
              </w:rPr>
            </w:pPr>
            <w:r>
              <w:rPr>
                <w:rFonts w:hint="default" w:ascii="Times New Roman" w:hAnsi="Times New Roman" w:eastAsia="宋体" w:cs="Times New Roman"/>
                <w:color w:val="auto"/>
                <w:spacing w:val="4"/>
                <w:sz w:val="24"/>
                <w:szCs w:val="24"/>
                <w:lang w:val="en-US" w:eastAsia="zh-CN"/>
              </w:rPr>
              <w:t>本项目</w:t>
            </w:r>
            <w:r>
              <w:rPr>
                <w:rFonts w:hint="eastAsia" w:cs="Times New Roman"/>
                <w:color w:val="auto"/>
                <w:spacing w:val="4"/>
                <w:sz w:val="24"/>
                <w:szCs w:val="24"/>
                <w:lang w:val="en-US" w:eastAsia="zh-CN"/>
              </w:rPr>
              <w:t>喷漆房</w:t>
            </w:r>
            <w:r>
              <w:rPr>
                <w:rFonts w:hint="default" w:ascii="Times New Roman" w:hAnsi="Times New Roman" w:eastAsia="宋体" w:cs="Times New Roman"/>
                <w:color w:val="auto"/>
                <w:spacing w:val="4"/>
                <w:sz w:val="24"/>
                <w:szCs w:val="24"/>
                <w:lang w:val="en-US" w:eastAsia="zh-CN"/>
              </w:rPr>
              <w:t>尺寸为</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eastAsia="zh-CN"/>
              </w:rPr>
              <w:t>参照《挥发性有机物治理实用手册（第二版）》</w:t>
            </w:r>
            <w:r>
              <w:rPr>
                <w:rFonts w:hint="eastAsia" w:ascii="Times New Roman" w:hAnsi="Times New Roman" w:eastAsia="宋体" w:cs="Times New Roman"/>
                <w:color w:val="auto"/>
                <w:spacing w:val="4"/>
                <w:sz w:val="24"/>
                <w:szCs w:val="24"/>
                <w:lang w:val="en-US" w:eastAsia="zh-CN"/>
              </w:rPr>
              <w:t>及</w:t>
            </w:r>
            <w:r>
              <w:rPr>
                <w:rFonts w:hint="default" w:ascii="Times New Roman" w:hAnsi="Times New Roman" w:eastAsia="宋体" w:cs="Times New Roman"/>
                <w:color w:val="auto"/>
                <w:spacing w:val="4"/>
                <w:sz w:val="24"/>
                <w:szCs w:val="24"/>
                <w:lang w:val="en-US" w:eastAsia="zh-CN"/>
              </w:rPr>
              <w:t>《三废处理工程技术手册 废气卷》（2013版）中P959表17-1，</w:t>
            </w:r>
            <w:r>
              <w:rPr>
                <w:rFonts w:hint="eastAsia" w:ascii="Times New Roman" w:hAnsi="Times New Roman" w:eastAsia="宋体" w:cs="Times New Roman"/>
                <w:color w:val="auto"/>
                <w:spacing w:val="4"/>
                <w:sz w:val="24"/>
                <w:szCs w:val="24"/>
                <w:lang w:val="en-US" w:eastAsia="zh-CN"/>
              </w:rPr>
              <w:t>涂装室</w:t>
            </w:r>
            <w:r>
              <w:rPr>
                <w:rFonts w:hint="default" w:ascii="Times New Roman" w:hAnsi="Times New Roman" w:eastAsia="宋体" w:cs="Times New Roman"/>
                <w:color w:val="auto"/>
                <w:spacing w:val="4"/>
                <w:sz w:val="24"/>
                <w:szCs w:val="24"/>
                <w:lang w:val="en-US" w:eastAsia="zh-CN"/>
              </w:rPr>
              <w:t>换气次数为</w:t>
            </w:r>
            <w:r>
              <w:rPr>
                <w:rFonts w:hint="eastAsia" w:ascii="Times New Roman" w:hAnsi="Times New Roman" w:eastAsia="宋体" w:cs="Times New Roman"/>
                <w:color w:val="auto"/>
                <w:spacing w:val="4"/>
                <w:sz w:val="24"/>
                <w:szCs w:val="24"/>
                <w:lang w:val="en-US" w:eastAsia="zh-CN"/>
              </w:rPr>
              <w:t>30</w:t>
            </w:r>
            <w:r>
              <w:rPr>
                <w:rFonts w:hint="default" w:ascii="Times New Roman" w:hAnsi="Times New Roman" w:eastAsia="宋体" w:cs="Times New Roman"/>
                <w:color w:val="auto"/>
                <w:spacing w:val="4"/>
                <w:sz w:val="24"/>
                <w:szCs w:val="24"/>
                <w:lang w:val="en-US" w:eastAsia="zh-CN"/>
              </w:rPr>
              <w:t>次/h，</w:t>
            </w:r>
            <w:r>
              <w:rPr>
                <w:rFonts w:hint="eastAsia" w:ascii="Times New Roman" w:hAnsi="Times New Roman" w:eastAsia="宋体" w:cs="Times New Roman"/>
                <w:color w:val="auto"/>
                <w:spacing w:val="4"/>
                <w:sz w:val="24"/>
                <w:szCs w:val="24"/>
                <w:lang w:val="en-US" w:eastAsia="zh-CN"/>
              </w:rPr>
              <w:t>则风量=14</w:t>
            </w:r>
            <w:r>
              <w:rPr>
                <w:rFonts w:hint="default" w:ascii="Times New Roman" w:hAnsi="Times New Roman" w:eastAsia="宋体" w:cs="Times New Roman"/>
                <w:color w:val="auto"/>
                <w:spacing w:val="4"/>
                <w:sz w:val="24"/>
                <w:szCs w:val="24"/>
                <w:lang w:val="en-US" w:eastAsia="zh-CN"/>
              </w:rPr>
              <w:t>×</w:t>
            </w:r>
            <w:r>
              <w:rPr>
                <w:rFonts w:hint="eastAsia" w:ascii="Times New Roman" w:hAnsi="Times New Roman" w:eastAsia="宋体" w:cs="Times New Roman"/>
                <w:color w:val="auto"/>
                <w:spacing w:val="4"/>
                <w:sz w:val="24"/>
                <w:szCs w:val="24"/>
                <w:lang w:val="en-US" w:eastAsia="zh-CN"/>
              </w:rPr>
              <w:t>8</w:t>
            </w:r>
            <w:r>
              <w:rPr>
                <w:rFonts w:hint="default" w:ascii="Times New Roman" w:hAnsi="Times New Roman" w:eastAsia="宋体" w:cs="Times New Roman"/>
                <w:color w:val="auto"/>
                <w:spacing w:val="4"/>
                <w:sz w:val="24"/>
                <w:szCs w:val="24"/>
                <w:lang w:val="en-US" w:eastAsia="zh-CN"/>
              </w:rPr>
              <w:t>×</w:t>
            </w:r>
            <w:r>
              <w:rPr>
                <w:rFonts w:hint="eastAsia" w:ascii="Times New Roman" w:hAnsi="Times New Roman" w:eastAsia="宋体" w:cs="Times New Roman"/>
                <w:color w:val="auto"/>
                <w:spacing w:val="4"/>
                <w:sz w:val="24"/>
                <w:szCs w:val="24"/>
                <w:lang w:val="en-US" w:eastAsia="zh-CN"/>
              </w:rPr>
              <w:t>4</w:t>
            </w:r>
            <w:r>
              <w:rPr>
                <w:rFonts w:hint="default" w:ascii="Times New Roman" w:hAnsi="Times New Roman" w:eastAsia="宋体" w:cs="Times New Roman"/>
                <w:color w:val="auto"/>
                <w:spacing w:val="4"/>
                <w:sz w:val="24"/>
                <w:szCs w:val="24"/>
                <w:lang w:val="en-US" w:eastAsia="zh-CN"/>
              </w:rPr>
              <w:t>×</w:t>
            </w:r>
            <w:r>
              <w:rPr>
                <w:rFonts w:hint="eastAsia" w:ascii="Times New Roman" w:hAnsi="Times New Roman" w:eastAsia="宋体" w:cs="Times New Roman"/>
                <w:color w:val="auto"/>
                <w:spacing w:val="4"/>
                <w:sz w:val="24"/>
                <w:szCs w:val="24"/>
                <w:lang w:val="en-US" w:eastAsia="zh-CN"/>
              </w:rPr>
              <w:t>30=13440m</w:t>
            </w:r>
            <w:r>
              <w:rPr>
                <w:rFonts w:hint="eastAsia"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spacing w:val="4"/>
                <w:sz w:val="24"/>
                <w:szCs w:val="24"/>
                <w:vertAlign w:val="baseline"/>
                <w:lang w:val="en-US" w:eastAsia="zh-CN"/>
              </w:rPr>
              <w:t>/h。考虑风量损耗，本项目取15000</w:t>
            </w:r>
            <w:r>
              <w:rPr>
                <w:rFonts w:hint="eastAsia" w:ascii="Times New Roman" w:hAnsi="Times New Roman" w:eastAsia="宋体" w:cs="Times New Roman"/>
                <w:color w:val="auto"/>
                <w:spacing w:val="4"/>
                <w:sz w:val="24"/>
                <w:szCs w:val="24"/>
                <w:lang w:val="en-US" w:eastAsia="zh-CN"/>
              </w:rPr>
              <w:t>m</w:t>
            </w:r>
            <w:r>
              <w:rPr>
                <w:rFonts w:hint="eastAsia"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spacing w:val="4"/>
                <w:sz w:val="24"/>
                <w:szCs w:val="24"/>
                <w:vertAlign w:val="baseline"/>
                <w:lang w:val="en-US" w:eastAsia="zh-CN"/>
              </w:rPr>
              <w:t>/h。</w:t>
            </w:r>
          </w:p>
          <w:bookmarkEnd w:id="24"/>
          <w:p>
            <w:pPr>
              <w:pageBreakBefore w:val="0"/>
              <w:widowControl w:val="0"/>
              <w:kinsoku/>
              <w:wordWrap/>
              <w:overflowPunct/>
              <w:topLinePunct w:val="0"/>
              <w:autoSpaceDE/>
              <w:autoSpaceDN/>
              <w:bidi w:val="0"/>
              <w:spacing w:line="360" w:lineRule="auto"/>
              <w:ind w:right="0" w:firstLine="482"/>
              <w:textAlignment w:val="auto"/>
              <w:rPr>
                <w:rFonts w:ascii="Times New Roman" w:hAnsi="Times New Roman" w:eastAsia="宋体"/>
                <w:color w:val="auto"/>
                <w:sz w:val="24"/>
                <w:szCs w:val="24"/>
              </w:rPr>
            </w:pPr>
            <w:r>
              <w:rPr>
                <w:rFonts w:ascii="Times New Roman" w:hAnsi="Times New Roman" w:eastAsia="宋体"/>
                <w:b/>
                <w:bCs/>
                <w:color w:val="auto"/>
                <w:sz w:val="24"/>
                <w:szCs w:val="24"/>
              </w:rPr>
              <w:t>收集效率：</w:t>
            </w:r>
          </w:p>
          <w:p>
            <w:pPr>
              <w:pStyle w:val="49"/>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rPr>
              <w:t>建设单位拟对喷漆</w:t>
            </w:r>
            <w:r>
              <w:rPr>
                <w:rFonts w:hint="default" w:ascii="Times New Roman" w:hAnsi="Times New Roman" w:eastAsia="宋体" w:cs="Times New Roman"/>
                <w:color w:val="auto"/>
                <w:sz w:val="24"/>
                <w:szCs w:val="24"/>
                <w:lang w:eastAsia="zh-CN"/>
              </w:rPr>
              <w:t>房</w:t>
            </w:r>
            <w:r>
              <w:rPr>
                <w:rFonts w:hint="default" w:ascii="Times New Roman" w:hAnsi="Times New Roman" w:eastAsia="宋体" w:cs="Times New Roman"/>
                <w:color w:val="auto"/>
                <w:sz w:val="24"/>
                <w:szCs w:val="24"/>
              </w:rPr>
              <w:t>采用密闭抽风形式，在风机微</w:t>
            </w:r>
            <w:r>
              <w:rPr>
                <w:rFonts w:hint="default" w:ascii="Times New Roman" w:hAnsi="Times New Roman" w:eastAsia="宋体" w:cs="Times New Roman"/>
                <w:color w:val="auto"/>
                <w:sz w:val="24"/>
                <w:szCs w:val="24"/>
                <w:lang w:eastAsia="zh-CN"/>
              </w:rPr>
              <w:t>负</w:t>
            </w:r>
            <w:r>
              <w:rPr>
                <w:rFonts w:hint="default" w:ascii="Times New Roman" w:hAnsi="Times New Roman" w:eastAsia="宋体" w:cs="Times New Roman"/>
                <w:color w:val="auto"/>
                <w:sz w:val="24"/>
                <w:szCs w:val="24"/>
              </w:rPr>
              <w:t>压作用下收集废气，可有效减少有机废气扩散，因此可认为本项目有机废气得到有效收集，废气捕集率按</w:t>
            </w:r>
            <w:r>
              <w:rPr>
                <w:rFonts w:hint="default" w:ascii="Times New Roman" w:hAnsi="Times New Roman" w:eastAsia="宋体" w:cs="Times New Roman"/>
                <w:color w:val="auto"/>
                <w:sz w:val="24"/>
                <w:szCs w:val="24"/>
                <w:lang w:val="en-US" w:eastAsia="zh-CN"/>
              </w:rPr>
              <w:t>95</w:t>
            </w:r>
            <w:r>
              <w:rPr>
                <w:rFonts w:hint="default" w:ascii="Times New Roman" w:hAnsi="Times New Roman" w:eastAsia="宋体" w:cs="Times New Roman"/>
                <w:color w:val="auto"/>
                <w:sz w:val="24"/>
                <w:szCs w:val="24"/>
              </w:rPr>
              <w:t>%计</w:t>
            </w:r>
            <w:r>
              <w:rPr>
                <w:rFonts w:hint="default" w:ascii="Times New Roman" w:hAnsi="Times New Roman" w:eastAsia="宋体" w:cs="Times New Roman"/>
                <w:color w:val="auto"/>
                <w:sz w:val="24"/>
                <w:szCs w:val="24"/>
                <w:lang w:eastAsia="zh-CN"/>
              </w:rPr>
              <w:t>（参考《广东省重点行业挥发性有机物（VOCs）计算方法（试行）》，密闭式负压捕集效率为95%）</w:t>
            </w:r>
            <w:r>
              <w:rPr>
                <w:rFonts w:hint="default" w:ascii="Times New Roman" w:hAnsi="Times New Roman" w:eastAsia="宋体" w:cs="Times New Roman"/>
                <w:color w:val="auto"/>
                <w:sz w:val="24"/>
                <w:szCs w:val="24"/>
              </w:rPr>
              <w:t>。</w:t>
            </w:r>
          </w:p>
          <w:p>
            <w:pPr>
              <w:pageBreakBefore w:val="0"/>
              <w:widowControl w:val="0"/>
              <w:kinsoku/>
              <w:wordWrap/>
              <w:overflowPunct/>
              <w:topLinePunct w:val="0"/>
              <w:autoSpaceDE/>
              <w:autoSpaceDN/>
              <w:bidi w:val="0"/>
              <w:spacing w:line="360" w:lineRule="auto"/>
              <w:ind w:right="0" w:firstLine="480"/>
              <w:textAlignment w:val="auto"/>
              <w:rPr>
                <w:rFonts w:ascii="Times New Roman" w:hAnsi="Times New Roman" w:eastAsia="宋体"/>
                <w:color w:val="auto"/>
                <w:sz w:val="24"/>
                <w:szCs w:val="24"/>
              </w:rPr>
            </w:pPr>
            <w:r>
              <w:rPr>
                <w:rFonts w:ascii="Times New Roman" w:hAnsi="Times New Roman" w:eastAsia="宋体"/>
                <w:color w:val="auto"/>
                <w:sz w:val="24"/>
                <w:szCs w:val="24"/>
              </w:rPr>
              <w:t>①漆雾</w:t>
            </w:r>
          </w:p>
          <w:p>
            <w:pPr>
              <w:pageBreakBefore w:val="0"/>
              <w:widowControl w:val="0"/>
              <w:kinsoku/>
              <w:wordWrap/>
              <w:overflowPunct/>
              <w:topLinePunct w:val="0"/>
              <w:autoSpaceDE/>
              <w:autoSpaceDN/>
              <w:bidi w:val="0"/>
              <w:spacing w:line="360" w:lineRule="auto"/>
              <w:ind w:right="0" w:firstLine="480"/>
              <w:textAlignment w:val="auto"/>
              <w:rPr>
                <w:rFonts w:ascii="Times New Roman" w:hAnsi="Times New Roman" w:eastAsia="宋体"/>
                <w:color w:val="auto"/>
                <w:sz w:val="24"/>
                <w:szCs w:val="24"/>
              </w:rPr>
            </w:pPr>
            <w:r>
              <w:rPr>
                <w:rFonts w:ascii="Times New Roman" w:hAnsi="Times New Roman" w:eastAsia="宋体"/>
                <w:color w:val="auto"/>
                <w:sz w:val="24"/>
                <w:szCs w:val="24"/>
              </w:rPr>
              <w:t>本项目喷漆时喷枪与工件的喷涂距离为15～20cm，喷涂过程中会有未附着于工件表面的漆雾颗粒产生。根据《涂装工艺与设备》（化学工业出版社），喷涂距离在15~20cm之间时，涂着效率约为65%~75%，本次环评取</w:t>
            </w:r>
            <w:r>
              <w:rPr>
                <w:rFonts w:hint="eastAsia" w:ascii="Times New Roman" w:hAnsi="Times New Roman" w:eastAsia="宋体"/>
                <w:color w:val="auto"/>
                <w:sz w:val="24"/>
                <w:szCs w:val="24"/>
                <w:lang w:val="en-US" w:eastAsia="zh-CN"/>
              </w:rPr>
              <w:t>70</w:t>
            </w:r>
            <w:r>
              <w:rPr>
                <w:rFonts w:ascii="Times New Roman" w:hAnsi="Times New Roman" w:eastAsia="宋体"/>
                <w:color w:val="auto"/>
                <w:sz w:val="24"/>
                <w:szCs w:val="24"/>
              </w:rPr>
              <w:t>%计，即固份中有70%涂着于工件表面，剩余</w:t>
            </w:r>
            <w:r>
              <w:rPr>
                <w:rFonts w:hint="eastAsia" w:ascii="Times New Roman" w:hAnsi="Times New Roman" w:eastAsia="宋体"/>
                <w:color w:val="auto"/>
                <w:sz w:val="24"/>
                <w:szCs w:val="24"/>
                <w:lang w:val="en-US" w:eastAsia="zh-CN"/>
              </w:rPr>
              <w:t>10%</w:t>
            </w:r>
            <w:r>
              <w:rPr>
                <w:rFonts w:ascii="Times New Roman" w:hAnsi="Times New Roman" w:eastAsia="宋体"/>
                <w:color w:val="auto"/>
                <w:sz w:val="24"/>
                <w:szCs w:val="24"/>
              </w:rPr>
              <w:t>降落地面直接形成漆渣，</w:t>
            </w:r>
            <w:r>
              <w:rPr>
                <w:rFonts w:hint="eastAsia" w:ascii="Times New Roman" w:hAnsi="Times New Roman" w:eastAsia="宋体"/>
                <w:color w:val="auto"/>
                <w:sz w:val="24"/>
                <w:szCs w:val="24"/>
                <w:lang w:val="en-US" w:eastAsia="zh-CN"/>
              </w:rPr>
              <w:t>20</w:t>
            </w:r>
            <w:r>
              <w:rPr>
                <w:rFonts w:ascii="Times New Roman" w:hAnsi="Times New Roman" w:eastAsia="宋体"/>
                <w:color w:val="auto"/>
                <w:sz w:val="24"/>
                <w:szCs w:val="24"/>
              </w:rPr>
              <w:t>%以漆雾形式存在。</w:t>
            </w:r>
          </w:p>
          <w:p>
            <w:pPr>
              <w:pageBreakBefore w:val="0"/>
              <w:widowControl w:val="0"/>
              <w:kinsoku/>
              <w:wordWrap/>
              <w:overflowPunct/>
              <w:topLinePunct w:val="0"/>
              <w:autoSpaceDE/>
              <w:autoSpaceDN/>
              <w:bidi w:val="0"/>
              <w:spacing w:line="360" w:lineRule="auto"/>
              <w:ind w:right="0" w:firstLine="480"/>
              <w:textAlignment w:val="auto"/>
              <w:rPr>
                <w:rFonts w:ascii="Times New Roman" w:hAnsi="Times New Roman" w:eastAsia="宋体"/>
                <w:color w:val="auto"/>
                <w:sz w:val="24"/>
                <w:szCs w:val="24"/>
              </w:rPr>
            </w:pPr>
            <w:r>
              <w:rPr>
                <w:rFonts w:ascii="Times New Roman" w:hAnsi="Times New Roman" w:eastAsia="宋体"/>
                <w:color w:val="auto"/>
                <w:sz w:val="24"/>
                <w:szCs w:val="24"/>
              </w:rPr>
              <w:t>本项目</w:t>
            </w:r>
            <w:r>
              <w:rPr>
                <w:rFonts w:hint="eastAsia" w:ascii="Times New Roman" w:hAnsi="Times New Roman" w:eastAsia="宋体"/>
                <w:color w:val="auto"/>
                <w:sz w:val="24"/>
                <w:szCs w:val="24"/>
                <w:lang w:val="en-US" w:eastAsia="zh-CN"/>
              </w:rPr>
              <w:t>高固份漆</w:t>
            </w:r>
            <w:r>
              <w:rPr>
                <w:rFonts w:ascii="Times New Roman" w:hAnsi="Times New Roman" w:eastAsia="宋体"/>
                <w:color w:val="auto"/>
                <w:sz w:val="24"/>
                <w:szCs w:val="24"/>
              </w:rPr>
              <w:t>年用量为</w:t>
            </w:r>
            <w:r>
              <w:rPr>
                <w:rFonts w:hint="eastAsia" w:ascii="Times New Roman" w:hAnsi="Times New Roman" w:eastAsia="宋体"/>
                <w:color w:val="auto"/>
                <w:sz w:val="24"/>
                <w:szCs w:val="24"/>
                <w:lang w:val="en-US" w:eastAsia="zh-CN"/>
              </w:rPr>
              <w:t>4.71</w:t>
            </w:r>
            <w:r>
              <w:rPr>
                <w:rFonts w:ascii="Times New Roman" w:hAnsi="Times New Roman" w:eastAsia="宋体"/>
                <w:color w:val="auto"/>
                <w:sz w:val="24"/>
                <w:szCs w:val="24"/>
              </w:rPr>
              <w:t>t，其中固份占</w:t>
            </w:r>
            <w:r>
              <w:rPr>
                <w:rFonts w:hint="eastAsia" w:ascii="Times New Roman" w:hAnsi="Times New Roman" w:eastAsia="宋体"/>
                <w:color w:val="auto"/>
                <w:sz w:val="24"/>
                <w:szCs w:val="24"/>
                <w:lang w:val="en-US" w:eastAsia="zh-CN"/>
              </w:rPr>
              <w:t>88</w:t>
            </w:r>
            <w:r>
              <w:rPr>
                <w:rFonts w:ascii="Times New Roman" w:hAnsi="Times New Roman" w:eastAsia="宋体"/>
                <w:color w:val="auto"/>
                <w:sz w:val="24"/>
                <w:szCs w:val="24"/>
              </w:rPr>
              <w:t>%</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即</w:t>
            </w:r>
            <w:r>
              <w:rPr>
                <w:rFonts w:hint="eastAsia" w:ascii="Times New Roman" w:hAnsi="Times New Roman" w:eastAsia="宋体"/>
                <w:color w:val="auto"/>
                <w:sz w:val="24"/>
                <w:szCs w:val="24"/>
                <w:lang w:val="en-US" w:eastAsia="zh-CN"/>
              </w:rPr>
              <w:t>固份含量为4.1448</w:t>
            </w:r>
            <w:r>
              <w:rPr>
                <w:rFonts w:ascii="Times New Roman" w:hAnsi="Times New Roman" w:eastAsia="宋体"/>
                <w:color w:val="auto"/>
                <w:sz w:val="24"/>
                <w:szCs w:val="24"/>
              </w:rPr>
              <w:t>t</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根据</w:t>
            </w:r>
            <w:r>
              <w:rPr>
                <w:rFonts w:hint="eastAsia" w:ascii="Times New Roman" w:hAnsi="Times New Roman" w:eastAsia="宋体"/>
                <w:color w:val="auto"/>
                <w:sz w:val="24"/>
                <w:szCs w:val="24"/>
                <w:lang w:eastAsia="zh-CN"/>
              </w:rPr>
              <w:t>计算</w:t>
            </w:r>
            <w:r>
              <w:rPr>
                <w:rFonts w:ascii="Times New Roman" w:hAnsi="Times New Roman" w:eastAsia="宋体"/>
                <w:color w:val="auto"/>
                <w:sz w:val="24"/>
                <w:szCs w:val="24"/>
              </w:rPr>
              <w:t>，</w:t>
            </w:r>
            <w:r>
              <w:rPr>
                <w:rFonts w:hint="eastAsia" w:ascii="Times New Roman" w:hAnsi="Times New Roman" w:eastAsia="宋体"/>
                <w:color w:val="auto"/>
                <w:sz w:val="24"/>
                <w:szCs w:val="24"/>
                <w:lang w:eastAsia="zh-CN"/>
              </w:rPr>
              <w:t>喷涂</w:t>
            </w:r>
            <w:r>
              <w:rPr>
                <w:rFonts w:ascii="Times New Roman" w:hAnsi="Times New Roman" w:eastAsia="宋体"/>
                <w:color w:val="auto"/>
                <w:sz w:val="24"/>
                <w:szCs w:val="24"/>
              </w:rPr>
              <w:t>过程中漆雾产生量为</w:t>
            </w:r>
            <w:r>
              <w:rPr>
                <w:rFonts w:hint="eastAsia" w:ascii="Times New Roman" w:hAnsi="Times New Roman" w:eastAsia="宋体"/>
                <w:color w:val="auto"/>
                <w:sz w:val="24"/>
                <w:szCs w:val="24"/>
                <w:lang w:val="en-US" w:eastAsia="zh-CN"/>
              </w:rPr>
              <w:t>0.83</w:t>
            </w:r>
            <w:r>
              <w:rPr>
                <w:rFonts w:ascii="Times New Roman" w:hAnsi="Times New Roman" w:eastAsia="宋体"/>
                <w:color w:val="auto"/>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right="0" w:firstLine="480"/>
              <w:textAlignment w:val="auto"/>
              <w:rPr>
                <w:rFonts w:ascii="Times New Roman" w:hAnsi="Times New Roman" w:eastAsia="宋体"/>
                <w:color w:val="auto"/>
                <w:sz w:val="24"/>
                <w:szCs w:val="24"/>
              </w:rPr>
            </w:pPr>
            <w:r>
              <w:rPr>
                <w:rFonts w:ascii="Times New Roman" w:hAnsi="Times New Roman" w:eastAsia="宋体"/>
                <w:color w:val="auto"/>
                <w:sz w:val="24"/>
                <w:szCs w:val="24"/>
              </w:rPr>
              <w:t>②有机废气</w:t>
            </w:r>
          </w:p>
          <w:p>
            <w:pPr>
              <w:keepNext w:val="0"/>
              <w:keepLines w:val="0"/>
              <w:pageBreakBefore w:val="0"/>
              <w:widowControl w:val="0"/>
              <w:kinsoku/>
              <w:wordWrap/>
              <w:overflowPunct/>
              <w:topLinePunct w:val="0"/>
              <w:autoSpaceDE/>
              <w:autoSpaceDN/>
              <w:bidi w:val="0"/>
              <w:adjustRightInd/>
              <w:snapToGrid/>
              <w:spacing w:line="360" w:lineRule="auto"/>
              <w:ind w:right="0" w:firstLine="480"/>
              <w:textAlignment w:val="auto"/>
              <w:rPr>
                <w:rFonts w:hint="eastAsia" w:ascii="Times New Roman" w:hAnsi="Times New Roman" w:eastAsia="宋体" w:cs="Times New Roman"/>
                <w:b w:val="0"/>
                <w:bCs w:val="0"/>
                <w:color w:val="auto"/>
                <w:sz w:val="24"/>
                <w:szCs w:val="24"/>
                <w:lang w:val="en-US" w:eastAsia="zh-CN"/>
              </w:rPr>
            </w:pPr>
            <w:r>
              <w:rPr>
                <w:rFonts w:ascii="Times New Roman" w:hAnsi="Times New Roman" w:eastAsia="宋体"/>
                <w:color w:val="auto"/>
                <w:sz w:val="24"/>
                <w:szCs w:val="24"/>
              </w:rPr>
              <w:t>本项目调漆、喷漆、</w:t>
            </w:r>
            <w:r>
              <w:rPr>
                <w:rFonts w:hint="eastAsia" w:ascii="Times New Roman" w:hAnsi="Times New Roman" w:eastAsia="宋体"/>
                <w:color w:val="auto"/>
                <w:sz w:val="24"/>
                <w:szCs w:val="24"/>
                <w:lang w:eastAsia="zh-CN"/>
              </w:rPr>
              <w:t>晾干、喷枪清洗</w:t>
            </w:r>
            <w:r>
              <w:rPr>
                <w:rFonts w:ascii="Times New Roman" w:hAnsi="Times New Roman" w:eastAsia="宋体"/>
                <w:color w:val="auto"/>
                <w:sz w:val="24"/>
                <w:szCs w:val="24"/>
              </w:rPr>
              <w:t>过程中，涂料中的有机成分会挥发出来形成有机废气，其中调漆、喷漆过程均在喷漆房内进行</w:t>
            </w:r>
            <w:r>
              <w:rPr>
                <w:rFonts w:hint="eastAsia" w:ascii="Times New Roman" w:hAnsi="Times New Roman" w:eastAsia="宋体"/>
                <w:color w:val="auto"/>
                <w:sz w:val="24"/>
                <w:szCs w:val="24"/>
                <w:lang w:eastAsia="zh-CN"/>
              </w:rPr>
              <w:t>，晾干过程在晾干房内进行</w:t>
            </w:r>
            <w:r>
              <w:rPr>
                <w:rFonts w:ascii="Times New Roman" w:hAnsi="Times New Roman" w:eastAsia="宋体"/>
                <w:color w:val="auto"/>
                <w:sz w:val="24"/>
                <w:szCs w:val="24"/>
              </w:rPr>
              <w:t>，调漆产生的废气列入喷漆废气，不再单独分析。本项目使用</w:t>
            </w:r>
            <w:r>
              <w:rPr>
                <w:rFonts w:hint="eastAsia" w:ascii="Times New Roman" w:hAnsi="Times New Roman" w:eastAsia="宋体"/>
                <w:color w:val="auto"/>
                <w:sz w:val="24"/>
                <w:szCs w:val="24"/>
                <w:lang w:val="en-US" w:eastAsia="zh-CN"/>
              </w:rPr>
              <w:t>高固份</w:t>
            </w:r>
            <w:r>
              <w:rPr>
                <w:rFonts w:hint="eastAsia" w:ascii="Times New Roman" w:hAnsi="Times New Roman" w:eastAsia="宋体"/>
                <w:color w:val="auto"/>
                <w:sz w:val="24"/>
                <w:szCs w:val="24"/>
                <w:lang w:eastAsia="zh-CN"/>
              </w:rPr>
              <w:t>漆</w:t>
            </w:r>
            <w:r>
              <w:rPr>
                <w:rFonts w:hint="eastAsia" w:ascii="Times New Roman" w:hAnsi="Times New Roman" w:eastAsia="宋体"/>
                <w:color w:val="auto"/>
                <w:sz w:val="24"/>
                <w:szCs w:val="24"/>
                <w:lang w:val="en-US" w:eastAsia="zh-CN"/>
              </w:rPr>
              <w:t>用量</w:t>
            </w:r>
            <w:r>
              <w:rPr>
                <w:rFonts w:ascii="Times New Roman" w:hAnsi="Times New Roman" w:eastAsia="宋体"/>
                <w:color w:val="auto"/>
                <w:sz w:val="24"/>
                <w:szCs w:val="24"/>
              </w:rPr>
              <w:t>为</w:t>
            </w:r>
            <w:r>
              <w:rPr>
                <w:rFonts w:hint="eastAsia" w:ascii="Times New Roman" w:hAnsi="Times New Roman" w:eastAsia="宋体"/>
                <w:color w:val="auto"/>
                <w:sz w:val="24"/>
                <w:szCs w:val="24"/>
                <w:lang w:val="en-US" w:eastAsia="zh-CN"/>
              </w:rPr>
              <w:t>4.71</w:t>
            </w:r>
            <w:r>
              <w:rPr>
                <w:rFonts w:ascii="Times New Roman" w:hAnsi="Times New Roman" w:eastAsia="宋体"/>
                <w:color w:val="auto"/>
                <w:sz w:val="24"/>
                <w:szCs w:val="24"/>
              </w:rPr>
              <w:t>t/a，稀释剂用量为</w:t>
            </w:r>
            <w:r>
              <w:rPr>
                <w:rFonts w:hint="eastAsia" w:ascii="Times New Roman" w:hAnsi="Times New Roman" w:eastAsia="宋体"/>
                <w:color w:val="auto"/>
                <w:sz w:val="24"/>
                <w:szCs w:val="24"/>
                <w:lang w:val="en-US" w:eastAsia="zh-CN"/>
              </w:rPr>
              <w:t>1.04</w:t>
            </w:r>
            <w:r>
              <w:rPr>
                <w:rFonts w:ascii="Times New Roman" w:hAnsi="Times New Roman" w:eastAsia="宋体"/>
                <w:color w:val="auto"/>
                <w:sz w:val="24"/>
                <w:szCs w:val="24"/>
              </w:rPr>
              <w:t>t/a。按最不利情况考虑，涂料全部挥发形成有机废气，根据物料平衡，本项目喷漆过程中</w:t>
            </w:r>
            <w:r>
              <w:rPr>
                <w:rFonts w:hint="eastAsia" w:ascii="Times New Roman" w:hAnsi="Times New Roman" w:eastAsia="宋体"/>
                <w:color w:val="auto"/>
                <w:sz w:val="24"/>
                <w:szCs w:val="24"/>
                <w:lang w:val="en-US" w:eastAsia="zh-CN"/>
              </w:rPr>
              <w:t>有机物</w:t>
            </w:r>
            <w:r>
              <w:rPr>
                <w:rFonts w:ascii="Times New Roman" w:hAnsi="Times New Roman" w:eastAsia="宋体"/>
                <w:color w:val="auto"/>
                <w:sz w:val="24"/>
                <w:szCs w:val="24"/>
              </w:rPr>
              <w:t>挥发量为</w:t>
            </w:r>
            <w:r>
              <w:rPr>
                <w:rFonts w:hint="eastAsia" w:ascii="Times New Roman" w:hAnsi="Times New Roman" w:eastAsia="宋体"/>
                <w:color w:val="auto"/>
                <w:sz w:val="24"/>
                <w:szCs w:val="24"/>
                <w:lang w:val="en-US" w:eastAsia="zh-CN"/>
              </w:rPr>
              <w:t>1.5352</w:t>
            </w:r>
            <w:r>
              <w:rPr>
                <w:rFonts w:ascii="Times New Roman" w:hAnsi="Times New Roman" w:eastAsia="宋体"/>
                <w:color w:val="auto"/>
                <w:sz w:val="24"/>
                <w:szCs w:val="24"/>
              </w:rPr>
              <w:t>t/a，其中</w:t>
            </w:r>
            <w:r>
              <w:rPr>
                <w:rFonts w:hint="eastAsia" w:ascii="Times New Roman" w:hAnsi="Times New Roman" w:eastAsia="宋体"/>
                <w:color w:val="auto"/>
                <w:kern w:val="0"/>
                <w:sz w:val="24"/>
                <w:szCs w:val="24"/>
                <w:lang w:eastAsia="zh-CN"/>
              </w:rPr>
              <w:t>二甲苯</w:t>
            </w:r>
            <w:r>
              <w:rPr>
                <w:rFonts w:hint="eastAsia" w:ascii="Times New Roman" w:hAnsi="Times New Roman" w:eastAsia="宋体"/>
                <w:color w:val="auto"/>
                <w:sz w:val="24"/>
                <w:szCs w:val="24"/>
                <w:lang w:val="en-US" w:eastAsia="zh-CN"/>
              </w:rPr>
              <w:t>0.1413</w:t>
            </w:r>
            <w:r>
              <w:rPr>
                <w:rFonts w:ascii="Times New Roman" w:hAnsi="Times New Roman" w:eastAsia="宋体"/>
                <w:color w:val="auto"/>
                <w:sz w:val="24"/>
                <w:szCs w:val="24"/>
              </w:rPr>
              <w:t>t/a。</w:t>
            </w:r>
          </w:p>
          <w:p>
            <w:pPr>
              <w:pStyle w:val="49"/>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color w:val="auto"/>
                <w:sz w:val="24"/>
                <w:szCs w:val="24"/>
                <w:lang w:eastAsia="zh-CN"/>
              </w:rPr>
              <w:t>则本次喷涂过程中颗粒物</w:t>
            </w:r>
            <w:r>
              <w:rPr>
                <w:rFonts w:hint="default" w:ascii="Times New Roman" w:hAnsi="Times New Roman" w:eastAsia="宋体" w:cs="Times New Roman"/>
                <w:b w:val="0"/>
                <w:bCs/>
                <w:color w:val="auto"/>
                <w:sz w:val="24"/>
                <w:szCs w:val="24"/>
              </w:rPr>
              <w:t>有组织排放量为</w:t>
            </w:r>
            <w:r>
              <w:rPr>
                <w:rFonts w:hint="eastAsia" w:ascii="Times New Roman" w:hAnsi="Times New Roman" w:eastAsia="宋体" w:cs="Times New Roman"/>
                <w:b w:val="0"/>
                <w:bCs/>
                <w:color w:val="auto"/>
                <w:sz w:val="24"/>
                <w:szCs w:val="24"/>
                <w:lang w:val="en-US" w:eastAsia="zh-CN"/>
              </w:rPr>
              <w:t>0.0315</w:t>
            </w:r>
            <w:r>
              <w:rPr>
                <w:rFonts w:hint="default" w:ascii="Times New Roman" w:hAnsi="Times New Roman" w:eastAsia="宋体" w:cs="Times New Roman"/>
                <w:b w:val="0"/>
                <w:bCs/>
                <w:color w:val="auto"/>
                <w:sz w:val="24"/>
                <w:szCs w:val="24"/>
              </w:rPr>
              <w:t>t/a，排放速率为</w:t>
            </w:r>
            <w:r>
              <w:rPr>
                <w:rFonts w:hint="eastAsia" w:ascii="Times New Roman" w:hAnsi="Times New Roman" w:eastAsia="宋体" w:cs="Times New Roman"/>
                <w:b w:val="0"/>
                <w:bCs/>
                <w:color w:val="auto"/>
                <w:sz w:val="24"/>
                <w:szCs w:val="24"/>
                <w:lang w:val="en-US" w:eastAsia="zh-CN"/>
              </w:rPr>
              <w:t>0.054</w:t>
            </w:r>
            <w:r>
              <w:rPr>
                <w:rFonts w:hint="default" w:ascii="Times New Roman" w:hAnsi="Times New Roman" w:eastAsia="宋体" w:cs="Times New Roman"/>
                <w:b w:val="0"/>
                <w:bCs/>
                <w:color w:val="auto"/>
                <w:sz w:val="24"/>
                <w:szCs w:val="24"/>
              </w:rPr>
              <w:t>kg/h，排放浓度为</w:t>
            </w:r>
            <w:r>
              <w:rPr>
                <w:rFonts w:hint="eastAsia" w:ascii="Times New Roman" w:hAnsi="Times New Roman" w:eastAsia="宋体" w:cs="Times New Roman"/>
                <w:b w:val="0"/>
                <w:bCs/>
                <w:color w:val="auto"/>
                <w:sz w:val="24"/>
                <w:szCs w:val="24"/>
                <w:lang w:val="en-US" w:eastAsia="zh-CN"/>
              </w:rPr>
              <w:t>3.6</w:t>
            </w:r>
            <w:r>
              <w:rPr>
                <w:rFonts w:hint="default" w:ascii="Times New Roman" w:hAnsi="Times New Roman" w:eastAsia="宋体" w:cs="Times New Roman"/>
                <w:b w:val="0"/>
                <w:bCs/>
                <w:color w:val="auto"/>
                <w:sz w:val="24"/>
                <w:szCs w:val="24"/>
              </w:rPr>
              <w:t>mg/m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；无组织排放量为</w:t>
            </w:r>
            <w:r>
              <w:rPr>
                <w:rFonts w:hint="eastAsia" w:ascii="Times New Roman" w:hAnsi="Times New Roman" w:eastAsia="宋体" w:cs="Times New Roman"/>
                <w:b w:val="0"/>
                <w:bCs/>
                <w:color w:val="auto"/>
                <w:sz w:val="24"/>
                <w:szCs w:val="24"/>
                <w:lang w:val="en-US" w:eastAsia="zh-CN"/>
              </w:rPr>
              <w:t>0.414</w:t>
            </w:r>
            <w:r>
              <w:rPr>
                <w:rFonts w:hint="default" w:ascii="Times New Roman" w:hAnsi="Times New Roman" w:eastAsia="宋体" w:cs="Times New Roman"/>
                <w:b w:val="0"/>
                <w:bCs/>
                <w:color w:val="auto"/>
                <w:sz w:val="24"/>
                <w:szCs w:val="24"/>
              </w:rPr>
              <w:t>t/a，排放速率为</w:t>
            </w:r>
            <w:r>
              <w:rPr>
                <w:rFonts w:hint="eastAsia" w:ascii="Times New Roman" w:hAnsi="Times New Roman" w:eastAsia="宋体" w:cs="Times New Roman"/>
                <w:b w:val="0"/>
                <w:bCs/>
                <w:color w:val="auto"/>
                <w:sz w:val="24"/>
                <w:szCs w:val="24"/>
                <w:lang w:val="en-US" w:eastAsia="zh-CN"/>
              </w:rPr>
              <w:t>0.07</w:t>
            </w:r>
            <w:r>
              <w:rPr>
                <w:rFonts w:hint="default" w:ascii="Times New Roman" w:hAnsi="Times New Roman" w:eastAsia="宋体" w:cs="Times New Roman"/>
                <w:b w:val="0"/>
                <w:bCs/>
                <w:color w:val="auto"/>
                <w:sz w:val="24"/>
                <w:szCs w:val="24"/>
              </w:rPr>
              <w:t>kg/h。非甲烷总烃有组织排放量为</w:t>
            </w:r>
            <w:r>
              <w:rPr>
                <w:rFonts w:hint="eastAsia" w:ascii="Times New Roman" w:hAnsi="Times New Roman" w:eastAsia="宋体" w:cs="Times New Roman"/>
                <w:b w:val="0"/>
                <w:bCs/>
                <w:color w:val="auto"/>
                <w:sz w:val="24"/>
                <w:szCs w:val="24"/>
                <w:lang w:val="en-US" w:eastAsia="zh-CN"/>
              </w:rPr>
              <w:t>0.0729</w:t>
            </w:r>
            <w:r>
              <w:rPr>
                <w:rFonts w:hint="default" w:ascii="Times New Roman" w:hAnsi="Times New Roman" w:eastAsia="宋体" w:cs="Times New Roman"/>
                <w:b w:val="0"/>
                <w:bCs/>
                <w:color w:val="auto"/>
                <w:sz w:val="24"/>
                <w:szCs w:val="24"/>
              </w:rPr>
              <w:t>t/a、排放速率为</w:t>
            </w:r>
            <w:r>
              <w:rPr>
                <w:rFonts w:hint="eastAsia" w:ascii="Times New Roman" w:hAnsi="Times New Roman" w:eastAsia="宋体" w:cs="Times New Roman"/>
                <w:b w:val="0"/>
                <w:bCs/>
                <w:color w:val="auto"/>
                <w:sz w:val="24"/>
                <w:szCs w:val="24"/>
                <w:lang w:val="en-US" w:eastAsia="zh-CN"/>
              </w:rPr>
              <w:t>0.031</w:t>
            </w:r>
            <w:r>
              <w:rPr>
                <w:rFonts w:hint="default" w:ascii="Times New Roman" w:hAnsi="Times New Roman" w:eastAsia="宋体" w:cs="Times New Roman"/>
                <w:b w:val="0"/>
                <w:bCs/>
                <w:color w:val="auto"/>
                <w:sz w:val="24"/>
                <w:szCs w:val="24"/>
              </w:rPr>
              <w:t>kg/h、排放浓度为</w:t>
            </w:r>
            <w:r>
              <w:rPr>
                <w:rFonts w:hint="eastAsia" w:ascii="Times New Roman" w:hAnsi="Times New Roman" w:eastAsia="宋体" w:cs="Times New Roman"/>
                <w:b w:val="0"/>
                <w:bCs/>
                <w:color w:val="auto"/>
                <w:sz w:val="24"/>
                <w:szCs w:val="24"/>
                <w:lang w:val="en-US" w:eastAsia="zh-CN"/>
              </w:rPr>
              <w:t>2.1</w:t>
            </w:r>
            <w:r>
              <w:rPr>
                <w:rFonts w:hint="default" w:ascii="Times New Roman" w:hAnsi="Times New Roman" w:eastAsia="宋体" w:cs="Times New Roman"/>
                <w:b w:val="0"/>
                <w:bCs/>
                <w:color w:val="auto"/>
                <w:sz w:val="24"/>
                <w:szCs w:val="24"/>
              </w:rPr>
              <w:t>mg/m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；无组织排放量为</w:t>
            </w:r>
            <w:r>
              <w:rPr>
                <w:rFonts w:hint="eastAsia" w:ascii="Times New Roman" w:hAnsi="Times New Roman" w:eastAsia="宋体" w:cs="Times New Roman"/>
                <w:b w:val="0"/>
                <w:bCs/>
                <w:color w:val="auto"/>
                <w:sz w:val="24"/>
                <w:szCs w:val="24"/>
                <w:lang w:val="en-US" w:eastAsia="zh-CN"/>
              </w:rPr>
              <w:t>0.0768t</w:t>
            </w:r>
            <w:r>
              <w:rPr>
                <w:rFonts w:hint="default" w:ascii="Times New Roman" w:hAnsi="Times New Roman" w:eastAsia="宋体" w:cs="Times New Roman"/>
                <w:b w:val="0"/>
                <w:bCs/>
                <w:color w:val="auto"/>
                <w:sz w:val="24"/>
                <w:szCs w:val="24"/>
              </w:rPr>
              <w:t>/a，排放速率为</w:t>
            </w:r>
            <w:r>
              <w:rPr>
                <w:rFonts w:hint="eastAsia" w:ascii="Times New Roman" w:hAnsi="Times New Roman" w:eastAsia="宋体" w:cs="Times New Roman"/>
                <w:b w:val="0"/>
                <w:bCs/>
                <w:color w:val="auto"/>
                <w:sz w:val="24"/>
                <w:szCs w:val="24"/>
                <w:lang w:val="en-US" w:eastAsia="zh-CN"/>
              </w:rPr>
              <w:t>0.032</w:t>
            </w:r>
            <w:r>
              <w:rPr>
                <w:rFonts w:hint="default" w:ascii="Times New Roman" w:hAnsi="Times New Roman" w:eastAsia="宋体" w:cs="Times New Roman"/>
                <w:b w:val="0"/>
                <w:bCs/>
                <w:color w:val="auto"/>
                <w:sz w:val="24"/>
                <w:szCs w:val="24"/>
              </w:rPr>
              <w:t>kg/h</w:t>
            </w:r>
            <w:r>
              <w:rPr>
                <w:rFonts w:hint="eastAsia" w:ascii="Times New Roman" w:hAnsi="Times New Roman" w:eastAsia="宋体" w:cs="Times New Roman"/>
                <w:b w:val="0"/>
                <w:bCs/>
                <w:color w:val="auto"/>
                <w:sz w:val="24"/>
                <w:szCs w:val="24"/>
                <w:lang w:eastAsia="zh-CN"/>
              </w:rPr>
              <w:t>（其中</w:t>
            </w:r>
            <w:r>
              <w:rPr>
                <w:rFonts w:hint="eastAsia" w:ascii="Times New Roman" w:hAnsi="Times New Roman" w:eastAsia="宋体" w:cs="宋体"/>
                <w:color w:val="auto"/>
                <w:kern w:val="0"/>
                <w:sz w:val="24"/>
                <w:szCs w:val="24"/>
                <w:lang w:eastAsia="zh-CN"/>
              </w:rPr>
              <w:t>二甲苯</w:t>
            </w:r>
            <w:r>
              <w:rPr>
                <w:rFonts w:hint="default" w:ascii="Times New Roman" w:hAnsi="Times New Roman" w:eastAsia="宋体" w:cs="Times New Roman"/>
                <w:b w:val="0"/>
                <w:bCs/>
                <w:color w:val="auto"/>
                <w:sz w:val="24"/>
                <w:szCs w:val="24"/>
              </w:rPr>
              <w:t>有组织排放量为</w:t>
            </w:r>
            <w:r>
              <w:rPr>
                <w:rFonts w:hint="eastAsia" w:ascii="Times New Roman" w:hAnsi="Times New Roman" w:eastAsia="宋体" w:cs="Times New Roman"/>
                <w:b w:val="0"/>
                <w:bCs/>
                <w:color w:val="auto"/>
                <w:sz w:val="24"/>
                <w:szCs w:val="24"/>
                <w:lang w:val="en-US" w:eastAsia="zh-CN"/>
              </w:rPr>
              <w:t>0.0067</w:t>
            </w:r>
            <w:r>
              <w:rPr>
                <w:rFonts w:hint="default" w:ascii="Times New Roman" w:hAnsi="Times New Roman" w:eastAsia="宋体" w:cs="Times New Roman"/>
                <w:b w:val="0"/>
                <w:bCs/>
                <w:color w:val="auto"/>
                <w:sz w:val="24"/>
                <w:szCs w:val="24"/>
              </w:rPr>
              <w:t>t/a、排放速率为</w:t>
            </w:r>
            <w:r>
              <w:rPr>
                <w:rFonts w:hint="eastAsia" w:ascii="Times New Roman" w:hAnsi="Times New Roman" w:eastAsia="宋体" w:cs="Times New Roman"/>
                <w:b w:val="0"/>
                <w:bCs/>
                <w:color w:val="auto"/>
                <w:sz w:val="24"/>
                <w:szCs w:val="24"/>
                <w:lang w:val="en-US" w:eastAsia="zh-CN"/>
              </w:rPr>
              <w:t>0.0028</w:t>
            </w:r>
            <w:r>
              <w:rPr>
                <w:rFonts w:hint="default" w:ascii="Times New Roman" w:hAnsi="Times New Roman" w:eastAsia="宋体" w:cs="Times New Roman"/>
                <w:b w:val="0"/>
                <w:bCs/>
                <w:color w:val="auto"/>
                <w:sz w:val="24"/>
                <w:szCs w:val="24"/>
              </w:rPr>
              <w:t>kg/h、排放浓度为</w:t>
            </w:r>
            <w:r>
              <w:rPr>
                <w:rFonts w:hint="eastAsia" w:ascii="Times New Roman" w:hAnsi="Times New Roman" w:eastAsia="宋体" w:cs="Times New Roman"/>
                <w:b w:val="0"/>
                <w:bCs/>
                <w:color w:val="auto"/>
                <w:sz w:val="24"/>
                <w:szCs w:val="24"/>
                <w:lang w:val="en-US" w:eastAsia="zh-CN"/>
              </w:rPr>
              <w:t>0.19</w:t>
            </w:r>
            <w:r>
              <w:rPr>
                <w:rFonts w:hint="default" w:ascii="Times New Roman" w:hAnsi="Times New Roman" w:eastAsia="宋体" w:cs="Times New Roman"/>
                <w:b w:val="0"/>
                <w:bCs/>
                <w:color w:val="auto"/>
                <w:sz w:val="24"/>
                <w:szCs w:val="24"/>
              </w:rPr>
              <w:t>mg/m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；无组织排放量为</w:t>
            </w:r>
            <w:r>
              <w:rPr>
                <w:rFonts w:hint="eastAsia" w:ascii="Times New Roman" w:hAnsi="Times New Roman" w:eastAsia="宋体" w:cs="Times New Roman"/>
                <w:b w:val="0"/>
                <w:bCs/>
                <w:color w:val="auto"/>
                <w:sz w:val="24"/>
                <w:szCs w:val="24"/>
                <w:lang w:val="en-US" w:eastAsia="zh-CN"/>
              </w:rPr>
              <w:t>0.0071</w:t>
            </w:r>
            <w:r>
              <w:rPr>
                <w:rFonts w:hint="default" w:ascii="Times New Roman" w:hAnsi="Times New Roman" w:eastAsia="宋体" w:cs="Times New Roman"/>
                <w:b w:val="0"/>
                <w:bCs/>
                <w:color w:val="auto"/>
                <w:sz w:val="24"/>
                <w:szCs w:val="24"/>
              </w:rPr>
              <w:t>t/a，排放速率为</w:t>
            </w:r>
            <w:r>
              <w:rPr>
                <w:rFonts w:hint="eastAsia" w:ascii="Times New Roman" w:hAnsi="Times New Roman" w:eastAsia="宋体" w:cs="Times New Roman"/>
                <w:b w:val="0"/>
                <w:bCs/>
                <w:color w:val="auto"/>
                <w:sz w:val="24"/>
                <w:szCs w:val="24"/>
                <w:lang w:val="en-US" w:eastAsia="zh-CN"/>
              </w:rPr>
              <w:t>0.003</w:t>
            </w:r>
            <w:r>
              <w:rPr>
                <w:rFonts w:hint="default" w:ascii="Times New Roman" w:hAnsi="Times New Roman" w:eastAsia="宋体" w:cs="Times New Roman"/>
                <w:b w:val="0"/>
                <w:bCs/>
                <w:color w:val="auto"/>
                <w:sz w:val="24"/>
                <w:szCs w:val="24"/>
              </w:rPr>
              <w:t>kg/h</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w:t>
            </w:r>
          </w:p>
          <w:p>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3</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危废仓库废气</w:t>
            </w:r>
          </w:p>
          <w:p>
            <w:pPr>
              <w:adjustRightInd w:val="0"/>
              <w:snapToGrid w:val="0"/>
              <w:spacing w:line="360" w:lineRule="auto"/>
              <w:ind w:firstLine="480" w:firstLineChars="200"/>
              <w:rPr>
                <w:rFonts w:hint="eastAsia"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val="0"/>
                <w:bCs/>
                <w:color w:val="auto"/>
                <w:kern w:val="0"/>
                <w:sz w:val="24"/>
                <w:szCs w:val="24"/>
                <w:lang w:val="en-US" w:eastAsia="zh-CN"/>
              </w:rPr>
              <w:t>本项目危险废物主要为废活性炭、漆渣等，存储过程会夹带少量的异味产生。本项目从入库到出库，整个环节都保持原始包装状态，贮存过程不会打开包装容器，故有机废气挥发量很少，按照废包装桶常开不利情况考虑，危废仓库VOCs（以非甲烷总烃计）产生量根据文献资料《环境影响评价实用技术指南》（李爱贞主编、机械工业出版社、2008 年 4 月）中建议的无组织废气排放比例按照物料量的 0.1‰-0.4‰计，本次环评取0.25‰。本项目危废仓库危险废物正常半年周转一次，年最大贮存量约</w:t>
            </w:r>
            <w:r>
              <w:rPr>
                <w:rFonts w:hint="eastAsia" w:cs="Times New Roman"/>
                <w:b w:val="0"/>
                <w:bCs/>
                <w:color w:val="auto"/>
                <w:kern w:val="0"/>
                <w:sz w:val="24"/>
                <w:szCs w:val="24"/>
                <w:lang w:val="en-US" w:eastAsia="zh-CN"/>
              </w:rPr>
              <w:t>4.8</w:t>
            </w:r>
            <w:r>
              <w:rPr>
                <w:rFonts w:hint="eastAsia" w:ascii="Times New Roman" w:hAnsi="Times New Roman" w:eastAsia="宋体" w:cs="Times New Roman"/>
                <w:b w:val="0"/>
                <w:bCs/>
                <w:color w:val="auto"/>
                <w:kern w:val="0"/>
                <w:sz w:val="24"/>
                <w:szCs w:val="24"/>
                <w:lang w:val="en-US" w:eastAsia="zh-CN"/>
              </w:rPr>
              <w:t>t/a，则VOCs产生量0.00</w:t>
            </w:r>
            <w:r>
              <w:rPr>
                <w:rFonts w:hint="eastAsia" w:cs="Times New Roman"/>
                <w:b w:val="0"/>
                <w:bCs/>
                <w:color w:val="auto"/>
                <w:kern w:val="0"/>
                <w:sz w:val="24"/>
                <w:szCs w:val="24"/>
                <w:lang w:val="en-US" w:eastAsia="zh-CN"/>
              </w:rPr>
              <w:t>12</w:t>
            </w:r>
            <w:r>
              <w:rPr>
                <w:rFonts w:hint="eastAsia" w:ascii="Times New Roman" w:hAnsi="Times New Roman" w:eastAsia="宋体" w:cs="Times New Roman"/>
                <w:b w:val="0"/>
                <w:bCs/>
                <w:color w:val="auto"/>
                <w:kern w:val="0"/>
                <w:sz w:val="24"/>
                <w:szCs w:val="24"/>
                <w:lang w:val="en-US" w:eastAsia="zh-CN"/>
              </w:rPr>
              <w:t>t/a，</w:t>
            </w:r>
            <w:r>
              <w:rPr>
                <w:rFonts w:hint="eastAsia" w:ascii="Times New Roman" w:hAnsi="Times New Roman" w:eastAsia="宋体" w:cs="宋体"/>
                <w:color w:val="auto"/>
                <w:sz w:val="24"/>
              </w:rPr>
              <w:t>时间以全年计，即</w:t>
            </w:r>
            <w:r>
              <w:rPr>
                <w:rFonts w:hint="eastAsia" w:ascii="Times New Roman" w:hAnsi="Times New Roman" w:eastAsia="宋体" w:cs="宋体"/>
                <w:color w:val="auto"/>
                <w:sz w:val="24"/>
                <w:lang w:val="en-US" w:eastAsia="zh-CN"/>
              </w:rPr>
              <w:t>8760</w:t>
            </w:r>
            <w:r>
              <w:rPr>
                <w:rFonts w:hint="eastAsia" w:ascii="Times New Roman" w:hAnsi="Times New Roman" w:eastAsia="宋体" w:cs="宋体"/>
                <w:color w:val="auto"/>
                <w:sz w:val="24"/>
              </w:rPr>
              <w:t>h</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则非甲烷总烃产生速率0.000</w:t>
            </w:r>
            <w:r>
              <w:rPr>
                <w:rFonts w:hint="eastAsia" w:cs="宋体"/>
                <w:color w:val="auto"/>
                <w:sz w:val="24"/>
                <w:lang w:val="en-US" w:eastAsia="zh-CN"/>
              </w:rPr>
              <w:t>1</w:t>
            </w:r>
            <w:r>
              <w:rPr>
                <w:rFonts w:hint="eastAsia" w:ascii="Times New Roman" w:hAnsi="Times New Roman" w:eastAsia="宋体" w:cs="宋体"/>
                <w:color w:val="auto"/>
                <w:sz w:val="24"/>
                <w:lang w:val="en-US" w:eastAsia="zh-CN"/>
              </w:rPr>
              <w:t>kg/h，根据《挥发性有机物无组织排放控制标准》（GB37822-2019），不属于“对于重点地区，收集的废气中NMHC初始排放</w:t>
            </w:r>
            <w:r>
              <w:rPr>
                <w:rFonts w:hint="eastAsia" w:cs="宋体"/>
                <w:color w:val="auto"/>
                <w:sz w:val="24"/>
                <w:lang w:val="en-US" w:eastAsia="zh-CN"/>
              </w:rPr>
              <w:t>速率</w:t>
            </w:r>
            <w:r>
              <w:rPr>
                <w:rFonts w:hint="eastAsia" w:ascii="Times New Roman" w:hAnsi="Times New Roman" w:eastAsia="宋体" w:cs="宋体"/>
                <w:color w:val="auto"/>
                <w:sz w:val="24"/>
                <w:lang w:val="en-US" w:eastAsia="zh-CN"/>
              </w:rPr>
              <w:t>≥2kg/h时，应配置VOCs处理设施”，本项目危废仓库废气初始排放</w:t>
            </w:r>
            <w:r>
              <w:rPr>
                <w:rFonts w:hint="eastAsia" w:cs="宋体"/>
                <w:color w:val="auto"/>
                <w:sz w:val="24"/>
                <w:lang w:val="en-US" w:eastAsia="zh-CN"/>
              </w:rPr>
              <w:t>速率</w:t>
            </w:r>
            <w:r>
              <w:rPr>
                <w:rFonts w:hint="eastAsia" w:ascii="Times New Roman" w:hAnsi="Times New Roman" w:eastAsia="宋体" w:cs="宋体"/>
                <w:color w:val="auto"/>
                <w:sz w:val="24"/>
                <w:lang w:val="en-US" w:eastAsia="zh-CN"/>
              </w:rPr>
              <w:t>小于2kg/h，根据 2025年9月15日部长信箱的回复“如果易挥发VOCs危险废物经包装后满足《挥发性有机物无组织排放控制标准》(GB37822-2019)污染控制和无组织排放限值要求，可以不设置气体收集装置和废气治理设施。”本项目危险废物贮存库易挥发的危险废物均密闭承装，可满足《挥发性有机物无组织排放控制标准》(GB37822-2019)污染控制和无组织排放限值要求，故未设置集气装置满足要求</w:t>
            </w:r>
            <w:r>
              <w:rPr>
                <w:rFonts w:hint="eastAsia" w:ascii="Times New Roman" w:hAnsi="Times New Roman" w:eastAsia="宋体" w:cs="Times New Roman"/>
                <w:b w:val="0"/>
                <w:bCs/>
                <w:color w:val="auto"/>
                <w:kern w:val="0"/>
                <w:sz w:val="24"/>
                <w:szCs w:val="24"/>
                <w:lang w:val="en-US" w:eastAsia="zh-CN"/>
              </w:rPr>
              <w:t>。</w:t>
            </w:r>
          </w:p>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（2）有组织废气治理措施达标可行性分析</w:t>
            </w:r>
          </w:p>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A.废气处理流程</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项目废气为</w:t>
            </w:r>
            <w:r>
              <w:rPr>
                <w:rFonts w:hint="eastAsia"/>
                <w:color w:val="auto"/>
                <w:sz w:val="24"/>
                <w:lang w:val="en-US" w:eastAsia="zh-CN"/>
              </w:rPr>
              <w:t>机加工废气、</w:t>
            </w:r>
            <w:r>
              <w:rPr>
                <w:rFonts w:hint="eastAsia" w:ascii="Times New Roman" w:hAnsi="Times New Roman" w:eastAsia="宋体"/>
                <w:color w:val="auto"/>
                <w:sz w:val="24"/>
                <w:lang w:val="en-US" w:eastAsia="zh-CN"/>
              </w:rPr>
              <w:t>喷漆晾干</w:t>
            </w:r>
            <w:r>
              <w:rPr>
                <w:rFonts w:hint="eastAsia" w:ascii="Times New Roman" w:hAnsi="Times New Roman" w:eastAsia="宋体"/>
                <w:color w:val="auto"/>
                <w:sz w:val="24"/>
              </w:rPr>
              <w:t>废气、危废仓库废气，项目废气处理工艺流程见下图4-1。</w:t>
            </w:r>
          </w:p>
          <w:p>
            <w:pPr>
              <w:adjustRightInd w:val="0"/>
              <w:snapToGrid w:val="0"/>
              <w:spacing w:line="360" w:lineRule="auto"/>
              <w:rPr>
                <w:rFonts w:ascii="Times New Roman" w:hAnsi="Times New Roman" w:eastAsia="宋体"/>
                <w:color w:val="auto"/>
                <w:szCs w:val="21"/>
              </w:rPr>
            </w:pPr>
            <w:r>
              <w:rPr>
                <w:rFonts w:ascii="Times New Roman" w:hAnsi="Times New Roman" w:eastAsia="宋体"/>
                <w:color w:val="auto"/>
                <w:szCs w:val="21"/>
              </w:rPr>
              <mc:AlternateContent>
                <mc:Choice Requires="wpc">
                  <w:drawing>
                    <wp:inline distT="0" distB="0" distL="114300" distR="114300">
                      <wp:extent cx="5114925" cy="2648585"/>
                      <wp:effectExtent l="0" t="0" r="0" b="0"/>
                      <wp:docPr id="131" name="画布 177"/>
                      <wp:cNvGraphicFramePr/>
                      <a:graphic xmlns:a="http://schemas.openxmlformats.org/drawingml/2006/main">
                        <a:graphicData uri="http://schemas.microsoft.com/office/word/2010/wordprocessingCanvas">
                          <wpc:wpc>
                            <wpc:bg>
                              <a:noFill/>
                            </wpc:bg>
                            <wpc:whole>
                              <a:ln>
                                <a:noFill/>
                              </a:ln>
                            </wpc:whole>
                            <wps:wsp>
                              <wps:cNvPr id="112" name="文本框 2205"/>
                              <wps:cNvSpPr txBox="1"/>
                              <wps:spPr>
                                <a:xfrm>
                                  <a:off x="3782695" y="337185"/>
                                  <a:ext cx="1315085" cy="253365"/>
                                </a:xfrm>
                                <a:prstGeom prst="rect">
                                  <a:avLst/>
                                </a:prstGeom>
                                <a:noFill/>
                                <a:ln>
                                  <a:noFill/>
                                </a:ln>
                              </wps:spPr>
                              <wps:txbx>
                                <w:txbxContent>
                                  <w:p>
                                    <w:pPr>
                                      <w:jc w:val="center"/>
                                      <w:rPr>
                                        <w:sz w:val="18"/>
                                        <w:szCs w:val="18"/>
                                      </w:rPr>
                                    </w:pPr>
                                    <w:r>
                                      <w:rPr>
                                        <w:rFonts w:hint="eastAsia"/>
                                        <w:sz w:val="18"/>
                                        <w:szCs w:val="18"/>
                                      </w:rPr>
                                      <w:t>15</w:t>
                                    </w:r>
                                    <w:r>
                                      <w:rPr>
                                        <w:sz w:val="18"/>
                                        <w:szCs w:val="18"/>
                                      </w:rPr>
                                      <w:t>m排气筒DA00</w:t>
                                    </w:r>
                                    <w:r>
                                      <w:rPr>
                                        <w:rFonts w:hint="eastAsia"/>
                                        <w:sz w:val="18"/>
                                        <w:szCs w:val="18"/>
                                      </w:rPr>
                                      <w:t>1</w:t>
                                    </w:r>
                                  </w:p>
                                </w:txbxContent>
                              </wps:txbx>
                              <wps:bodyPr wrap="square" upright="1"/>
                            </wps:wsp>
                            <wps:wsp>
                              <wps:cNvPr id="113" name="自选图形 3425"/>
                              <wps:cNvSpPr/>
                              <wps:spPr>
                                <a:xfrm>
                                  <a:off x="1496060" y="289560"/>
                                  <a:ext cx="600075" cy="403225"/>
                                </a:xfrm>
                                <a:prstGeom prst="flowChartTerminator">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ascii="宋体" w:hAnsi="宋体" w:eastAsia="宋体"/>
                                        <w:sz w:val="18"/>
                                        <w:szCs w:val="18"/>
                                        <w:lang w:val="en-US" w:eastAsia="zh-CN"/>
                                      </w:rPr>
                                    </w:pPr>
                                    <w:r>
                                      <w:rPr>
                                        <w:rFonts w:hint="eastAsia" w:ascii="宋体" w:hAnsi="宋体"/>
                                        <w:sz w:val="18"/>
                                        <w:szCs w:val="18"/>
                                        <w:lang w:val="en-US" w:eastAsia="zh-CN"/>
                                      </w:rPr>
                                      <w:t>密闭微负压</w:t>
                                    </w:r>
                                  </w:p>
                                </w:txbxContent>
                              </wps:txbx>
                              <wps:bodyPr wrap="square" lIns="0" tIns="0" rIns="0" bIns="0" upright="1"/>
                            </wps:wsp>
                            <wps:wsp>
                              <wps:cNvPr id="114" name="直线 2204"/>
                              <wps:cNvCnPr/>
                              <wps:spPr>
                                <a:xfrm flipV="1">
                                  <a:off x="3532505" y="483235"/>
                                  <a:ext cx="278765" cy="0"/>
                                </a:xfrm>
                                <a:prstGeom prst="line">
                                  <a:avLst/>
                                </a:prstGeom>
                                <a:ln w="9525" cap="flat" cmpd="sng">
                                  <a:solidFill>
                                    <a:srgbClr val="000000"/>
                                  </a:solidFill>
                                  <a:prstDash val="solid"/>
                                  <a:headEnd type="none" w="med" len="med"/>
                                  <a:tailEnd type="triangle" w="med" len="med"/>
                                </a:ln>
                              </wps:spPr>
                              <wps:bodyPr/>
                            </wps:wsp>
                            <wps:wsp>
                              <wps:cNvPr id="115" name="文本框 2203"/>
                              <wps:cNvSpPr txBox="1"/>
                              <wps:spPr>
                                <a:xfrm>
                                  <a:off x="2436495" y="257810"/>
                                  <a:ext cx="1061720" cy="426085"/>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sz w:val="18"/>
                                        <w:szCs w:val="18"/>
                                      </w:rPr>
                                    </w:pPr>
                                    <w:bookmarkStart w:id="30" w:name="OLE_LINK11"/>
                                    <w:r>
                                      <w:rPr>
                                        <w:rFonts w:hint="eastAsia"/>
                                        <w:sz w:val="18"/>
                                        <w:szCs w:val="18"/>
                                        <w:lang w:val="en-US" w:eastAsia="zh-CN"/>
                                      </w:rPr>
                                      <w:t>多级过滤器</w:t>
                                    </w:r>
                                    <w:bookmarkEnd w:id="30"/>
                                    <w:r>
                                      <w:rPr>
                                        <w:rFonts w:hint="eastAsia"/>
                                        <w:sz w:val="18"/>
                                        <w:szCs w:val="18"/>
                                        <w:lang w:val="en-US" w:eastAsia="zh-CN"/>
                                      </w:rPr>
                                      <w:t>+三</w:t>
                                    </w:r>
                                    <w:r>
                                      <w:rPr>
                                        <w:rFonts w:hint="eastAsia"/>
                                        <w:sz w:val="18"/>
                                        <w:szCs w:val="18"/>
                                      </w:rPr>
                                      <w:t>级活性炭吸附装置</w:t>
                                    </w:r>
                                  </w:p>
                                  <w:p/>
                                </w:txbxContent>
                              </wps:txbx>
                              <wps:bodyPr wrap="square" upright="1"/>
                            </wps:wsp>
                            <wps:wsp>
                              <wps:cNvPr id="116" name="直线 2204"/>
                              <wps:cNvCnPr/>
                              <wps:spPr>
                                <a:xfrm>
                                  <a:off x="2088515" y="471805"/>
                                  <a:ext cx="336550" cy="5080"/>
                                </a:xfrm>
                                <a:prstGeom prst="line">
                                  <a:avLst/>
                                </a:prstGeom>
                                <a:ln w="9525" cap="flat" cmpd="sng">
                                  <a:solidFill>
                                    <a:srgbClr val="000000"/>
                                  </a:solidFill>
                                  <a:prstDash val="solid"/>
                                  <a:headEnd type="none" w="med" len="med"/>
                                  <a:tailEnd type="triangle" w="med" len="med"/>
                                </a:ln>
                              </wps:spPr>
                              <wps:bodyPr/>
                            </wps:wsp>
                            <wps:wsp>
                              <wps:cNvPr id="117" name="文本框 2201"/>
                              <wps:cNvSpPr txBox="1"/>
                              <wps:spPr>
                                <a:xfrm>
                                  <a:off x="170180" y="486410"/>
                                  <a:ext cx="1333500" cy="254000"/>
                                </a:xfrm>
                                <a:prstGeom prst="rect">
                                  <a:avLst/>
                                </a:prstGeom>
                                <a:noFill/>
                                <a:ln>
                                  <a:noFill/>
                                </a:ln>
                              </wps:spPr>
                              <wps:txbx>
                                <w:txbxContent>
                                  <w:p>
                                    <w:pPr>
                                      <w:jc w:val="center"/>
                                      <w:rPr>
                                        <w:sz w:val="18"/>
                                        <w:szCs w:val="18"/>
                                      </w:rPr>
                                    </w:pPr>
                                    <w:r>
                                      <w:rPr>
                                        <w:rFonts w:hint="eastAsia"/>
                                        <w:sz w:val="18"/>
                                        <w:szCs w:val="18"/>
                                        <w:lang w:val="en-US" w:eastAsia="zh-CN"/>
                                      </w:rPr>
                                      <w:t>喷漆晾干</w:t>
                                    </w:r>
                                    <w:r>
                                      <w:rPr>
                                        <w:rFonts w:hint="eastAsia"/>
                                        <w:sz w:val="18"/>
                                        <w:szCs w:val="18"/>
                                      </w:rPr>
                                      <w:t>废气</w:t>
                                    </w:r>
                                  </w:p>
                                </w:txbxContent>
                              </wps:txbx>
                              <wps:bodyPr wrap="square" upright="1"/>
                            </wps:wsp>
                            <wps:wsp>
                              <wps:cNvPr id="118" name="文本框 2202"/>
                              <wps:cNvSpPr txBox="1"/>
                              <wps:spPr>
                                <a:xfrm>
                                  <a:off x="201930" y="78740"/>
                                  <a:ext cx="1263650" cy="391795"/>
                                </a:xfrm>
                                <a:prstGeom prst="rect">
                                  <a:avLst/>
                                </a:prstGeom>
                                <a:noFill/>
                                <a:ln>
                                  <a:noFill/>
                                </a:ln>
                              </wps:spPr>
                              <wps:txbx>
                                <w:txbxContent>
                                  <w:p>
                                    <w:pPr>
                                      <w:jc w:val="center"/>
                                      <w:rPr>
                                        <w:rFonts w:hint="default" w:ascii="宋体" w:hAnsi="宋体" w:eastAsia="宋体"/>
                                        <w:sz w:val="18"/>
                                        <w:szCs w:val="18"/>
                                        <w:lang w:val="en-US" w:eastAsia="zh-CN"/>
                                      </w:rPr>
                                    </w:pPr>
                                    <w:r>
                                      <w:rPr>
                                        <w:rFonts w:hint="eastAsia" w:ascii="宋体" w:hAnsi="宋体"/>
                                        <w:sz w:val="18"/>
                                        <w:szCs w:val="18"/>
                                      </w:rPr>
                                      <w:t>非甲烷总烃</w:t>
                                    </w:r>
                                    <w:r>
                                      <w:rPr>
                                        <w:rFonts w:hint="eastAsia" w:ascii="宋体" w:hAnsi="宋体"/>
                                        <w:sz w:val="18"/>
                                        <w:szCs w:val="18"/>
                                        <w:lang w:eastAsia="zh-CN"/>
                                      </w:rPr>
                                      <w:t>、</w:t>
                                    </w:r>
                                    <w:r>
                                      <w:rPr>
                                        <w:rFonts w:hint="eastAsia" w:ascii="宋体" w:hAnsi="宋体"/>
                                        <w:sz w:val="18"/>
                                        <w:szCs w:val="18"/>
                                        <w:lang w:val="en-US" w:eastAsia="zh-CN"/>
                                      </w:rPr>
                                      <w:t>甲苯、二甲苯、颗粒物等</w:t>
                                    </w:r>
                                  </w:p>
                                </w:txbxContent>
                              </wps:txbx>
                              <wps:bodyPr wrap="square" upright="1"/>
                            </wps:wsp>
                            <wps:wsp>
                              <wps:cNvPr id="120" name="文本框 187"/>
                              <wps:cNvSpPr txBox="1"/>
                              <wps:spPr>
                                <a:xfrm>
                                  <a:off x="1452880" y="2277110"/>
                                  <a:ext cx="2184400" cy="314325"/>
                                </a:xfrm>
                                <a:prstGeom prst="rect">
                                  <a:avLst/>
                                </a:prstGeom>
                                <a:solidFill>
                                  <a:srgbClr val="FFFFFF"/>
                                </a:solidFill>
                                <a:ln>
                                  <a:noFill/>
                                </a:ln>
                              </wps:spPr>
                              <wps:txbx>
                                <w:txbxContent>
                                  <w:p>
                                    <w:pPr>
                                      <w:jc w:val="center"/>
                                      <w:rPr>
                                        <w:b/>
                                        <w:bCs/>
                                        <w:sz w:val="24"/>
                                      </w:rPr>
                                    </w:pPr>
                                    <w:r>
                                      <w:rPr>
                                        <w:b/>
                                        <w:bCs/>
                                        <w:sz w:val="24"/>
                                      </w:rPr>
                                      <w:t>图</w:t>
                                    </w:r>
                                    <w:r>
                                      <w:rPr>
                                        <w:rFonts w:hint="eastAsia"/>
                                        <w:b/>
                                        <w:bCs/>
                                        <w:sz w:val="24"/>
                                      </w:rPr>
                                      <w:t>4</w:t>
                                    </w:r>
                                    <w:r>
                                      <w:rPr>
                                        <w:b/>
                                        <w:bCs/>
                                        <w:sz w:val="24"/>
                                      </w:rPr>
                                      <w:t>-</w:t>
                                    </w:r>
                                    <w:r>
                                      <w:rPr>
                                        <w:rFonts w:hint="eastAsia"/>
                                        <w:b/>
                                        <w:bCs/>
                                        <w:sz w:val="24"/>
                                      </w:rPr>
                                      <w:t xml:space="preserve">1 </w:t>
                                    </w:r>
                                    <w:r>
                                      <w:rPr>
                                        <w:b/>
                                        <w:bCs/>
                                        <w:sz w:val="24"/>
                                      </w:rPr>
                                      <w:t xml:space="preserve"> </w:t>
                                    </w:r>
                                    <w:r>
                                      <w:rPr>
                                        <w:rFonts w:hint="eastAsia"/>
                                        <w:b/>
                                        <w:bCs/>
                                        <w:sz w:val="24"/>
                                      </w:rPr>
                                      <w:t>项目</w:t>
                                    </w:r>
                                    <w:r>
                                      <w:rPr>
                                        <w:b/>
                                        <w:bCs/>
                                        <w:sz w:val="24"/>
                                      </w:rPr>
                                      <w:t>废气处理流程图</w:t>
                                    </w:r>
                                  </w:p>
                                </w:txbxContent>
                              </wps:txbx>
                              <wps:bodyPr wrap="square" upright="1"/>
                            </wps:wsp>
                            <wps:wsp>
                              <wps:cNvPr id="121" name="直线 4172"/>
                              <wps:cNvCnPr/>
                              <wps:spPr>
                                <a:xfrm>
                                  <a:off x="97155" y="1217930"/>
                                  <a:ext cx="1393825" cy="635"/>
                                </a:xfrm>
                                <a:prstGeom prst="line">
                                  <a:avLst/>
                                </a:prstGeom>
                                <a:ln w="9525" cap="flat" cmpd="sng">
                                  <a:solidFill>
                                    <a:srgbClr val="000000"/>
                                  </a:solidFill>
                                  <a:prstDash val="solid"/>
                                  <a:headEnd type="none" w="med" len="med"/>
                                  <a:tailEnd type="triangle" w="med" len="med"/>
                                </a:ln>
                              </wps:spPr>
                              <wps:bodyPr/>
                            </wps:wsp>
                            <wps:wsp>
                              <wps:cNvPr id="124" name="文本框 4174"/>
                              <wps:cNvSpPr txBox="1"/>
                              <wps:spPr>
                                <a:xfrm>
                                  <a:off x="119380" y="1230630"/>
                                  <a:ext cx="1328420" cy="254635"/>
                                </a:xfrm>
                                <a:prstGeom prst="rect">
                                  <a:avLst/>
                                </a:prstGeom>
                                <a:noFill/>
                                <a:ln>
                                  <a:noFill/>
                                </a:ln>
                              </wps:spPr>
                              <wps:txbx>
                                <w:txbxContent>
                                  <w:p>
                                    <w:pPr>
                                      <w:adjustRightInd w:val="0"/>
                                      <w:snapToGrid w:val="0"/>
                                      <w:jc w:val="center"/>
                                      <w:rPr>
                                        <w:sz w:val="18"/>
                                        <w:szCs w:val="18"/>
                                      </w:rPr>
                                    </w:pPr>
                                    <w:r>
                                      <w:rPr>
                                        <w:rFonts w:hint="eastAsia"/>
                                        <w:sz w:val="18"/>
                                        <w:szCs w:val="18"/>
                                      </w:rPr>
                                      <w:t>危废仓库废气</w:t>
                                    </w:r>
                                  </w:p>
                                </w:txbxContent>
                              </wps:txbx>
                              <wps:bodyPr wrap="square" upright="1"/>
                            </wps:wsp>
                            <wps:wsp>
                              <wps:cNvPr id="129" name="直线 2204"/>
                              <wps:cNvCnPr/>
                              <wps:spPr>
                                <a:xfrm flipV="1">
                                  <a:off x="209550" y="480695"/>
                                  <a:ext cx="1283335" cy="635"/>
                                </a:xfrm>
                                <a:prstGeom prst="line">
                                  <a:avLst/>
                                </a:prstGeom>
                                <a:ln w="9525" cap="flat" cmpd="sng">
                                  <a:solidFill>
                                    <a:srgbClr val="000000"/>
                                  </a:solidFill>
                                  <a:prstDash val="solid"/>
                                  <a:headEnd type="none" w="med" len="med"/>
                                  <a:tailEnd type="triangle" w="med" len="med"/>
                                </a:ln>
                              </wps:spPr>
                              <wps:bodyPr/>
                            </wps:wsp>
                            <wps:wsp>
                              <wps:cNvPr id="130" name="文本框 2202"/>
                              <wps:cNvSpPr txBox="1"/>
                              <wps:spPr>
                                <a:xfrm>
                                  <a:off x="139700" y="945515"/>
                                  <a:ext cx="1227455" cy="269875"/>
                                </a:xfrm>
                                <a:prstGeom prst="rect">
                                  <a:avLst/>
                                </a:prstGeom>
                                <a:noFill/>
                                <a:ln>
                                  <a:noFill/>
                                </a:ln>
                              </wps:spPr>
                              <wps:txbx>
                                <w:txbxContent>
                                  <w:p>
                                    <w:pPr>
                                      <w:jc w:val="center"/>
                                      <w:rPr>
                                        <w:rFonts w:hint="eastAsia" w:ascii="宋体" w:hAnsi="宋体"/>
                                        <w:sz w:val="18"/>
                                        <w:szCs w:val="18"/>
                                      </w:rPr>
                                    </w:pPr>
                                    <w:r>
                                      <w:rPr>
                                        <w:rFonts w:hint="eastAsia" w:ascii="宋体" w:hAnsi="宋体"/>
                                        <w:sz w:val="18"/>
                                        <w:szCs w:val="18"/>
                                      </w:rPr>
                                      <w:t>非甲烷总烃</w:t>
                                    </w:r>
                                  </w:p>
                                </w:txbxContent>
                              </wps:txbx>
                              <wps:bodyPr wrap="square" upright="1"/>
                            </wps:wsp>
                            <wps:wsp>
                              <wps:cNvPr id="60" name="文本框 2205"/>
                              <wps:cNvSpPr txBox="1"/>
                              <wps:spPr>
                                <a:xfrm>
                                  <a:off x="1529715" y="1072515"/>
                                  <a:ext cx="821690" cy="253365"/>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无组织排放</w:t>
                                    </w:r>
                                  </w:p>
                                </w:txbxContent>
                              </wps:txbx>
                              <wps:bodyPr wrap="square" upright="1"/>
                            </wps:wsp>
                            <wps:wsp>
                              <wps:cNvPr id="6" name="文本框 2202"/>
                              <wps:cNvSpPr txBox="1"/>
                              <wps:spPr>
                                <a:xfrm>
                                  <a:off x="143510" y="1689100"/>
                                  <a:ext cx="1227455" cy="269875"/>
                                </a:xfrm>
                                <a:prstGeom prst="rect">
                                  <a:avLst/>
                                </a:prstGeom>
                                <a:noFill/>
                                <a:ln>
                                  <a:noFill/>
                                </a:ln>
                              </wps:spPr>
                              <wps:txbx>
                                <w:txbxContent>
                                  <w:p>
                                    <w:pPr>
                                      <w:jc w:val="center"/>
                                      <w:rPr>
                                        <w:rFonts w:hint="eastAsia" w:ascii="宋体" w:hAnsi="宋体"/>
                                        <w:sz w:val="18"/>
                                        <w:szCs w:val="18"/>
                                      </w:rPr>
                                    </w:pPr>
                                    <w:r>
                                      <w:rPr>
                                        <w:rFonts w:hint="eastAsia" w:ascii="宋体" w:hAnsi="宋体"/>
                                        <w:sz w:val="18"/>
                                        <w:szCs w:val="18"/>
                                      </w:rPr>
                                      <w:t>非甲烷总烃</w:t>
                                    </w:r>
                                  </w:p>
                                </w:txbxContent>
                              </wps:txbx>
                              <wps:bodyPr wrap="square" upright="1"/>
                            </wps:wsp>
                            <wps:wsp>
                              <wps:cNvPr id="7" name="文本框 4174"/>
                              <wps:cNvSpPr txBox="1"/>
                              <wps:spPr>
                                <a:xfrm>
                                  <a:off x="85725" y="1936115"/>
                                  <a:ext cx="1328420" cy="254635"/>
                                </a:xfrm>
                                <a:prstGeom prst="rect">
                                  <a:avLst/>
                                </a:prstGeom>
                                <a:noFill/>
                                <a:ln>
                                  <a:noFill/>
                                </a:ln>
                              </wps:spPr>
                              <wps:txbx>
                                <w:txbxContent>
                                  <w:p>
                                    <w:pPr>
                                      <w:adjustRightInd w:val="0"/>
                                      <w:snapToGrid w:val="0"/>
                                      <w:jc w:val="center"/>
                                      <w:rPr>
                                        <w:rFonts w:hint="default" w:eastAsia="宋体"/>
                                        <w:sz w:val="18"/>
                                        <w:szCs w:val="18"/>
                                        <w:lang w:val="en-US" w:eastAsia="zh-CN"/>
                                      </w:rPr>
                                    </w:pPr>
                                    <w:r>
                                      <w:rPr>
                                        <w:rFonts w:hint="eastAsia"/>
                                        <w:sz w:val="18"/>
                                        <w:szCs w:val="18"/>
                                        <w:lang w:val="en-US" w:eastAsia="zh-CN"/>
                                      </w:rPr>
                                      <w:t>机加工废气</w:t>
                                    </w:r>
                                  </w:p>
                                </w:txbxContent>
                              </wps:txbx>
                              <wps:bodyPr wrap="square" upright="1"/>
                            </wps:wsp>
                            <wps:wsp>
                              <wps:cNvPr id="8" name="直线 4172"/>
                              <wps:cNvCnPr/>
                              <wps:spPr>
                                <a:xfrm>
                                  <a:off x="49530" y="1950720"/>
                                  <a:ext cx="1393825" cy="635"/>
                                </a:xfrm>
                                <a:prstGeom prst="line">
                                  <a:avLst/>
                                </a:prstGeom>
                                <a:ln w="9525" cap="flat" cmpd="sng">
                                  <a:solidFill>
                                    <a:srgbClr val="000000"/>
                                  </a:solidFill>
                                  <a:prstDash val="solid"/>
                                  <a:headEnd type="none" w="med" len="med"/>
                                  <a:tailEnd type="triangle" w="med" len="med"/>
                                </a:ln>
                              </wps:spPr>
                              <wps:bodyPr/>
                            </wps:wsp>
                            <wps:wsp>
                              <wps:cNvPr id="9" name="文本框 2205"/>
                              <wps:cNvSpPr txBox="1"/>
                              <wps:spPr>
                                <a:xfrm>
                                  <a:off x="1442085" y="1819910"/>
                                  <a:ext cx="821690" cy="253365"/>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无组织排放</w:t>
                                    </w:r>
                                  </w:p>
                                </w:txbxContent>
                              </wps:txbx>
                              <wps:bodyPr wrap="square" upright="1"/>
                            </wps:wsp>
                          </wpc:wpc>
                        </a:graphicData>
                      </a:graphic>
                    </wp:inline>
                  </w:drawing>
                </mc:Choice>
                <mc:Fallback>
                  <w:pict>
                    <v:group id="画布 177" o:spid="_x0000_s1026" o:spt="203" style="height:208.55pt;width:402.75pt;" coordsize="5114925,2648585" editas="canvas" o:gfxdata="UEsFBgAAAAAAAAAAAAAAAAAAAAAAAFBLAwQKAAAAAACHTuJAAAAAAAAAAAAAAAAABAAAAGRycy9Q&#10;SwMEFAAAAAgAh07iQNwYOqjXAAAABQEAAA8AAABkcnMvZG93bnJldi54bWxNj0FLw0AQhe9C/8My&#10;BS9idyO2lphJDwWxiFBMa8/b7JgEs7NpdpvUf+/qRS8Dj/d475tsdbGtGKj3jWOEZKZAEJfONFwh&#10;7HdPt0sQPmg2unVMCF/kYZVPrjKdGjfyGw1FqEQsYZ9qhDqELpXSlzVZ7WeuI47eh+utDlH2lTS9&#10;HmO5beWdUgtpdcNxodYdrWsqP4uzRRjL7XDYvT7L7c1h4/i0Oa2L9xfE62miHkEEuoS/MPzgR3TI&#10;I9PRndl40SLER8Lvjd5Szecgjgj3yUMCMs/kf/r8G1BLAwQUAAAACACHTuJAWK1H/qYFAAAKIgAA&#10;DgAAAGRycy9lMm9Eb2MueG1s7VrLbuREFN0j8Q+W96RdVX620hmJZDJCQjDSDOwrbtttyS+qnHRn&#10;h4TEaPaIzbCBJWLJAoGAr0kCf8G95ap+N0l3pGRgOouO7S6Xq+6595xT5T58MikL6yIRMq+rgU0O&#10;HNtKqrge5lU2sD97efpBaFuy5dWQF3WVDOzLRNpPjt5/73Dc9BNaj+pimAgLOqlkf9wM7FHbNv1e&#10;T8ajpOTyoG6SCr5Ma1HyFk5F1hsKPobey6JHHcfvjWsxbEQdJ1LC1ZPuS1v3KO7SYZ2meZyc1PF5&#10;mVRt16tICt7ClOQob6R9pEabpkncfpqmMmmtYmDDTFv1CQ+B4zP87B0d8n4meDPKYz0EfpchLM2p&#10;5HkFD512dcJbbp2LfKWrMo9FLeu0PYjrstdNREUEZkGcpdg8E/V5o+aS9cdZMw06ALUU9Z27jT+5&#10;eC6sfAiZwIhtVbwEyG+++e3ql68sEgQYn3GT9aHZM9G8aJ4LfSHrznDKk1SU+B8mY01UZC+nkU0m&#10;rRXDRY8QN6KebcXwHfXd0Au9LvbxCABauS8ePb3lzp55cA/HNx3OuIGslLNQyfuF6sWIN4lCQGIM&#10;TKgINaG6/vbV9Xc/XX//tUWpo6aEI4CmGCurnXxYw+xJF0bZl3BxTchYEFI/guhAcBgLiImNiR5A&#10;4zlwsYuex5ivnjQNAe83QrbPkrq08GBgC8h7lY784mPZAmTQ1DTB51f1aV4UKveLauECNMQrEFQz&#10;WjxqJ2cTBbzsn9XDS5jZGEpmYMsvzrlIbOu8EXk2ggermaqbAQRMnQdBgxk0/nr1499fvr5688fV&#10;7z9YzIWE06PWgOizDTBAivqOD8yAORpGHhyqEBkYfMdxAo2C6zDadb8ZhbSox8cjLtqXiSjzire1&#10;+DdQZF3kQ8QFAZEiOzsuhHXBgbhO1R8OBh620KyorPHAjjxVWohICiwIeVI2UNGyytTzFu5Y6Bgm&#10;BH/rOsZsOeFy1A1A9dAFo8zbRKiwjBI+fFoNrfayAc6oQCxsHEyZDG2rSEBb8Ei1bHlezFq2IudV&#10;VmxovVsCFh9VUOlI8OZAmIMzc/DISeqaJL158/PNr38iX7gYHs0Xx5XmVlN3Hb9ZaZE3n2NhYVZo&#10;imUeox6wDSaqGzLKNJeaRKVBGABFKLow6BqWNjSgmaLIATbsegNTPHyCPWRadWSGdaWZ6sEoC9Dp&#10;tHZBQNhcQmwjINRlvqsFhHpBSJaYizg+CSiUB8qvS30UE5y10dCZOtxRQDZTyp6r3nKx9E3mbcVD&#10;c+xDnTD0iGYfMCud7eF9wz5oTzyda2Bb9gSkVHC9rj0eAQUmDRYIaOpUt3SwJHAgEbQg+e4K/zDG&#10;PDAa2sC6M9OxQZbeMQMLS+41akB3VQOHRKwDA4yAu6wF1IcC1ViwiASgG/fSgv/XYgJVchkLEuqF&#10;8NYrO+J6NNSFQWkQkOXKoCR0oRy6ymDEBWN3PzR2U2ak9ymO66nq7ZY1Otu86Oy1C4Znrn422Os5&#10;WYsC4nWiRigUBRQQVMVM1QiLWKiWWWCh/M5xb/ZPe1utVjMPbavpdJE1UzVIhPl11ja2mgCP6uIl&#10;lDn+ak7Q0DW2mnrurWnxbskajQyVbmU11y55qRMpU6lWvA5uli1WJw3RYnQ0eisM++p8lOpET7Is&#10;rbALMk/TW1UniwJUTkiJyPVwRbKUEjSAy9pz+lEIW3d7n2O2sHGbcw0WKkR6R2orLDyK+qnAIE5A&#10;V9AIKfEjbXPofgdbh1i/T5guyWeqdZ+6cJkHNhPrgvhhRLoN3jknA0Z0XxhVtv7dzpp18T0cROhB&#10;LXRQRMwnKxzF9gYCXwKvh2K6Ktb2YWtLD1uieh1MIg9YaW/p1auaXV7APNZG1dRCLlDjzjLlgl3H&#10;F6nIjSGJgBwXTcN/VaZgoaV+IqD29PXPGfA3CPPn6i3H7Ccc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FgAAAGRycy9QSwECFAAUAAAA&#10;CACHTuJA3Bg6qNcAAAAFAQAADwAAAAAAAAABACAAAAA4AAAAZHJzL2Rvd25yZXYueG1sUEsBAhQA&#10;FAAAAAgAh07iQFitR/6mBQAACiIAAA4AAAAAAAAAAQAgAAAAPAEAAGRycy9lMm9Eb2MueG1sUEsF&#10;BgAAAAAGAAYAWQEAAFQJAAAAAA==&#10;">
                      <o:lock v:ext="edit" aspectratio="f"/>
                      <v:shape id="画布 177" o:spid="_x0000_s1026" style="position:absolute;left:0;top:0;height:2648585;width:5114925;" filled="f" stroked="f" coordsize="21600,21600" o:gfxdata="UEsFBgAAAAAAAAAAAAAAAAAAAAAAAFBLAwQKAAAAAACHTuJAAAAAAAAAAAAAAAAABAAAAGRycy9Q&#10;SwMEFAAAAAgAh07iQNwYOqjXAAAABQEAAA8AAABkcnMvZG93bnJldi54bWxNj0FLw0AQhe9C/8My&#10;BS9idyO2lphJDwWxiFBMa8/b7JgEs7NpdpvUf+/qRS8Dj/d475tsdbGtGKj3jWOEZKZAEJfONFwh&#10;7HdPt0sQPmg2unVMCF/kYZVPrjKdGjfyGw1FqEQsYZ9qhDqELpXSlzVZ7WeuI47eh+utDlH2lTS9&#10;HmO5beWdUgtpdcNxodYdrWsqP4uzRRjL7XDYvT7L7c1h4/i0Oa2L9xfE62miHkEEuoS/MPzgR3TI&#10;I9PRndl40SLER8Lvjd5Szecgjgj3yUMCMs/kf/r8G1BLAwQUAAAACACHTuJAyPZlF1oFAACDIQAA&#10;DgAAAGRycy9lMm9Eb2MueG1s7VrNjiM1EL4j8Q6tvjNp2/0bTWYlZhiEhGClWbg73e6kpf7D7plk&#10;bpxY7QtwWS5wRBw5IQFPs7PwFlS53fmbZHeSoMzCJofE6Xaq7fqqvvps5/TJtMitGyFVVpUDm5w4&#10;tiXKuEqycjSwv3p2+VFoW6rhZcLzqhQD+1Yo+8nZhx+cTuq+oNW4yhMhLTBSqv6kHtjjpqn7vZ6K&#10;x6Lg6qSqRQk300oWvIGvctRLJJ+A9SLvUcfxe5NKJrWsYqEUXL1ob9rGonyIwSpNs1hcVPF1Icqm&#10;tSpFzhuYkhpntbLP9GjTVMTNl2mqRGPlAxtm2uh3eAi0h/jeOzvl/ZHk9TiLzRD4Q4awMqeCZyU8&#10;dGbqgjfcupbZPVNFFstKVWlzEldFr52I9gjMgjgrvjnn5Q1vJxODr7sBQutftDsc4bjL6jLLc/BG&#10;D6z38Rp+TgBtgbfzcrlTe0X3NX0mNYSDqmeBofYb4tWY10LDqPrxFzdPpZUlEK2E2lbJCwjLu++f&#10;3/3wy92P31mUOh7iiCOArlc1dG6mH1dT6N9dV3ARZzBNZYGf4HgL7rMgpH7k2dYttFlAQm2I98W0&#10;sWL8PSOeAxetGDpQjzFfd+jNDdVSNZ+KqrCwMbAlBJyOA37zuWrQnbzfdVny4BtcqvrtaHE+zXQ4&#10;NVMbVsktzGwCsTqw1TfXXArbuq5lNhrDg/VMAQ8NQuuLA6DBOjT+ev7z39++ePXyj1e//2Qxl64C&#10;YuawAQbiRr7jQ0qil8PIgyb8YA6D7zhOYFBwHUZb85tRSPNqcj7msnkmZJGVvKnkm0BRVZ4lGP74&#10;TCVHw/NcWjccGONSv3Aw8LClbnlpTQZ25MFQrBgRSYF+oFnUEKaqHOnnLf1iyTBMCF7rDGO0XHA1&#10;bgegLbTOKLJGSO2WseDJJ2ViNbc1JEIJLG3jYAqR2FYugNSxpXs2PMvnPRuZ8XKUb+gNM8Qs1zH0&#10;8ADMPysh05FZu4bsGsOu8chB6nZB+vrlr69/+xP5wkX3GL44L5+iW/HbYnhaaZ7VX2NiLfKFx6gH&#10;bIOB6oaMshW+oEEYAEVouujQ7SinowHDFHkGsKHpDUxx+AA7ZFi1ZAZuPzhlATprCghbCIirLQoI&#10;dZnvmgJCvSAkK8xFHJ8EFNIDC4hLfSwmOOudC8hmSjly1TteLP0u8rbioQX2oU4YesSwD4iVVvbM&#10;yyTKE8/EGsiWIwHpKri+rj0eAQVdGCwp2JlS3VLBksCBQDAFyXfv8Q9jzAOhYQSsOxcdG8rSeyZg&#10;Ya27phrQXauBQyLWggFCwF2tBdSHBDVYsIgEUDf2qgWzNdv/YjGBVXIVCxIGO0JBXI+GJjEoDQKy&#10;mhmUhC6kQ5sZjLgg7PZDY7fKjPQ+w3E9Vb3bZY2SDjZT1lwQPAugbZDXC2UtCojXFjVCISkggSAr&#10;5lWNsIiFepkFEspvFfdm/XSU1Xo1c2hZTWeLrHlVg0BYXGdtI6sJ8KhJXkKZ49+PCRq6naymnvvW&#10;sHi/yhqNVnJyjyUvdSItKvWK18HNsuXspCFKjJZG3wrDMTsfJTtRk6yWVgiJRZreKjtZFGDlhJCI&#10;XA9XJCshQQO4bDSnH4WwdXfUOd0WNm5zrsFCu8jsSG2FhUexfmowiBPQe2iElPiRkTnHHexu08+c&#10;J8yW5POqtU9euMwDmYl5QfwwIu0G74KSASF6TIxytP5sZ826eA8FEXqQCy0UEfPJPY5iRwGBp6/r&#10;oZitineV9LAlatbBJPKAlY6SXh/V7HIA81gbVTMJuUSNO5cpF+Q6HqQiN4YkAnJcFg3/1TIFCy19&#10;NK/39M3/CPDwf/G7PuWY/3fi7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WAAAAZHJzL1BLAQIUABQAAAAIAIdO4kDcGDqo1wAAAAUBAAAP&#10;AAAAAAAAAAEAIAAAADgAAABkcnMvZG93bnJldi54bWxQSwECFAAUAAAACACHTuJAyPZlF1oFAACD&#10;IQAADgAAAAAAAAABACAAAAA8AQAAZHJzL2Uyb0RvYy54bWxQSwUGAAAAAAYABgBZAQAACAkAAAAA&#10;">
                        <v:fill on="f" focussize="0,0"/>
                        <v:stroke on="f"/>
                        <v:imagedata o:title=""/>
                        <o:lock v:ext="edit" aspectratio="f"/>
                      </v:shape>
                      <v:shape id="文本框 2205" o:spid="_x0000_s1026" o:spt="202" type="#_x0000_t202" style="position:absolute;left:3782695;top:337185;height:253365;width:1315085;"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u/SresUBAABsAwAADgAA&#10;AGRycy9lMm9Eb2MueG1srVNLjhMxEN0jcQfLe+L+KJnQSmckFA0bBEgDB3Dc7rQl/3A56c4F4Aas&#10;2LDnXDkHZSczAzObWczGXa56flWvqnp1PRlNDjKAcral5aygRFrhOmV3Lf365ebNkhKI3HZcOytb&#10;epRAr9evX61G38jKDU53MhAksdCMvqVDjL5hDMQgDYeZ89JisHfB8IjXsGNd4COyG82qoliw0YXO&#10;ByckAHo35yC9MIbnELq+V0JunNgbaeOZNUjNI0qCQXmg61xt30sRP/U9yEh0S1FpzCcmQXubTrZe&#10;8WYXuB+UuJTAn1PCI02GK4tJ76k2PHKyD+oJlVEiOHB9nAln2FlI7giqKItHvbkduJdZC7Ya/H3T&#10;4eVoxcfD50BUh5tQVpRYbnDkp58/Tr/+nH5/J1VVzFOPRg8NQm89guP0zk2Iv/MDOpP0qQ8mfVEU&#10;wXh9tawWb+eUHNGur8plJuKNnCIR6X1dzgt0EoGAal7XiwxgD0Q+QHwvnSHJaGnAYeYe88MHiFgU&#10;Qu8gKa91N0rrPFBt/3MgMHlYUnGuNllx2k4XaVvXHVHZiHvQUvi250FSsvdB7QZMnJXmxziEnPay&#10;MGnK/95zioefZP0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MMdDatQAAAAFAQAADwAAAAAAAAAB&#10;ACAAAAA4AAAAZHJzL2Rvd25yZXYueG1sUEsBAhQAFAAAAAgAh07iQLv0q3rFAQAAbAMAAA4AAAAA&#10;AAAAAQAgAAAAOQEAAGRycy9lMm9Eb2MueG1sUEsFBgAAAAAGAAYAWQEAAHAFAAAAAA==&#10;">
                        <v:fill on="f" focussize="0,0"/>
                        <v:stroke on="f"/>
                        <v:imagedata o:title=""/>
                        <o:lock v:ext="edit" aspectratio="f"/>
                        <v:textbox>
                          <w:txbxContent>
                            <w:p>
                              <w:pPr>
                                <w:jc w:val="center"/>
                                <w:rPr>
                                  <w:sz w:val="18"/>
                                  <w:szCs w:val="18"/>
                                </w:rPr>
                              </w:pPr>
                              <w:r>
                                <w:rPr>
                                  <w:rFonts w:hint="eastAsia"/>
                                  <w:sz w:val="18"/>
                                  <w:szCs w:val="18"/>
                                </w:rPr>
                                <w:t>15</w:t>
                              </w:r>
                              <w:r>
                                <w:rPr>
                                  <w:sz w:val="18"/>
                                  <w:szCs w:val="18"/>
                                </w:rPr>
                                <w:t>m排气筒DA00</w:t>
                              </w:r>
                              <w:r>
                                <w:rPr>
                                  <w:rFonts w:hint="eastAsia"/>
                                  <w:sz w:val="18"/>
                                  <w:szCs w:val="18"/>
                                </w:rPr>
                                <w:t>1</w:t>
                              </w:r>
                            </w:p>
                          </w:txbxContent>
                        </v:textbox>
                      </v:shape>
                      <v:shape id="自选图形 3425" o:spid="_x0000_s1026" o:spt="116" type="#_x0000_t116" style="position:absolute;left:1496060;top:289560;height:403225;width:600075;" fillcolor="#FFFFFF" filled="t" stroked="t" coordsize="21600,21600" o:gfxdata="UEsFBgAAAAAAAAAAAAAAAAAAAAAAAFBLAwQKAAAAAACHTuJAAAAAAAAAAAAAAAAABAAAAGRycy9Q&#10;SwMEFAAAAAgAh07iQG8CAVfVAAAABQEAAA8AAABkcnMvZG93bnJldi54bWxNj8FOwzAQRO9I/Qdr&#10;K3FB1A6ikIY4VVXoFSltuDvxNomw11HsNu3fY7jQy0qjGc28zdcXa9gZR987kpAsBDCkxumeWgnV&#10;YfeYAvNBkVbGEUq4ood1MbvLVabdRCWe96FlsYR8piR0IQwZ577p0Cq/cANS9I5utCpEObZcj2qK&#10;5dbwJyFeuFU9xYVODbjtsPnen6wEbVairr54+fH+cE1306Y6fJaVlPfzRLwBC3gJ/2H4xY/oUESm&#10;2p1Ie2YkxEfC341eKpZLYLWE5+Q1AV7k/Ja++AFQSwMEFAAAAAgAh07iQLrfoaRFAgAAgwQAAA4A&#10;AABkcnMvZTJvRG9jLnhtbK1Uy24TMRTdI/EPlvdkJk+aKJMuGoKQEFRq+QDH45mx5BfXTibZsUN8&#10;AzuW/Qf4m0rwF1x7kqYtIHXBLCbHsX18zrnXMz/faUW2Ary0pqD9Xk6JMNyW0tQF/XC9enFGiQ/M&#10;lExZIwq6F56eL54/m7duJga2saoUQJDE+FnrCtqE4GZZ5nkjNPM964TBycqCZgGHUGclsBbZtcoG&#10;eT7JWgulA8uF9/jvspukB0Z4CqGtKsnF0vKNFiZ0rCAUC2jJN9J5ukhqq0rw8L6qvAhEFRSdhvTG&#10;QxCv4ztbzNmsBuYayQ8S2FMkPPKkmTR46B3VkgVGNiD/oNKSg/W2Cj1uddYZSYmgi37+KJurhjmR&#10;vGDU3t2F7v8fLX+3vQQiS+yE/pASwzSW/Ofnm1+fvtx+/XH7/RsZjgbjGFPr/AxXX7lLOIw8wuh5&#10;V4GOv+iG7JBoNJ3kEwx4X9DB2XSMMKUsdoFwnJ/kef5yTAnH+VE+HHT02YnHgQ+vhdUkgoJWyrYX&#10;DYNwLUBLw4KFFDXbvvUBmXHncUdU4a2S5UoqlQZQry8UkC3D+q/SE8XglgfLlCFtQadjlEI4w6au&#10;sJkQaofBeFOn8x7s8PeJ0RA+fyOOwpbMN52AxNCFoWUQkGJpBCtfmZKEvcPoDd45GsVoUVKiBF7R&#10;iNLKwKQ6rQwgmanVP1ajQ2XQaKxaV6eIwm69Q6oI17bcY+VbbH20+HHDAJnUG4O9Fe/JEcARrI9g&#10;40DWDdalnwxHLuzNlOnhHsXmvz9OMk7fj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bwIBV9UA&#10;AAAFAQAADwAAAAAAAAABACAAAAA4AAAAZHJzL2Rvd25yZXYueG1sUEsBAhQAFAAAAAgAh07iQLrf&#10;oaRFAgAAgwQAAA4AAAAAAAAAAQAgAAAAOgEAAGRycy9lMm9Eb2MueG1sUEsFBgAAAAAGAAYAWQEA&#10;APEFAAAAAA==&#10;">
                        <v:fill on="t" focussize="0,0"/>
                        <v:stroke color="#000000" joinstyle="miter" endarrow="block"/>
                        <v:imagedata o:title=""/>
                        <o:lock v:ext="edit" aspectratio="f"/>
                        <v:textbox inset="0mm,0mm,0mm,0mm">
                          <w:txbxContent>
                            <w:p>
                              <w:pPr>
                                <w:jc w:val="center"/>
                                <w:rPr>
                                  <w:rFonts w:hint="default" w:ascii="宋体" w:hAnsi="宋体" w:eastAsia="宋体"/>
                                  <w:sz w:val="18"/>
                                  <w:szCs w:val="18"/>
                                  <w:lang w:val="en-US" w:eastAsia="zh-CN"/>
                                </w:rPr>
                              </w:pPr>
                              <w:r>
                                <w:rPr>
                                  <w:rFonts w:hint="eastAsia" w:ascii="宋体" w:hAnsi="宋体"/>
                                  <w:sz w:val="18"/>
                                  <w:szCs w:val="18"/>
                                  <w:lang w:val="en-US" w:eastAsia="zh-CN"/>
                                </w:rPr>
                                <w:t>密闭微负压</w:t>
                              </w:r>
                            </w:p>
                          </w:txbxContent>
                        </v:textbox>
                      </v:shape>
                      <v:line id="直线 2204" o:spid="_x0000_s1026" o:spt="20" style="position:absolute;left:3532505;top:483235;flip:y;height:0;width:278765;" filled="f" stroked="t" coordsize="21600,21600" o:gfxdata="UEsFBgAAAAAAAAAAAAAAAAAAAAAAAFBLAwQKAAAAAACHTuJAAAAAAAAAAAAAAAAABAAAAGRycy9Q&#10;SwMEFAAAAAgAh07iQJkAMuTWAAAABQEAAA8AAABkcnMvZG93bnJldi54bWxNj8FOwzAQRO9I/IO1&#10;SNyobdRACXF6QCBxQtAiJG5uvCSh8TrY26bw9RgucFlpNKOZt9Xy4Aexx5j6QAb0TIFAaoLrqTXw&#10;vL47W4BIbMnZIRAa+MQEy/r4qLKlCxM94X7FrcgllEproGMeSylT06G3aRZGpOy9hegtZxlb6aKd&#10;crkf5LlSF9LbnvJCZ0e86bDZrnbewNV6KsJj3L7Mdf/x+nX7zuP9AxtzeqLVNQjGA/+F4Qc/o0Od&#10;mTZhRy6JwUB+hH9v9haqKEBsDMz1pQZZV/I/ff0NUEsDBBQAAAAIAIdO4kDnD6dR/wEAAOwDAAAO&#10;AAAAZHJzL2Uyb0RvYy54bWytU0tu2zAQ3RfoHQjua8mynbiC5SzippuiDdDPfsyPRIA/kIxln6XX&#10;6KqbHifX6JBykzZFgSyqBTHkDN+89zTcXB2NJgcRonK2o/NZTYmwzHFl+45+/nTzak1JTGA5aGdF&#10;R08i0qvtyxeb0beicYPTXASCIDa2o+/okJJvqyqyQRiIM+eFxaR0wUDCbegrHmBEdKOrpq4vqtEF&#10;7oNjIkY83U1JekYMzwF0Uiomdo7dGWHThBqEhoSS4qB8pNvCVkrB0gcpo0hEdxSVprJiE4z3ea22&#10;G2j7AH5Q7EwBnkPhiSYDymLTB6gdJCB3Qf0FZRQLLjqZZsyZahJSHEEV8/qJNx8H8KJoQaujfzA9&#10;/j9Y9v5wG4jiOAnzJSUWDP7y+6/f7r//IE1TL7NBo48t1l3b23DeRX8bstqjDIZIrfwXvF/0oyJy&#10;7OhitWhW9YqSU0eX60WzWE1Oi2MiDPPN5fryAtMM8+UnVBNYBvUhprfCGZKDjmplswfQwuFdTEgA&#10;S3+V5GNtydjR16smwwEOpMRBwNB4FBVtX+5GpxW/UVrnGzH0+2sdyAHyUJQvs0PcP8pykx3EYaor&#10;qUnEIIC/sZykk0ezLL4SmikYwSnRAh9VjhAQ2gRKP1amoMD2+h/V2F5bZJHdnvzN0d7xU7G9nOMQ&#10;FJ7ngc1T9vu+3H58pN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mQAy5NYAAAAFAQAADwAAAAAA&#10;AAABACAAAAA4AAAAZHJzL2Rvd25yZXYueG1sUEsBAhQAFAAAAAgAh07iQOcPp1H/AQAA7AMAAA4A&#10;AAAAAAAAAQAgAAAAOwEAAGRycy9lMm9Eb2MueG1sUEsFBgAAAAAGAAYAWQEAAKwFAAAAAA==&#10;">
                        <v:fill on="f" focussize="0,0"/>
                        <v:stroke color="#000000" joinstyle="round" endarrow="block"/>
                        <v:imagedata o:title=""/>
                        <o:lock v:ext="edit" aspectratio="f"/>
                      </v:line>
                      <v:shape id="文本框 2203" o:spid="_x0000_s1026" o:spt="202" type="#_x0000_t202" style="position:absolute;left:2436495;top:257810;height:426085;width:1061720;" fillcolor="#FFFFFF" filled="t" stroked="t" coordsize="21600,21600" o:gfxdata="UEsFBgAAAAAAAAAAAAAAAAAAAAAAAFBLAwQKAAAAAACHTuJAAAAAAAAAAAAAAAAABAAAAGRycy9Q&#10;SwMEFAAAAAgAh07iQKu68TrYAAAABQEAAA8AAABkcnMvZG93bnJldi54bWxNj0FLw0AQhe8F/8My&#10;grd2Nmpridn0IFUJqNBGBG/b7JgEs7Mxu22qv97Vi14GHu/x3jfZ6mg7caDBt44VJDMJgrhypuVa&#10;wXN5O12C8EGz0Z1jUvBJHlb5ySTTqXEjb+iwDbWIJexTraAJoU8RfdWQ1X7meuLovbnB6hDlUKMZ&#10;9BjLbYfnUi7Q6pbjQqN7ummoet/urYLqAot7XJcvX+X64WN8NMXd61Oh1NlpIq9BBDqGvzD84Ed0&#10;yCPTzu3ZeNEpiI+E3xu9pZzPQewUXCZXCWCe4X/6/BtQSwMEFAAAAAgAh07iQJUe5xkqAgAAWAQA&#10;AA4AAABkcnMvZTJvRG9jLnhtbK1UzY7TMBC+I/EOlu80abbtdqOmK0EpFwRICw8wdZzEkv+w3SZ9&#10;AXgDTly473P1ORi73e3uAtIe8MEZ25+/mflmnMX1oCTZceeF0RUdj3JKuGamFrqt6JfP61dzSnwA&#10;XYM0mld0zz29Xr58sehtyQvTGVlzR5BE+7K3Fe1CsGWWedZxBX5kLNd42BinIODStVntoEd2JbMi&#10;z2dZb1xtnWHce9xdHQ/pidE9h9A0jWB8ZdhWcR2OrI5LCJiS74T1dJmibRrOwsem8TwQWVHMNKQZ&#10;naC9iXO2XEDZOrCdYKcQ4DkhPMlJgdDo9J5qBQHI1ok/qJRgznjThBEzKjsmkhTBLMb5E21uOrA8&#10;5YJSe3svuv9/tOzD7pMjosZOGE8p0aCw5Icf3w8/bw+/vpGiyC+iRr31JUJvLILD8NoMiL/b97gZ&#10;Ux8ap+IXkyJ4XkwuZpMr5NyjPb2cj09i8yEQFu/ns/FlgXVgCJgUs3w+jYzZmcg6H95xo0g0Kuqw&#10;mElj2L334Qi9g0S/3khRr4WUaeHazRvpyA6w8Os0TuyPYFKTvqJX0wLjZIDd3GAXoaksKuJ1m/w9&#10;uuEfEudp/I04BrYC3x0DSAwRBqUSgbtkdRzqt7omYW9Rc42PjcZgFK8pkRzfZrQSMoCQZ2RwAnQr&#10;/4FG/aRGGWPFjpWJVhg2A1JFc2PqPVaxx57HFL9uwSHT1jrRdihyqmq6jA2XqnF6HLGjH66Ti/MP&#10;Y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q7rxOtgAAAAFAQAADwAAAAAAAAABACAAAAA4AAAA&#10;ZHJzL2Rvd25yZXYueG1sUEsBAhQAFAAAAAgAh07iQJUe5xkqAgAAWAQAAA4AAAAAAAAAAQAgAAAA&#10;PQEAAGRycy9lMm9Eb2MueG1sUEsFBgAAAAAGAAYAWQEAANkFAAAAAA==&#10;">
                        <v:fill on="t" focussize="0,0"/>
                        <v:stroke color="#000000" joinstyle="miter" endarrow="block"/>
                        <v:imagedata o:title=""/>
                        <o:lock v:ext="edit" aspectratio="f"/>
                        <v:textbox>
                          <w:txbxContent>
                            <w:p>
                              <w:pPr>
                                <w:jc w:val="center"/>
                                <w:rPr>
                                  <w:sz w:val="18"/>
                                  <w:szCs w:val="18"/>
                                </w:rPr>
                              </w:pPr>
                              <w:bookmarkStart w:id="30" w:name="OLE_LINK11"/>
                              <w:r>
                                <w:rPr>
                                  <w:rFonts w:hint="eastAsia"/>
                                  <w:sz w:val="18"/>
                                  <w:szCs w:val="18"/>
                                  <w:lang w:val="en-US" w:eastAsia="zh-CN"/>
                                </w:rPr>
                                <w:t>多级过滤器</w:t>
                              </w:r>
                              <w:bookmarkEnd w:id="30"/>
                              <w:r>
                                <w:rPr>
                                  <w:rFonts w:hint="eastAsia"/>
                                  <w:sz w:val="18"/>
                                  <w:szCs w:val="18"/>
                                  <w:lang w:val="en-US" w:eastAsia="zh-CN"/>
                                </w:rPr>
                                <w:t>+三</w:t>
                              </w:r>
                              <w:r>
                                <w:rPr>
                                  <w:rFonts w:hint="eastAsia"/>
                                  <w:sz w:val="18"/>
                                  <w:szCs w:val="18"/>
                                </w:rPr>
                                <w:t>级活性炭吸附装置</w:t>
                              </w:r>
                            </w:p>
                            <w:p/>
                          </w:txbxContent>
                        </v:textbox>
                      </v:shape>
                      <v:line id="直线 2204" o:spid="_x0000_s1026" o:spt="20" style="position:absolute;left:2088515;top:471805;height:5080;width:336550;" filled="f" stroked="t" coordsize="21600,21600" o:gfxdata="UEsFBgAAAAAAAAAAAAAAAAAAAAAAAFBLAwQKAAAAAACHTuJAAAAAAAAAAAAAAAAABAAAAGRycy9Q&#10;SwMEFAAAAAgAh07iQFFop7fXAAAABQEAAA8AAABkcnMvZG93bnJldi54bWxNj8FOwzAQRO9I/IO1&#10;SNyobURpFOL0UKlcWkBtEYKbGy9J1Hgd2U4b/h7TC72sNJrRzNtiPtqOHdGH1pECORHAkCpnWqoV&#10;vO+WdxmwEDUZ3TlCBT8YYF5eXxU6N+5EGzxuY81SCYVcK2hi7HPOQ9Wg1WHieqTkfTtvdUzS19x4&#10;fUrltuP3Qjxyq1tKC43ucdFgddgOVsFmvVxlH6thrPzXs3zdva1fPkOm1O2NFE/AIo7xPwx/+Akd&#10;ysS0dwOZwDoF6ZF4vsnLxHQKbK/gQc4k8LLgl/TlL1BLAwQUAAAACACHTuJAHir8b/sBAADlAwAA&#10;DgAAAGRycy9lMm9Eb2MueG1srVPNjtMwEL4j8Q6W7zRpdlNC1HQPW5YLgkrAA0xtJ7HkP9nepn0W&#10;XoMTFx5nX4OxU7awCGkP5OCMPeNv5vs8s745akUOwgdpTUeXi5ISYZjl0gwd/fL57lVDSYhgOChr&#10;REdPItCbzcsX68m1orKjVVx4giAmtJPr6Bija4sisFFoCAvrhEFnb72GiFs/FNzDhOhaFVVZrorJ&#10;eu68ZSIEPN3OTnpG9M8BtH0vmdhadq+FiTOqFwoiUgqjdIFucrV9L1j82PdBRKI6ikxjXjEJ2vu0&#10;Fps1tIMHN0p2LgGeU8ITThqkwaSPUFuIQO69/AtKS+ZtsH1cMKuLmUhWBFksyyfafBrBicwFpQ7u&#10;UfTw/2DZh8POE8mxE5YrSgxofPKHr98evv8gVVVeJ4EmF1qMuzU7f94Ft/OJ7bH3Ov2RBzl2tCqb&#10;pl7WlJw6ev162ZT1rK84RsLQf3W1qmtUnqG/LpusfnFBcT7Ed8JqkoyOKmkSeWjh8D5EzIyhv0LS&#10;sTJk6uibusKEDLATe+wANLVDNsEM+W6wSvI7qVS6Efywv1WeHCB1Q/5SgYj7R1hKsoUwznHZNfMY&#10;BfC3hpN4cqiSwfGgqQQtOCVK4DQlCwGhjSDVJTJ6CWZQ/4jG9MpgFUnmWdhk7S0/Zb3zOb5+rvPc&#10;qam9ft/n25fp3P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UWint9cAAAAFAQAADwAAAAAAAAAB&#10;ACAAAAA4AAAAZHJzL2Rvd25yZXYueG1sUEsBAhQAFAAAAAgAh07iQB4q/G/7AQAA5QMAAA4AAAAA&#10;AAAAAQAgAAAAPAEAAGRycy9lMm9Eb2MueG1sUEsFBgAAAAAGAAYAWQEAAKkFAAAAAA==&#10;">
                        <v:fill on="f" focussize="0,0"/>
                        <v:stroke color="#000000" joinstyle="round" endarrow="block"/>
                        <v:imagedata o:title=""/>
                        <o:lock v:ext="edit" aspectratio="f"/>
                      </v:line>
                      <v:shape id="文本框 2201" o:spid="_x0000_s1026" o:spt="202" type="#_x0000_t202" style="position:absolute;left:170180;top:486410;height:254000;width:1333500;"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faaVg8IBAABrAwAADgAA&#10;AGRycy9lMm9Eb2MueG1srVNLbtswEN0X6B0I7mtKtpMYguUAhZFuirZAmgPQFGUR4K8c2pIv0N6g&#10;q26677l8jg4pJWmTTRbZUMOZ0Zt5b4br68FocpQBlLM1LWcFJdIK1yi7r+nd15t3K0ogcttw7ays&#10;6UkCvd68fbPufSXnrnO6kYEgiIWq9zXtYvQVYyA6aTjMnJcWg60Lhke8hj1rAu8R3Wg2L4pL1rvQ&#10;+OCEBEDvdgzSCTG8BNC1rRJy68TBSBtH1CA1j0gJOuWBbnK3bStF/Ny2ICPRNUWmMZ9YBO1dOtlm&#10;zat94L5TYmqBv6SFJ5wMVxaLPkBteeTkENQzKKNEcODaOBPOsJFIVgRZlMUTbW477mXmglKDfxAd&#10;Xg9WfDp+CUQ1uAnlFSWWGxz5+eeP868/59/fyRy7Shr1HipMvfWYHIf3bsD8ez+gM1Ef2mDSF0mR&#10;FL8qyhXKfKrpcnW5LCet5RCJSOHFYnFRYFxgwvxiWaCNhdgjjg8QP0hnSDJqGnCWWWJ+/AhxTL1P&#10;SWWtu1Fa53lq+58DMZOHJRJjs8mKw26YmO1cc0JiPa5BTeHbgQdJycEHte+wcCaaf8YZ5A6nfUlD&#10;/veeSzy+kc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MMdDatQAAAAFAQAADwAAAAAAAAABACAA&#10;AAA4AAAAZHJzL2Rvd25yZXYueG1sUEsBAhQAFAAAAAgAh07iQH2mlYPCAQAAawMAAA4AAAAAAAAA&#10;AQAgAAAAOQEAAGRycy9lMm9Eb2MueG1sUEsFBgAAAAAGAAYAWQEAAG0FAAAAAA==&#10;">
                        <v:fill on="f" focussize="0,0"/>
                        <v:stroke on="f"/>
                        <v:imagedata o:title=""/>
                        <o:lock v:ext="edit" aspectratio="f"/>
                        <v:textbox>
                          <w:txbxContent>
                            <w:p>
                              <w:pPr>
                                <w:jc w:val="center"/>
                                <w:rPr>
                                  <w:sz w:val="18"/>
                                  <w:szCs w:val="18"/>
                                </w:rPr>
                              </w:pPr>
                              <w:r>
                                <w:rPr>
                                  <w:rFonts w:hint="eastAsia"/>
                                  <w:sz w:val="18"/>
                                  <w:szCs w:val="18"/>
                                  <w:lang w:val="en-US" w:eastAsia="zh-CN"/>
                                </w:rPr>
                                <w:t>喷漆晾干</w:t>
                              </w:r>
                              <w:r>
                                <w:rPr>
                                  <w:rFonts w:hint="eastAsia"/>
                                  <w:sz w:val="18"/>
                                  <w:szCs w:val="18"/>
                                </w:rPr>
                                <w:t>废气</w:t>
                              </w:r>
                            </w:p>
                          </w:txbxContent>
                        </v:textbox>
                      </v:shape>
                      <v:shape id="文本框 2202" o:spid="_x0000_s1026" o:spt="202" type="#_x0000_t202" style="position:absolute;left:201930;top:78740;height:391795;width:1263650;"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ZOSMJ8IBAABqAwAADgAA&#10;AGRycy9lMm9Eb2MueG1srVPNjtMwEL4j8Q6W79RpyrbbqOlKqFouCJAWHsB1nMaS//C4TfoC8Aac&#10;uHDnufocjJ3sLiyXPXBxxjPjb+b7ZrK5GYwmJxlAOVvT+aygRFrhGmUPNf386fbVNSUQuW24dlbW&#10;9CyB3mxfvtj0vpKl65xuZCAIYqHqfU27GH3FGIhOGg4z56XFYOuC4RGv4cCawHtEN5qVRbFkvQuN&#10;D05IAPTuxiCdEMNzAF3bKiF3ThyNtHFEDVLziJSgUx7oNnfbtlLED20LMhJdU2Qa84lF0N6nk203&#10;vDoE7jslphb4c1p4wslwZbHoA9SOR06OQf0DZZQIDlwbZ8IZNhLJiiCLefFEm7uOe5m5oNTgH0SH&#10;/wcr3p8+BqIa3IQ5Dt5ygyO/fP92+fHr8vMrKcuiTBr1HipMvfOYHIc3bsD8ez+gM1Ef2mDSF0kR&#10;jCOf9QJlPtd0db16PUkth0hEel0uF8srDAuML9bz1foq4bFHGB8gvpXOkGTUNOAos8L89A7imHqf&#10;kqpad6u0zuPU9i8HYiYPSxzGXpMVh/0wEdu75oy8etyCmsKXIw+SkqMP6tBh4cwzP8YR5A6ndUkz&#10;/vOeSzz+It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MMdDatQAAAAFAQAADwAAAAAAAAABACAA&#10;AAA4AAAAZHJzL2Rvd25yZXYueG1sUEsBAhQAFAAAAAgAh07iQGTkjCfCAQAAagMAAA4AAAAAAAAA&#10;AQAgAAAAOQEAAGRycy9lMm9Eb2MueG1sUEsFBgAAAAAGAAYAWQEAAG0FAAAAAA==&#10;">
                        <v:fill on="f" focussize="0,0"/>
                        <v:stroke on="f"/>
                        <v:imagedata o:title=""/>
                        <o:lock v:ext="edit" aspectratio="f"/>
                        <v:textbox>
                          <w:txbxContent>
                            <w:p>
                              <w:pPr>
                                <w:jc w:val="center"/>
                                <w:rPr>
                                  <w:rFonts w:hint="default" w:ascii="宋体" w:hAnsi="宋体" w:eastAsia="宋体"/>
                                  <w:sz w:val="18"/>
                                  <w:szCs w:val="18"/>
                                  <w:lang w:val="en-US" w:eastAsia="zh-CN"/>
                                </w:rPr>
                              </w:pPr>
                              <w:r>
                                <w:rPr>
                                  <w:rFonts w:hint="eastAsia" w:ascii="宋体" w:hAnsi="宋体"/>
                                  <w:sz w:val="18"/>
                                  <w:szCs w:val="18"/>
                                </w:rPr>
                                <w:t>非甲烷总烃</w:t>
                              </w:r>
                              <w:r>
                                <w:rPr>
                                  <w:rFonts w:hint="eastAsia" w:ascii="宋体" w:hAnsi="宋体"/>
                                  <w:sz w:val="18"/>
                                  <w:szCs w:val="18"/>
                                  <w:lang w:eastAsia="zh-CN"/>
                                </w:rPr>
                                <w:t>、</w:t>
                              </w:r>
                              <w:r>
                                <w:rPr>
                                  <w:rFonts w:hint="eastAsia" w:ascii="宋体" w:hAnsi="宋体"/>
                                  <w:sz w:val="18"/>
                                  <w:szCs w:val="18"/>
                                  <w:lang w:val="en-US" w:eastAsia="zh-CN"/>
                                </w:rPr>
                                <w:t>甲苯、二甲苯、颗粒物等</w:t>
                              </w:r>
                            </w:p>
                          </w:txbxContent>
                        </v:textbox>
                      </v:shape>
                      <v:shape id="文本框 187" o:spid="_x0000_s1026" o:spt="202" type="#_x0000_t202" style="position:absolute;left:1452880;top:2277110;height:314325;width:2184400;" fillcolor="#FFFFFF" filled="t" stroked="f" coordsize="21600,21600" o:gfxdata="UEsFBgAAAAAAAAAAAAAAAAAAAAAAAFBLAwQKAAAAAACHTuJAAAAAAAAAAAAAAAAABAAAAGRycy9Q&#10;SwMEFAAAAAgAh07iQI2/WODVAAAABQEAAA8AAABkcnMvZG93bnJldi54bWxNj81qwzAQhO+FvIPY&#10;QC+lkVziOHUtBxJo6TU/D7C2NraptTKWEidvX7WX9rIwzDDzbbG52V5cafSdYw3JQoEgrp3puNFw&#10;Or4/r0H4gGywd0wa7uRhU84eCsyNm3hP10NoRCxhn6OGNoQhl9LXLVn0CzcQR+/sRoshyrGRZsQp&#10;lttevii1khY7jgstDrRrqf46XKyG8+f0lL5O1Uc4ZfvlaotdVrm71o/zRL2BCHQLf2H4wY/oUEam&#10;yl3YeNFriI+E3xu9tUpTEJWGZZIlIMtC/qcvvwFQSwMEFAAAAAgAh07iQKubVjbXAQAAlQMAAA4A&#10;AABkcnMvZTJvRG9jLnhtbK1TzY7TMBC+I/EOlu80P9ulUdR0JajKBQHSwgO4jtNY8h8et0lfAN6A&#10;ExfuPFefY8dOdheWyx7IIbHHn7+Z75vJ+mbUipyEB2lNQ4tFTokw3LbSHBr65fPuVUUJBGZapqwR&#10;DT0LoDebly/Wg6tFaXurWuEJkhioB9fQPgRXZxnwXmgGC+uEwcPOes0Cbv0haz0bkF2rrMzz19lg&#10;feu85QIAo9vpkM6M/jmEtuskF1vLj1qYMLF6oVhASdBLB3STqu06wcPHrgMRiGooKg3pjUlwvY/v&#10;bLNm9cEz10s+l8CeU8ITTZpJg0kfqLYsMHL08h8qLbm3YLuw4FZnk5DkCKoo8ife3PbMiaQFrQb3&#10;YDr8P1r+4fTJE9niJJToiWEaW3758f3y8/fl1zdSVKto0eCgRuStQ2wY39gR4fdxwGBUPnZexy9q&#10;IvF8eV1WFVKeG1qWq1VRzGaLMRCOgLKolsscARwRV8XyqryOlNkjk/MQ3gmrSVw01GMzk8fs9B7C&#10;BL2HxMRglWx3Uqm08Yf9W+XJiWHjd+mZ2f+CKRPBxsZrE2OMZFHvpCuuwrgfZxP2tj2jBwMOTEPh&#10;65F5QcnReXnoscLkSbqM3UpS5smK4/DnPqV4/Js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I2/&#10;WODVAAAABQEAAA8AAAAAAAAAAQAgAAAAOAAAAGRycy9kb3ducmV2LnhtbFBLAQIUABQAAAAIAIdO&#10;4kCrm1Y21wEAAJUDAAAOAAAAAAAAAAEAIAAAADoBAABkcnMvZTJvRG9jLnhtbFBLBQYAAAAABgAG&#10;AFkBAACDBQAAAAA=&#10;">
                        <v:fill on="t" focussize="0,0"/>
                        <v:stroke on="f"/>
                        <v:imagedata o:title=""/>
                        <o:lock v:ext="edit" aspectratio="f"/>
                        <v:textbox>
                          <w:txbxContent>
                            <w:p>
                              <w:pPr>
                                <w:jc w:val="center"/>
                                <w:rPr>
                                  <w:b/>
                                  <w:bCs/>
                                  <w:sz w:val="24"/>
                                </w:rPr>
                              </w:pPr>
                              <w:r>
                                <w:rPr>
                                  <w:b/>
                                  <w:bCs/>
                                  <w:sz w:val="24"/>
                                </w:rPr>
                                <w:t>图</w:t>
                              </w:r>
                              <w:r>
                                <w:rPr>
                                  <w:rFonts w:hint="eastAsia"/>
                                  <w:b/>
                                  <w:bCs/>
                                  <w:sz w:val="24"/>
                                </w:rPr>
                                <w:t>4</w:t>
                              </w:r>
                              <w:r>
                                <w:rPr>
                                  <w:b/>
                                  <w:bCs/>
                                  <w:sz w:val="24"/>
                                </w:rPr>
                                <w:t>-</w:t>
                              </w:r>
                              <w:r>
                                <w:rPr>
                                  <w:rFonts w:hint="eastAsia"/>
                                  <w:b/>
                                  <w:bCs/>
                                  <w:sz w:val="24"/>
                                </w:rPr>
                                <w:t xml:space="preserve">1 </w:t>
                              </w:r>
                              <w:r>
                                <w:rPr>
                                  <w:b/>
                                  <w:bCs/>
                                  <w:sz w:val="24"/>
                                </w:rPr>
                                <w:t xml:space="preserve"> </w:t>
                              </w:r>
                              <w:r>
                                <w:rPr>
                                  <w:rFonts w:hint="eastAsia"/>
                                  <w:b/>
                                  <w:bCs/>
                                  <w:sz w:val="24"/>
                                </w:rPr>
                                <w:t>项目</w:t>
                              </w:r>
                              <w:r>
                                <w:rPr>
                                  <w:b/>
                                  <w:bCs/>
                                  <w:sz w:val="24"/>
                                </w:rPr>
                                <w:t>废气处理流程图</w:t>
                              </w:r>
                            </w:p>
                          </w:txbxContent>
                        </v:textbox>
                      </v:shape>
                      <v:line id="直线 4172" o:spid="_x0000_s1026" o:spt="20" style="position:absolute;left:97155;top:1217930;height:635;width:1393825;" filled="f" stroked="t" coordsize="21600,21600" o:gfxdata="UEsFBgAAAAAAAAAAAAAAAAAAAAAAAFBLAwQKAAAAAACHTuJAAAAAAAAAAAAAAAAABAAAAGRycy9Q&#10;SwMEFAAAAAgAh07iQFFop7fXAAAABQEAAA8AAABkcnMvZG93bnJldi54bWxNj8FOwzAQRO9I/IO1&#10;SNyobURpFOL0UKlcWkBtEYKbGy9J1Hgd2U4b/h7TC72sNJrRzNtiPtqOHdGH1pECORHAkCpnWqoV&#10;vO+WdxmwEDUZ3TlCBT8YYF5eXxU6N+5EGzxuY81SCYVcK2hi7HPOQ9Wg1WHieqTkfTtvdUzS19x4&#10;fUrltuP3Qjxyq1tKC43ucdFgddgOVsFmvVxlH6thrPzXs3zdva1fPkOm1O2NFE/AIo7xPwx/+Akd&#10;ysS0dwOZwDoF6ZF4vsnLxHQKbK/gQc4k8LLgl/TlL1BLAwQUAAAACACHTuJAxSEnmvMBAADkAwAA&#10;DgAAAGRycy9lMm9Eb2MueG1srVNLbtswEN0X6B0I7mtZch3HguUs4qabojWQ9gBjkpII8AeSseyz&#10;9BpdddPj5BodUmrcpiiQRbWghuTjm3mPw83NSStyFD5IaxpazuaUCMMsl6Zr6JfPd2+uKQkRDAdl&#10;jWjoWQR6s339ajO4WlS2t4oLT5DEhHpwDe1jdHVRBNYLDWFmnTC42VqvIeLUdwX3MCC7VkU1n18V&#10;g/XcectECLi6GzfpxOhfQmjbVjKxs+xBCxNHVi8URJQUeukC3eZq21aw+Kltg4hENRSVxjxiEowP&#10;aSy2G6g7D66XbCoBXlLCM00apMGkT1Q7iEAevPyLSkvmbbBtnDGri1FIdgRVlPNn3tz34ETWglYH&#10;92R6+H+07ONx74nk2AlVSYkBjVf++PXb4/cf5G25qpJBgws14m7N3k+z4PY+qT21Xqc/6iCnhq5X&#10;5XJJyTmTrdaLyV5xioThdrlYL64rBDBEXC2Wibu4kDgf4nthNUlBQ5U0STvUcPwQ4gj9BUnLypAB&#10;Uy4zIWAjttgAyK0digmmy2eDVZLfSaXSieC7w63y5AipGfI3lfAHLCXZQehHXN5KMKh7Afyd4SSe&#10;HZpk8HXQVIIWnBIl8DGlKCMjSHVBRi/BdOofaHRAGTQiuTz6mqKD5edsd17Hy89WTY2auuv3eT59&#10;eZz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Fop7fXAAAABQEAAA8AAAAAAAAAAQAgAAAAOAAA&#10;AGRycy9kb3ducmV2LnhtbFBLAQIUABQAAAAIAIdO4kDFISea8wEAAOQDAAAOAAAAAAAAAAEAIAAA&#10;ADwBAABkcnMvZTJvRG9jLnhtbFBLBQYAAAAABgAGAFkBAAChBQAAAAA=&#10;">
                        <v:fill on="f" focussize="0,0"/>
                        <v:stroke color="#000000" joinstyle="round" endarrow="block"/>
                        <v:imagedata o:title=""/>
                        <o:lock v:ext="edit" aspectratio="f"/>
                      </v:line>
                      <v:shape id="文本框 4174" o:spid="_x0000_s1026" o:spt="202" type="#_x0000_t202" style="position:absolute;left:119380;top:1230630;height:254635;width:1328420;"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s9NcJ8MBAABsAwAADgAA&#10;AGRycy9lMm9Eb2MueG1srVPNjtMwEL4j8Q6W7zRpki0laroSqpYLAqSFB3Adu7EU/+Bxm/QF4A04&#10;ceHOc/U5duxkd2G57IGLY898+Wa+b+zN9ah7chIelDUNXS5ySoThtlXm0NAvn29erSmBwEzLemtE&#10;Q88C6PX25YvN4GpR2M72rfAESQzUg2toF4Krswx4JzSDhXXCYFJar1nAoz9krWcDsus+K/J8lQ3W&#10;t85bLgAwupuSdGb0zyG0UioudpYftTBhYvWiZwElQacc0G3qVkrBw0cpQQTSNxSVhrRiEdzv45pt&#10;N6w+eOY6xecW2HNaeKJJM2Ww6APVjgVGjl79Q6UV9xasDAtudTYJSY6gimX+xJvbjjmRtKDV4B5M&#10;h/9Hyz+cPnmiWrwJRUWJYRpHfvnx/fLz9+XXN1ItX1fRo8FBjdBbh+AwvrUj4u/jgMEofZRexy+K&#10;IjG/fFOu0eZzpC7zVTmbLcZAeMyXxboqEMARUVxVq/IqMmaPRM5DeCesJnHTUI/DTB6z03sIE/Qe&#10;Eusae6P6Pg20N38FkDNGsqhi6jbuwrgfZ2l7255R2YD3oKHw9ci8oOTovDp0WDgpTT/jEFKH84WJ&#10;U/7znEo8PpLt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DDHQ2rUAAAABQEAAA8AAAAAAAAAAQAg&#10;AAAAOAAAAGRycy9kb3ducmV2LnhtbFBLAQIUABQAAAAIAIdO4kCz01wnwwEAAGwDAAAOAAAAAAAA&#10;AAEAIAAAADkBAABkcnMvZTJvRG9jLnhtbFBLBQYAAAAABgAGAFkBAABuBQAAAAA=&#10;">
                        <v:fill on="f" focussize="0,0"/>
                        <v:stroke on="f"/>
                        <v:imagedata o:title=""/>
                        <o:lock v:ext="edit" aspectratio="f"/>
                        <v:textbox>
                          <w:txbxContent>
                            <w:p>
                              <w:pPr>
                                <w:adjustRightInd w:val="0"/>
                                <w:snapToGrid w:val="0"/>
                                <w:jc w:val="center"/>
                                <w:rPr>
                                  <w:sz w:val="18"/>
                                  <w:szCs w:val="18"/>
                                </w:rPr>
                              </w:pPr>
                              <w:r>
                                <w:rPr>
                                  <w:rFonts w:hint="eastAsia"/>
                                  <w:sz w:val="18"/>
                                  <w:szCs w:val="18"/>
                                </w:rPr>
                                <w:t>危废仓库废气</w:t>
                              </w:r>
                            </w:p>
                          </w:txbxContent>
                        </v:textbox>
                      </v:shape>
                      <v:line id="直线 2204" o:spid="_x0000_s1026" o:spt="20" style="position:absolute;left:209550;top:480695;flip:y;height:635;width:1283335;" filled="f" stroked="t" coordsize="21600,21600" o:gfxdata="UEsFBgAAAAAAAAAAAAAAAAAAAAAAAFBLAwQKAAAAAACHTuJAAAAAAAAAAAAAAAAABAAAAGRycy9Q&#10;SwMEFAAAAAgAh07iQJkAMuTWAAAABQEAAA8AAABkcnMvZG93bnJldi54bWxNj8FOwzAQRO9I/IO1&#10;SNyobdRACXF6QCBxQtAiJG5uvCSh8TrY26bw9RgucFlpNKOZt9Xy4Aexx5j6QAb0TIFAaoLrqTXw&#10;vL47W4BIbMnZIRAa+MQEy/r4qLKlCxM94X7FrcgllEproGMeSylT06G3aRZGpOy9hegtZxlb6aKd&#10;crkf5LlSF9LbnvJCZ0e86bDZrnbewNV6KsJj3L7Mdf/x+nX7zuP9AxtzeqLVNQjGA/+F4Qc/o0Od&#10;mTZhRy6JwUB+hH9v9haqKEBsDMz1pQZZV/I/ff0NUEsDBBQAAAAIAIdO4kBGch3e/wEAAO4DAAAO&#10;AAAAZHJzL2Uyb0RvYy54bWytU82O0zAQviPxDpbvNGm6rdqo6R62LBcElVi4T20nseQ/2d6mfRZe&#10;gxMXHmdfg7ETdmER0h7IwRp7vvk835fx9vqsFTkJH6Q1DZ3PSkqEYZZL0zX0893tmzUlIYLhoKwR&#10;Db2IQK93r19tB1eLyvZWceEJkphQD66hfYyuLorAeqEhzKwTBpOt9Roibn1XcA8DsmtVVGW5Kgbr&#10;ufOWiRDwdD8m6cToX0Jo21YysbfsXgsTR1YvFESUFHrpAt3lbttWsPixbYOIRDUUlca84iUYH9Na&#10;7LZQdx5cL9nUArykhWeaNEiDlz5S7SECuffyLyotmbfBtnHGrC5GIdkRVDEvn3nzqQcnsha0OrhH&#10;08P/o2UfTgdPJMdJqDaUGND4yx++fnv4/oNUVXmVDBpcqBF3Yw5+2gV38EntufWatEq6L1if9aMi&#10;cm5oVW6WS/T40tCrdbnaLEejxTkShul5tV4sFktKGAJWGCBvMdIlWudDfCesJiloqJImuQA1nN6H&#10;OEJ/QdKxMmRo6GZZJULAkWxxFDDUDmUF0+XaYJXkt1KpVBF8d7xRnpwgjUX+phb+gKVL9hD6EZdT&#10;o45eAH9rOIkXh3YZfCc0taAFp0QJfFYpwkahjiDVEzJ6CaZT/0CjA8qgEcnv0eEUHS2/ZOPzOY5B&#10;tmoa2TRnv+9z9dMz3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mQAy5NYAAAAFAQAADwAAAAAA&#10;AAABACAAAAA4AAAAZHJzL2Rvd25yZXYueG1sUEsBAhQAFAAAAAgAh07iQEZyHd7/AQAA7gMAAA4A&#10;AAAAAAAAAQAgAAAAOwEAAGRycy9lMm9Eb2MueG1sUEsFBgAAAAAGAAYAWQEAAKwFAAAAAA==&#10;">
                        <v:fill on="f" focussize="0,0"/>
                        <v:stroke color="#000000" joinstyle="round" endarrow="block"/>
                        <v:imagedata o:title=""/>
                        <o:lock v:ext="edit" aspectratio="f"/>
                      </v:line>
                      <v:shape id="文本框 2202" o:spid="_x0000_s1026" o:spt="202" type="#_x0000_t202" style="position:absolute;left:139700;top:945515;height:269875;width:1227455;"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CakFusQBAABrAwAADgAA&#10;AGRycy9lMm9Eb2MueG1srVNLbtswEN0X6B0I7mvKShzHguUAgZFuirZA2gPQFGUR4C8c2pIv0N6g&#10;q26677l8jg4pJ2mSTRbZUOTM05t5b8jl1WA02csAytmaTicFJdIK1yi7ren3bzcfLimByG3DtbOy&#10;pgcJ9Gr1/t2y95UsXed0IwNBEgtV72vaxegrxkB00nCYOC8tJlsXDI94DFvWBN4ju9GsLIoL1rvQ&#10;+OCEBMDoekzSE2N4DaFrWyXk2omdkTaOrEFqHlESdMoDXeVu21aK+KVtQUaia4pKY16xCO43aWWr&#10;Ja+2gftOiVML/DUtPNNkuLJY9IFqzSMnu6BeUBklggPXxolwho1CsiOoYlo88+a2415mLWg1+AfT&#10;4e1oxef910BUgzfhDD2x3ODIj79+Hn//Pf75QcqyKJNHvYcKobcewXG4dgPi7+OAwSR9aINJXxRF&#10;Uv5sMS+Q8lDTxflsNp2NXsshEpHSZTnHMCUCAeXF4nKeAeyRxweIH6UzJG1qGnCW2WK+/wQRe0Lo&#10;PSSVte5GaZ3nqe2TAAJThCURY7NpF4fNcFK2cc0BhfV4DWoKdzseJCU7H9S2w8JZaP4ZZ5DLnu5L&#10;GvL/51zi8Y2s/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Awx0Nq1AAAAAUBAAAPAAAAAAAAAAEA&#10;IAAAADgAAABkcnMvZG93bnJldi54bWxQSwECFAAUAAAACACHTuJACakFusQBAABrAwAADgAAAAAA&#10;AAABACAAAAA5AQAAZHJzL2Uyb0RvYy54bWxQSwUGAAAAAAYABgBZAQAAbwUAAAAA&#10;">
                        <v:fill on="f" focussize="0,0"/>
                        <v:stroke on="f"/>
                        <v:imagedata o:title=""/>
                        <o:lock v:ext="edit" aspectratio="f"/>
                        <v:textbox>
                          <w:txbxContent>
                            <w:p>
                              <w:pPr>
                                <w:jc w:val="center"/>
                                <w:rPr>
                                  <w:rFonts w:hint="eastAsia" w:ascii="宋体" w:hAnsi="宋体"/>
                                  <w:sz w:val="18"/>
                                  <w:szCs w:val="18"/>
                                </w:rPr>
                              </w:pPr>
                              <w:r>
                                <w:rPr>
                                  <w:rFonts w:hint="eastAsia" w:ascii="宋体" w:hAnsi="宋体"/>
                                  <w:sz w:val="18"/>
                                  <w:szCs w:val="18"/>
                                </w:rPr>
                                <w:t>非甲烷总烃</w:t>
                              </w:r>
                            </w:p>
                          </w:txbxContent>
                        </v:textbox>
                      </v:shape>
                      <v:shape id="文本框 2205" o:spid="_x0000_s1026" o:spt="202" type="#_x0000_t202" style="position:absolute;left:1529715;top:1072515;height:253365;width:821690;"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wgSW3sQBAABrAwAADgAA&#10;AGRycy9lMm9Eb2MueG1srVNLbtswEN0X6B0I7mvKCuQkguUAhZFuirZAmgPQFGkR4K8c2pIv0N6g&#10;q26677l8jg5pJ2nTTRbdUKOZ0Xvz3lDLm8kaspcRtHcdnc8qSqQTvtdu29H7z7dvriiBxF3PjXey&#10;owcJ9Gb1+tVyDK2s/eBNLyNBEAftGDo6pBRaxkAM0nKY+SAdFpWPlid8jVvWRz4iujWsrqoFG33s&#10;Q/RCAmB2fSrSM2J8CaBXSgu59mJnpUsn1CgNTygJBh2Arsq0SkmRPioFMhHTUVSayokkGG/yyVZL&#10;3m4jD4MW5xH4S0Z4psly7ZD0EWrNEye7qP+BslpED16lmfCWnYQUR1DFvHrmzd3Agyxa0GoIj6bD&#10;/4MVH/afItF9RxdoieMWN378/u3449fx51dS11WTLRoDtNh5F7A3TW/9hBfnIQ+YzMonFW1+oiaS&#10;6019fTlvKDlgXF3WDcbFbDklIrDhqp4vrpFTYEPdXFwsSp09AYUI6Z30luSgoxF3WSzm+/eQEApb&#10;H1oyr/O32phCYdxfCWzMGZZVnKbNUZo201naxvcHVDbiNegofNnxKCnZhai3AxIXpeVj3EGhPd+X&#10;vOQ/3wvF0z+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Awx0Nq1AAAAAUBAAAPAAAAAAAAAAEA&#10;IAAAADgAAABkcnMvZG93bnJldi54bWxQSwECFAAUAAAACACHTuJAwgSW3sQBAABrAwAADgAAAAAA&#10;AAABACAAAAA5AQAAZHJzL2Uyb0RvYy54bWxQSwUGAAAAAAYABgBZAQAAbw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无组织排放</w:t>
                              </w:r>
                            </w:p>
                          </w:txbxContent>
                        </v:textbox>
                      </v:shape>
                      <v:shape id="文本框 2202" o:spid="_x0000_s1026" o:spt="202" type="#_x0000_t202" style="position:absolute;left:143510;top:1689100;height:269875;width:1227455;"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UkEcu8MBAABqAwAADgAA&#10;AGRycy9lMm9Eb2MueG1srVNLbtswEN0X6B0I7mvJauw4guUAhZFuirZA2gPQFGkR4K8c2pIv0N6g&#10;q26677l8jg4pJWmSTRbdUMOZ0Zt5b4br68FochQBlLMNnc9KSoTlrlV239CvX27erCiByGzLtLOi&#10;oScB9Hrz+tW697WoXOd0KwJBEAt17xvaxejrogDeCcNg5rywGJQuGBbxGvZFG1iP6EYXVVkui96F&#10;1gfHBQB6t2OQTojhJYBOSsXF1vGDETaOqEFoFpESdMoD3eRupRQ8fpISRCS6ocg05hOLoL1LZ7FZ&#10;s3ofmO8Un1pgL2nhCSfDlMWi91BbFhk5BPUMyigeHDgZZ9yZYiSSFUEW8/KJNrcd8yJzQanB34sO&#10;/w+Wfzx+DkS1DV1SYpnBgZ9//jj/+nP+/Z1UVVklhXoPNSbeekyNwzs34N7c+QGdifggg0lfpERS&#10;/OLtYo4in9Bcrq7m5SS1GCLhKV5VlxeLBSUcM6rl1epykRCLByAfIL4XzpBkNDTgKLPC7PgB4ph6&#10;l5LqWnejtM7j1PaRAzGTp0gsxm6TFYfdMFHbufaEzHrcgobCtwMLgpKDD2rfYeHMNP+MI8gdTuuS&#10;ZvzvPZd4eCK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DDHQ2rUAAAABQEAAA8AAAAAAAAAAQAg&#10;AAAAOAAAAGRycy9kb3ducmV2LnhtbFBLAQIUABQAAAAIAIdO4kBSQRy7wwEAAGoDAAAOAAAAAAAA&#10;AAEAIAAAADkBAABkcnMvZTJvRG9jLnhtbFBLBQYAAAAABgAGAFkBAABuBQAAAAA=&#10;">
                        <v:fill on="f" focussize="0,0"/>
                        <v:stroke on="f"/>
                        <v:imagedata o:title=""/>
                        <o:lock v:ext="edit" aspectratio="f"/>
                        <v:textbox>
                          <w:txbxContent>
                            <w:p>
                              <w:pPr>
                                <w:jc w:val="center"/>
                                <w:rPr>
                                  <w:rFonts w:hint="eastAsia" w:ascii="宋体" w:hAnsi="宋体"/>
                                  <w:sz w:val="18"/>
                                  <w:szCs w:val="18"/>
                                </w:rPr>
                              </w:pPr>
                              <w:r>
                                <w:rPr>
                                  <w:rFonts w:hint="eastAsia" w:ascii="宋体" w:hAnsi="宋体"/>
                                  <w:sz w:val="18"/>
                                  <w:szCs w:val="18"/>
                                </w:rPr>
                                <w:t>非甲烷总烃</w:t>
                              </w:r>
                            </w:p>
                          </w:txbxContent>
                        </v:textbox>
                      </v:shape>
                      <v:shape id="文本框 4174" o:spid="_x0000_s1026" o:spt="202" type="#_x0000_t202" style="position:absolute;left:85725;top:1936115;height:254635;width:1328420;"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ztUn+MQBAABpAwAADgAA&#10;AGRycy9lMm9Eb2MueG1srVNLjhMxEN0jcQfLe9LpzpdWOiOhaNggQBo4gOO205b8w+WkOxeAG7Bi&#10;w55z5RyU3ZkZGDazYOO2q55f1Xvl3twMRpOTCKCcbWg5mVIiLHetsoeGfv50+2pNCURmW6adFQ09&#10;C6A325cvNr2vReU6p1sRCJJYqHvf0C5GXxcF8E4YBhPnhcWkdMGwiMdwKNrAemQ3uqim02XRu9D6&#10;4LgAwOhuTNIrY3gOoZNScbFz/GiEjSNrEJpFlASd8kC3uVspBY8fpAQRiW4oKo15xSK436e12G5Y&#10;fQjMd4pfW2DPaeGJJsOUxaIPVDsWGTkG9Q+VUTw4cDJOuDPFKCQ7girK6RNv7jrmRdaCVoN/MB3+&#10;Hy1/f/oYiGobuqLEMoMDv3z/dvnx6/LzK5mXq3lyqPdQI/DOIzQOb9yA7+Y+DhhMwgcZTPqiJIL5&#10;9WJVLSg5I/L1bFmWi9FpMUTC0/VZtZ5XOASOiGoxX84yoHjk8QHiW+EMSZuGBpxkNpid3kHEnhB6&#10;D0llrbtVWudpavtXAIEpUiQRY7NpF4f9cFW2d+0ZhfX4CBoKX44sCEqOPqhDh4Wz0HwZJ5DLXl9L&#10;GvGf51zi8Q/Z/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Awx0Nq1AAAAAUBAAAPAAAAAAAAAAEA&#10;IAAAADgAAABkcnMvZG93bnJldi54bWxQSwECFAAUAAAACACHTuJAztUn+MQBAABpAwAADgAAAAAA&#10;AAABACAAAAA5AQAAZHJzL2Uyb0RvYy54bWxQSwUGAAAAAAYABgBZAQAAbwUAAAAA&#10;">
                        <v:fill on="f" focussize="0,0"/>
                        <v:stroke on="f"/>
                        <v:imagedata o:title=""/>
                        <o:lock v:ext="edit" aspectratio="f"/>
                        <v:textbox>
                          <w:txbxContent>
                            <w:p>
                              <w:pPr>
                                <w:adjustRightInd w:val="0"/>
                                <w:snapToGrid w:val="0"/>
                                <w:jc w:val="center"/>
                                <w:rPr>
                                  <w:rFonts w:hint="default" w:eastAsia="宋体"/>
                                  <w:sz w:val="18"/>
                                  <w:szCs w:val="18"/>
                                  <w:lang w:val="en-US" w:eastAsia="zh-CN"/>
                                </w:rPr>
                              </w:pPr>
                              <w:r>
                                <w:rPr>
                                  <w:rFonts w:hint="eastAsia"/>
                                  <w:sz w:val="18"/>
                                  <w:szCs w:val="18"/>
                                  <w:lang w:val="en-US" w:eastAsia="zh-CN"/>
                                </w:rPr>
                                <w:t>机加工废气</w:t>
                              </w:r>
                            </w:p>
                          </w:txbxContent>
                        </v:textbox>
                      </v:shape>
                      <v:line id="直线 4172" o:spid="_x0000_s1026" o:spt="20" style="position:absolute;left:49530;top:1950720;height:635;width:1393825;" filled="f" stroked="t" coordsize="21600,21600" o:gfxdata="UEsFBgAAAAAAAAAAAAAAAAAAAAAAAFBLAwQKAAAAAACHTuJAAAAAAAAAAAAAAAAABAAAAGRycy9Q&#10;SwMEFAAAAAgAh07iQFFop7fXAAAABQEAAA8AAABkcnMvZG93bnJldi54bWxNj8FOwzAQRO9I/IO1&#10;SNyobURpFOL0UKlcWkBtEYKbGy9J1Hgd2U4b/h7TC72sNJrRzNtiPtqOHdGH1pECORHAkCpnWqoV&#10;vO+WdxmwEDUZ3TlCBT8YYF5eXxU6N+5EGzxuY81SCYVcK2hi7HPOQ9Wg1WHieqTkfTtvdUzS19x4&#10;fUrltuP3Qjxyq1tKC43ucdFgddgOVsFmvVxlH6thrPzXs3zdva1fPkOm1O2NFE/AIo7xPwx/+Akd&#10;ysS0dwOZwDoF6ZF4vsnLxHQKbK/gQc4k8LLgl/TlL1BLAwQUAAAACACHTuJAEkvC7fUBAADiAwAA&#10;DgAAAGRycy9lMm9Eb2MueG1srVNLbtswEN0X6B0I7mv5EyexYDmLuOmmaA20PcCYoiQC/IHDWPZZ&#10;eo2uuulxco0OKTVOUhTIolpQQ/Lxcd6b4frmaDQ7yIDK2YrPJlPOpBWuVrat+Levd++uOcMItgbt&#10;rKz4SSK/2bx9s+59Keeuc7qWgRGJxbL3Fe9i9GVRoOikAZw4Ly1tNi4YiDQNbVEH6Ind6GI+nV4W&#10;vQu1D05IRFrdDpt8ZAyvIXRNo4TcOnFvpI0Da5AaIknCTnnkm5xt00gRPzcNysh0xUlpzCNdQvE+&#10;jcVmDWUbwHdKjCnAa1J4ocmAsnTpI9UWIrD7oP6iMkoEh66JE+FMMQjJjpCK2fSFN1868DJrIavR&#10;P5qO/49WfDrsAlN1xansFgwV/OH7j4efv9jF7Gqe7Ok9loS6tbswztDvQtJ6bIJJf1LBjhW/WC0X&#10;ZOuJmmq1nF7NR3PlMTJB27PFanE9X3ImCHG5WCbu4kziA8YP0hmWgoprZZNyKOHwEeMA/QNJy9qy&#10;vuKrZSYEasOGyk/cxpMUtG0+i06r+k5pnU5gaPe3OrADpFbI35jCM1i6ZAvYDbi8lWBQdhLq97Zm&#10;8eTJJEtvg6cUjKw505KeUooyMoLSZ2QMCmyr/4EmB7QlI5LLg68p2rv6lO3O61T6bNXYpqm3ns7z&#10;6fPT3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UWint9cAAAAFAQAADwAAAAAAAAABACAAAAA4&#10;AAAAZHJzL2Rvd25yZXYueG1sUEsBAhQAFAAAAAgAh07iQBJLwu31AQAA4gMAAA4AAAAAAAAAAQAg&#10;AAAAPAEAAGRycy9lMm9Eb2MueG1sUEsFBgAAAAAGAAYAWQEAAKMFAAAAAA==&#10;">
                        <v:fill on="f" focussize="0,0"/>
                        <v:stroke color="#000000" joinstyle="round" endarrow="block"/>
                        <v:imagedata o:title=""/>
                        <o:lock v:ext="edit" aspectratio="f"/>
                      </v:line>
                      <v:shape id="文本框 2205" o:spid="_x0000_s1026" o:spt="202" type="#_x0000_t202" style="position:absolute;left:1442085;top:1819910;height:253365;width:821690;" filled="f" stroked="f" coordsize="21600,21600" o:gfxdata="UEsFBgAAAAAAAAAAAAAAAAAAAAAAAFBLAwQKAAAAAACHTuJAAAAAAAAAAAAAAAAABAAAAGRycy9Q&#10;SwMEFAAAAAgAh07iQDDHQ2rUAAAABQEAAA8AAABkcnMvZG93bnJldi54bWxNj81OwzAQhO9IvIO1&#10;SNyoHdRAm2bTA4griPIjcXPjbRIRr6PYbcLbs3CBy0qjGc18W25n36sTjbELjJAtDCjiOriOG4TX&#10;l4erFaiYLDvbByaEL4qwrc7PSlu4MPEznXapUVLCsbAIbUpDoXWsW/I2LsJALN4hjN4mkWOj3Wgn&#10;Kfe9vjbmRnvbsSy0dqC7lurP3dEjvD0ePt6X5qm59/kwhdlo9muNeHmRmQ2oRHP6C8MPvqBDJUz7&#10;cGQXVY8gj6TfK97K5DmoPcIyu81AV6X+T199A1BLAwQUAAAACACHTuJA6DpmVcQBAABqAwAADgAA&#10;AGRycy9lMm9Eb2MueG1srVNLbtswEN0X6B0I7mtKSmzYguUAhZFuirZAmgPQFGUR4K8c2pIv0N6g&#10;q26677l8jg5pJWnTTRbdUMPh03vzZsj1zWg0OcoAytmGlrOCEmmFa5XdN/T+8+2bJSUQuW25dlY2&#10;9CSB3mxev1oPvpaV651uZSBIYqEefEP7GH3NGIheGg4z56XFw84FwyNuw561gQ/IbjSrimLBBhda&#10;H5yQAJjdXg7pxBheQui6Tgm5deJgpI0X1iA1j2gJeuWBbnK1XSdF/Nh1ICPRDUWnMa8ogvEurWyz&#10;5vU+cN8rMZXAX1LCM0+GK4uij1RbHjk5BPUPlVEiOHBdnAln2MVI7gi6KItnvbnruZfZC7Ya/GPT&#10;4f/Rig/HT4GotqErSiw3OPDz92/nH7/OP7+SqirmqUODhxqBdx6hcXzrRrw3D3nAZDI+dsGkL1oi&#10;6fz6uiqWc0pOGC/L1aqcei3HSAQCllW5WOEUBAKq+dXVIiuxJyIfIL6TzpAUNDTgKHOH+fE9RCwK&#10;oQ+QpGvdrdI6j1PbvxIITBmWXFyqTVEcd+NkbefaEzob8BY0FL4ceJCUHHxQ+x6Fs9P8M44gy07X&#10;Jc34z32WeHoi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Awx0Nq1AAAAAUBAAAPAAAAAAAAAAEA&#10;IAAAADgAAABkcnMvZG93bnJldi54bWxQSwECFAAUAAAACACHTuJA6DpmVcQBAABqAwAADgAAAAAA&#10;AAABACAAAAA5AQAAZHJzL2Uyb0RvYy54bWxQSwUGAAAAAAYABgBZAQAAbw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无组织排放</w:t>
                              </w:r>
                            </w:p>
                          </w:txbxContent>
                        </v:textbox>
                      </v:shape>
                      <w10:wrap type="none"/>
                      <w10:anchorlock/>
                    </v:group>
                  </w:pict>
                </mc:Fallback>
              </mc:AlternateContent>
            </w:r>
          </w:p>
          <w:p>
            <w:pPr>
              <w:adjustRightInd w:val="0"/>
              <w:snapToGrid w:val="0"/>
              <w:spacing w:line="360" w:lineRule="auto"/>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B.废气防治措施技术可行性分析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本项目所属行业为机械零部件加工，目前尚未发布排污许可申请与核发技术规范，项目主要生产工艺为喷漆，</w:t>
            </w:r>
            <w:r>
              <w:rPr>
                <w:rFonts w:hint="eastAsia" w:ascii="Times New Roman" w:hAnsi="Times New Roman" w:eastAsia="宋体"/>
                <w:color w:val="auto"/>
                <w:sz w:val="24"/>
                <w:szCs w:val="24"/>
              </w:rPr>
              <w:t>参考《排污许可证申请与核发技术规范 铁路、船舶、航空航天和其他运输设备制造业》，</w:t>
            </w:r>
            <w:r>
              <w:rPr>
                <w:rFonts w:hint="eastAsia" w:ascii="Times New Roman" w:hAnsi="Times New Roman" w:eastAsia="宋体" w:cs="Times New Roman"/>
                <w:color w:val="auto"/>
                <w:sz w:val="24"/>
                <w:szCs w:val="24"/>
                <w:lang w:val="en-US" w:eastAsia="zh-CN"/>
              </w:rPr>
              <w:t>喷漆室产生的挥发性有机物防治可行技术为有机废气治理设施，活性炭吸附、吸附/浓缩+热力燃烧/催化氧化等，晾干工序产生的挥发性有机物防治可行技术为有机废气治理设施，活性炭吸附、吸附/浓缩+热力燃烧/催化氧化等。</w:t>
            </w:r>
          </w:p>
          <w:p>
            <w:pPr>
              <w:adjustRightInd w:val="0"/>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s="Times New Roman"/>
                <w:color w:val="auto"/>
                <w:sz w:val="24"/>
                <w:szCs w:val="24"/>
                <w:lang w:val="en-US" w:eastAsia="zh-CN"/>
              </w:rPr>
              <w:t>本项目喷漆有机废气与晾干有机废气收集后通</w:t>
            </w:r>
            <w:r>
              <w:rPr>
                <w:rFonts w:hint="eastAsia" w:cs="Times New Roman"/>
                <w:color w:val="auto"/>
                <w:sz w:val="24"/>
                <w:szCs w:val="24"/>
                <w:lang w:val="en-US" w:eastAsia="zh-CN"/>
              </w:rPr>
              <w:t>过</w:t>
            </w:r>
            <w:r>
              <w:rPr>
                <w:rFonts w:hint="eastAsia" w:ascii="Times New Roman" w:hAnsi="Times New Roman" w:eastAsia="宋体" w:cs="Times New Roman"/>
                <w:color w:val="auto"/>
                <w:sz w:val="24"/>
                <w:szCs w:val="24"/>
                <w:lang w:val="en-US" w:eastAsia="zh-CN"/>
              </w:rPr>
              <w:t>多级过滤器+三级活性炭吸附装置处理，</w:t>
            </w:r>
            <w:r>
              <w:rPr>
                <w:rFonts w:hint="eastAsia" w:ascii="Times New Roman" w:hAnsi="Times New Roman" w:eastAsia="宋体"/>
                <w:color w:val="auto"/>
                <w:sz w:val="24"/>
                <w:szCs w:val="24"/>
                <w:lang w:val="en-US" w:eastAsia="zh-CN"/>
              </w:rPr>
              <w:t>根据《吸附法工业有机废气治理工程技术规范》(HJ2026-2013)4.3 进入吸附装置的颗粒物含量宜低于 1mg/m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；6.3.2.2 当废气中颗粒物含量超过 1mg/m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 xml:space="preserve"> 时应先采用过滤或洗涤等方式进行预处理。项目喷漆时废气中漆雾颗粒浓度较高远大于 1mg/m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，采用了</w:t>
            </w:r>
            <w:r>
              <w:rPr>
                <w:rFonts w:hint="eastAsia" w:ascii="Times New Roman" w:hAnsi="Times New Roman" w:eastAsia="宋体" w:cs="Times New Roman"/>
                <w:color w:val="auto"/>
                <w:sz w:val="24"/>
                <w:szCs w:val="24"/>
                <w:lang w:val="en-US" w:eastAsia="zh-CN"/>
              </w:rPr>
              <w:t>多级过滤器进行</w:t>
            </w:r>
            <w:r>
              <w:rPr>
                <w:rFonts w:hint="eastAsia" w:ascii="Times New Roman" w:hAnsi="Times New Roman" w:eastAsia="宋体"/>
                <w:color w:val="auto"/>
                <w:sz w:val="24"/>
                <w:szCs w:val="24"/>
                <w:lang w:val="en-US" w:eastAsia="zh-CN"/>
              </w:rPr>
              <w:t>处理，因此符合要求；</w:t>
            </w:r>
            <w:r>
              <w:rPr>
                <w:rFonts w:hint="eastAsia"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vertAlign w:val="baseline"/>
                <w:lang w:val="en-US" w:eastAsia="zh-CN"/>
              </w:rPr>
              <w:t>烟气温度低于40℃，符合活性炭吸附的相关要求。</w:t>
            </w:r>
          </w:p>
          <w:p>
            <w:pPr>
              <w:adjustRightInd w:val="0"/>
              <w:snapToGrid w:val="0"/>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对照2025年</w:t>
            </w:r>
            <w:r>
              <w:rPr>
                <w:rFonts w:hint="eastAsia" w:ascii="Times New Roman" w:hAnsi="Times New Roman" w:eastAsia="宋体"/>
                <w:color w:val="auto"/>
                <w:sz w:val="24"/>
                <w:szCs w:val="24"/>
                <w:lang w:eastAsia="zh-CN"/>
              </w:rPr>
              <w:t>《国家污染防治技术指导目录》，</w:t>
            </w:r>
            <w:r>
              <w:rPr>
                <w:rFonts w:hint="eastAsia" w:ascii="Times New Roman" w:hAnsi="Times New Roman" w:eastAsia="宋体"/>
                <w:color w:val="auto"/>
                <w:sz w:val="24"/>
                <w:szCs w:val="24"/>
                <w:lang w:val="en-US" w:eastAsia="zh-CN"/>
              </w:rPr>
              <w:t>本项目使用的三级活性炭吸附装置不属于低效类技术中的“VOCs光催化及其组合净化技术、VOCs低温等离子体及其组合净化技术、VOCs光解（光氧化）及其组合净化技术”，符合2025年</w:t>
            </w:r>
            <w:r>
              <w:rPr>
                <w:rFonts w:hint="eastAsia" w:ascii="Times New Roman" w:hAnsi="Times New Roman" w:eastAsia="宋体"/>
                <w:color w:val="auto"/>
                <w:sz w:val="24"/>
                <w:szCs w:val="24"/>
                <w:lang w:eastAsia="zh-CN"/>
              </w:rPr>
              <w:t>《国家污染防治技术指导目录》。</w:t>
            </w:r>
          </w:p>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C.处理原理</w:t>
            </w:r>
          </w:p>
          <w:p>
            <w:pPr>
              <w:snapToGrid w:val="0"/>
              <w:spacing w:line="360" w:lineRule="auto"/>
              <w:ind w:firstLine="482"/>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①多级过滤器</w:t>
            </w:r>
          </w:p>
          <w:p>
            <w:pPr>
              <w:snapToGrid w:val="0"/>
              <w:spacing w:line="360" w:lineRule="auto"/>
              <w:ind w:firstLine="482"/>
              <w:rPr>
                <w:rFonts w:hint="eastAsia" w:ascii="Times New Roman" w:hAnsi="Times New Roman" w:eastAsia="宋体" w:cs="宋体"/>
                <w:color w:val="auto"/>
                <w:sz w:val="24"/>
                <w:szCs w:val="24"/>
                <w:lang w:eastAsia="zh-CN"/>
              </w:rPr>
            </w:pPr>
            <w:r>
              <w:rPr>
                <w:rFonts w:hint="eastAsia" w:ascii="Times New Roman" w:hAnsi="Times New Roman" w:eastAsia="宋体"/>
                <w:b w:val="0"/>
                <w:bCs w:val="0"/>
                <w:color w:val="auto"/>
                <w:sz w:val="24"/>
                <w:lang w:val="en-US" w:eastAsia="zh-CN"/>
              </w:rPr>
              <w:t>多级过滤器工作原理：为了防止细小颗粒杂质等进入到吸附净化装置，以确保吸附处理系统的气源干净、干燥、无颗粒；采用金属网制成框架，内夹超细玻璃纤维过滤材料，过滤器安装在金属箱体内，</w:t>
            </w:r>
            <w:r>
              <w:rPr>
                <w:rFonts w:ascii="Times New Roman" w:hAnsi="Times New Roman" w:eastAsia="宋体" w:cs="宋体"/>
                <w:color w:val="auto"/>
                <w:sz w:val="24"/>
                <w:szCs w:val="24"/>
              </w:rPr>
              <w:t>定期更换。在多级过滤器中一般会有三级过滤，初效、中效、高效三种。空气过滤器主要作用为拦截废气中的漆雾、固体颗粒杂质，为后续活性炭吸附提供有利条件。过滤棉材质具有 通风量大、阻力小、容尘量大等特点</w:t>
            </w:r>
            <w:r>
              <w:rPr>
                <w:rFonts w:hint="eastAsia" w:ascii="Times New Roman" w:hAnsi="Times New Roman" w:eastAsia="宋体" w:cs="宋体"/>
                <w:color w:val="auto"/>
                <w:sz w:val="24"/>
                <w:szCs w:val="24"/>
                <w:lang w:eastAsia="zh-CN"/>
              </w:rPr>
              <w:t>。</w:t>
            </w:r>
          </w:p>
          <w:p>
            <w:pPr>
              <w:snapToGrid w:val="0"/>
              <w:spacing w:line="360" w:lineRule="auto"/>
              <w:ind w:firstLine="482"/>
              <w:rPr>
                <w:rFonts w:hint="eastAsia" w:ascii="Times New Roman" w:hAnsi="Times New Roman" w:eastAsia="宋体"/>
                <w:b/>
                <w:bCs/>
                <w:color w:val="auto"/>
                <w:sz w:val="24"/>
              </w:rPr>
            </w:pPr>
            <w:r>
              <w:rPr>
                <w:rFonts w:hint="eastAsia" w:ascii="Times New Roman" w:hAnsi="Times New Roman" w:eastAsia="宋体"/>
                <w:b w:val="0"/>
                <w:bCs w:val="0"/>
                <w:color w:val="auto"/>
                <w:sz w:val="24"/>
                <w:lang w:val="en-US" w:eastAsia="zh-CN"/>
              </w:rPr>
              <w:t>根据中华人民共和国国家标准《空气过滤器》（GB/T14295-2019）标准要求，过滤器分为四大类（粗效、中效、高中效、亚高效），其中亚高效可达（GZ）95%≤效率＜99%，本项目多级过滤器取96%。</w:t>
            </w:r>
          </w:p>
          <w:p>
            <w:pPr>
              <w:snapToGrid w:val="0"/>
              <w:spacing w:line="360" w:lineRule="auto"/>
              <w:ind w:firstLine="482"/>
              <w:rPr>
                <w:rFonts w:ascii="Times New Roman" w:hAnsi="Times New Roman" w:eastAsia="宋体"/>
                <w:b/>
                <w:bCs/>
                <w:color w:val="auto"/>
                <w:sz w:val="24"/>
              </w:rPr>
            </w:pPr>
            <w:r>
              <w:rPr>
                <w:rFonts w:hint="eastAsia" w:ascii="Times New Roman" w:hAnsi="Times New Roman" w:eastAsia="宋体"/>
                <w:b/>
                <w:bCs/>
                <w:color w:val="auto"/>
                <w:sz w:val="24"/>
                <w:lang w:val="en-US" w:eastAsia="zh-CN"/>
              </w:rPr>
              <w:t>②</w:t>
            </w:r>
            <w:r>
              <w:rPr>
                <w:rFonts w:ascii="Times New Roman" w:hAnsi="Times New Roman" w:eastAsia="宋体"/>
                <w:b/>
                <w:bCs/>
                <w:color w:val="auto"/>
                <w:sz w:val="24"/>
              </w:rPr>
              <w:t>活性炭吸附装置</w:t>
            </w:r>
          </w:p>
          <w:p>
            <w:pPr>
              <w:snapToGrid w:val="0"/>
              <w:spacing w:line="360" w:lineRule="auto"/>
              <w:ind w:firstLine="482"/>
              <w:rPr>
                <w:rFonts w:ascii="Times New Roman" w:hAnsi="Times New Roman" w:eastAsia="宋体"/>
                <w:color w:val="auto"/>
                <w:kern w:val="24"/>
                <w:sz w:val="24"/>
                <w:lang w:bidi="ar"/>
              </w:rPr>
            </w:pPr>
            <w:r>
              <w:rPr>
                <w:rFonts w:ascii="Times New Roman" w:hAnsi="Times New Roman" w:eastAsia="宋体"/>
                <w:color w:val="auto"/>
                <w:sz w:val="24"/>
              </w:rPr>
              <w:t>活性炭吸附是一种常用的吸附方法，吸附法主要利用高孔隙率、高比表面积的吸附剂，</w:t>
            </w:r>
            <w:r>
              <w:rPr>
                <w:rFonts w:hint="eastAsia" w:ascii="Times New Roman" w:hAnsi="Times New Roman" w:eastAsia="宋体"/>
                <w:color w:val="auto"/>
                <w:sz w:val="24"/>
              </w:rPr>
              <w:t>通过</w:t>
            </w:r>
            <w:r>
              <w:rPr>
                <w:rFonts w:ascii="Times New Roman" w:hAnsi="Times New Roman" w:eastAsia="宋体"/>
                <w:color w:val="auto"/>
                <w:sz w:val="24"/>
              </w:rPr>
              <w:t>物理性吸附(可逆反应)或化学性键结</w:t>
            </w:r>
            <w:r>
              <w:rPr>
                <w:rFonts w:hint="eastAsia" w:ascii="Times New Roman" w:hAnsi="Times New Roman" w:eastAsia="宋体"/>
                <w:color w:val="auto"/>
                <w:sz w:val="24"/>
              </w:rPr>
              <w:t>（</w:t>
            </w:r>
            <w:r>
              <w:rPr>
                <w:rFonts w:ascii="Times New Roman" w:hAnsi="Times New Roman" w:eastAsia="宋体"/>
                <w:color w:val="auto"/>
                <w:sz w:val="24"/>
              </w:rPr>
              <w:t>不可逆反应</w:t>
            </w:r>
            <w:r>
              <w:rPr>
                <w:rFonts w:hint="eastAsia" w:ascii="Times New Roman" w:hAnsi="Times New Roman" w:eastAsia="宋体"/>
                <w:color w:val="auto"/>
                <w:sz w:val="24"/>
              </w:rPr>
              <w:t>）</w:t>
            </w:r>
            <w:r>
              <w:rPr>
                <w:rFonts w:ascii="Times New Roman" w:hAnsi="Times New Roman" w:eastAsia="宋体"/>
                <w:color w:val="auto"/>
                <w:sz w:val="24"/>
              </w:rPr>
              <w:t>作用，将有机气体分子自废气中分离，以达成净化废气的目的。由于一般多采用物理性吸附，随操作时间之增加，吸附剂将逐渐趋于饱和现象，</w:t>
            </w:r>
            <w:r>
              <w:rPr>
                <w:rFonts w:hint="eastAsia" w:ascii="Times New Roman" w:hAnsi="Times New Roman" w:eastAsia="宋体"/>
                <w:color w:val="auto"/>
                <w:sz w:val="24"/>
              </w:rPr>
              <w:t>则需</w:t>
            </w:r>
            <w:r>
              <w:rPr>
                <w:rFonts w:ascii="Times New Roman" w:hAnsi="Times New Roman" w:eastAsia="宋体"/>
                <w:color w:val="auto"/>
                <w:sz w:val="24"/>
              </w:rPr>
              <w:t>进行脱附再生或吸附剂更换工作。在有机废气处理过程中，活性炭常被用来吸附烷烃、烯烃、芳香烃、酮、醛、氯代烃、酯以及挥发性有机化合物。活性炭是一种具有非极性表面、疏水性、亲有机物的吸附剂，活性炭</w:t>
            </w:r>
            <w:r>
              <w:rPr>
                <w:rFonts w:hint="eastAsia" w:ascii="Times New Roman" w:hAnsi="Times New Roman" w:eastAsia="宋体"/>
                <w:color w:val="auto"/>
                <w:sz w:val="24"/>
              </w:rPr>
              <w:t>常</w:t>
            </w:r>
            <w:r>
              <w:rPr>
                <w:rFonts w:ascii="Times New Roman" w:hAnsi="Times New Roman" w:eastAsia="宋体"/>
                <w:color w:val="auto"/>
                <w:sz w:val="24"/>
              </w:rPr>
              <w:t>被用来吸附回收空气中的有机溶剂和恶臭物质，它可以根据需要制成不同性状和粒度，如粉末活性炭、颗粒活性炭及柱状活性炭。活性炭吸附的实质是利用活性炭吸附的特性把低浓度大风量废气中的有机溶剂吸附到活性炭中并浓缩，经活性炭吸附净化后的气体直接排空，其实质是一个吸附浓缩的过程，是一个物理过程。</w:t>
            </w:r>
          </w:p>
          <w:p>
            <w:pPr>
              <w:spacing w:line="360" w:lineRule="auto"/>
              <w:ind w:firstLine="420" w:firstLineChars="200"/>
              <w:jc w:val="center"/>
              <w:rPr>
                <w:rFonts w:ascii="Times New Roman" w:hAnsi="Times New Roman" w:eastAsia="宋体"/>
                <w:b/>
                <w:color w:val="auto"/>
                <w:szCs w:val="21"/>
              </w:rPr>
            </w:pPr>
            <w:r>
              <w:rPr>
                <w:rFonts w:ascii="Times New Roman" w:hAnsi="Times New Roman" w:eastAsia="宋体"/>
                <w:color w:val="auto"/>
                <w:szCs w:val="21"/>
              </w:rPr>
              <w:drawing>
                <wp:inline distT="0" distB="0" distL="114300" distR="114300">
                  <wp:extent cx="2809875" cy="1000760"/>
                  <wp:effectExtent l="0" t="0" r="9525" b="5080"/>
                  <wp:docPr id="54" name="图片 5" descr="b8c47e7d659708e87a1650eb047b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b8c47e7d659708e87a1650eb047b501"/>
                          <pic:cNvPicPr>
                            <a:picLocks noChangeAspect="1"/>
                          </pic:cNvPicPr>
                        </pic:nvPicPr>
                        <pic:blipFill>
                          <a:blip r:embed="rId12"/>
                          <a:srcRect b="24844"/>
                          <a:stretch>
                            <a:fillRect/>
                          </a:stretch>
                        </pic:blipFill>
                        <pic:spPr>
                          <a:xfrm>
                            <a:off x="0" y="0"/>
                            <a:ext cx="2809875" cy="1000760"/>
                          </a:xfrm>
                          <a:prstGeom prst="rect">
                            <a:avLst/>
                          </a:prstGeom>
                          <a:noFill/>
                          <a:ln>
                            <a:noFill/>
                          </a:ln>
                        </pic:spPr>
                      </pic:pic>
                    </a:graphicData>
                  </a:graphic>
                </wp:inline>
              </w:drawing>
            </w:r>
          </w:p>
          <w:p>
            <w:pPr>
              <w:adjustRightInd w:val="0"/>
              <w:snapToGrid w:val="0"/>
              <w:spacing w:line="360" w:lineRule="auto"/>
              <w:ind w:firstLine="472" w:firstLineChars="196"/>
              <w:jc w:val="center"/>
              <w:rPr>
                <w:rFonts w:ascii="Times New Roman" w:hAnsi="Times New Roman" w:eastAsia="宋体"/>
                <w:b/>
                <w:color w:val="auto"/>
                <w:szCs w:val="21"/>
              </w:rPr>
            </w:pPr>
            <w:r>
              <w:rPr>
                <w:rFonts w:ascii="Times New Roman" w:hAnsi="Times New Roman" w:eastAsia="宋体"/>
                <w:b/>
                <w:color w:val="auto"/>
                <w:sz w:val="24"/>
              </w:rPr>
              <w:t>图4-</w:t>
            </w:r>
            <w:r>
              <w:rPr>
                <w:rFonts w:hint="eastAsia" w:ascii="Times New Roman" w:hAnsi="Times New Roman" w:eastAsia="宋体"/>
                <w:b/>
                <w:color w:val="auto"/>
                <w:sz w:val="24"/>
              </w:rPr>
              <w:t>2</w:t>
            </w:r>
            <w:r>
              <w:rPr>
                <w:rFonts w:ascii="Times New Roman" w:hAnsi="Times New Roman" w:eastAsia="宋体"/>
                <w:b/>
                <w:color w:val="auto"/>
                <w:sz w:val="24"/>
              </w:rPr>
              <w:t xml:space="preserve"> 活性炭吸附原理图</w:t>
            </w:r>
          </w:p>
          <w:p>
            <w:pPr>
              <w:spacing w:line="360" w:lineRule="auto"/>
              <w:ind w:firstLine="480" w:firstLineChars="200"/>
              <w:rPr>
                <w:rFonts w:ascii="Times New Roman" w:hAnsi="Times New Roman" w:eastAsia="宋体"/>
                <w:color w:val="auto"/>
                <w:sz w:val="24"/>
              </w:rPr>
            </w:pPr>
            <w:r>
              <w:rPr>
                <w:rFonts w:ascii="Times New Roman" w:hAnsi="Times New Roman" w:eastAsia="宋体" w:cs="宋体"/>
                <w:color w:val="auto"/>
                <w:sz w:val="24"/>
                <w:szCs w:val="24"/>
              </w:rPr>
              <w:t>根据《大气中VOCS的污染现状及治理技术研究进展》（曲茉莉，黑龙江 省环境监测中心站，黑龙江哈尔滨 150056）中的数据，单级活性炭吸附装置 对VOCs去除率可达70%。本项目采用三级活性炭吸附装置处理，废气处理效率</w:t>
            </w:r>
            <w:r>
              <w:rPr>
                <w:rFonts w:hint="eastAsia" w:ascii="Times New Roman" w:hAnsi="Times New Roman" w:eastAsia="宋体" w:cs="宋体"/>
                <w:color w:val="auto"/>
                <w:sz w:val="24"/>
                <w:szCs w:val="24"/>
                <w:lang w:val="en-US" w:eastAsia="zh-CN"/>
              </w:rPr>
              <w:t>按95</w:t>
            </w:r>
            <w:r>
              <w:rPr>
                <w:rFonts w:ascii="Times New Roman" w:hAnsi="Times New Roman" w:eastAsia="宋体" w:cs="宋体"/>
                <w:color w:val="auto"/>
                <w:sz w:val="24"/>
                <w:szCs w:val="24"/>
              </w:rPr>
              <w:t>%计。</w:t>
            </w:r>
          </w:p>
          <w:p>
            <w:pPr>
              <w:adjustRightInd w:val="0"/>
              <w:snapToGrid w:val="0"/>
              <w:spacing w:line="360" w:lineRule="auto"/>
              <w:ind w:firstLine="480" w:firstLineChars="200"/>
              <w:rPr>
                <w:rFonts w:ascii="Times New Roman" w:hAnsi="Times New Roman" w:eastAsia="宋体"/>
                <w:b/>
                <w:color w:val="auto"/>
                <w:sz w:val="24"/>
              </w:rPr>
            </w:pPr>
            <w:r>
              <w:rPr>
                <w:rFonts w:ascii="Times New Roman" w:hAnsi="Times New Roman" w:eastAsia="宋体"/>
                <w:color w:val="auto"/>
                <w:sz w:val="24"/>
              </w:rPr>
              <w:t>活性炭吸附处理装置设计参数</w:t>
            </w:r>
            <w:r>
              <w:rPr>
                <w:rFonts w:hint="eastAsia" w:ascii="Times New Roman" w:hAnsi="Times New Roman" w:eastAsia="宋体"/>
                <w:color w:val="auto"/>
                <w:sz w:val="24"/>
              </w:rPr>
              <w:t>见下表</w:t>
            </w:r>
            <w:r>
              <w:rPr>
                <w:rFonts w:ascii="Times New Roman" w:hAnsi="Times New Roman" w:eastAsia="宋体"/>
                <w:color w:val="auto"/>
                <w:sz w:val="24"/>
              </w:rPr>
              <w:t>。</w:t>
            </w:r>
          </w:p>
          <w:p>
            <w:pPr>
              <w:ind w:firstLine="422" w:firstLineChars="200"/>
              <w:jc w:val="center"/>
              <w:rPr>
                <w:rFonts w:hint="eastAsia"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4-</w:t>
            </w:r>
            <w:r>
              <w:rPr>
                <w:rFonts w:hint="eastAsia" w:ascii="Times New Roman" w:hAnsi="Times New Roman" w:eastAsia="宋体"/>
                <w:b/>
                <w:color w:val="auto"/>
                <w:szCs w:val="21"/>
                <w:lang w:val="en-US" w:eastAsia="zh-CN"/>
              </w:rPr>
              <w:t>4</w:t>
            </w:r>
            <w:r>
              <w:rPr>
                <w:rFonts w:hint="eastAsia" w:ascii="Times New Roman" w:hAnsi="Times New Roman" w:eastAsia="宋体"/>
                <w:b/>
                <w:color w:val="auto"/>
                <w:szCs w:val="21"/>
              </w:rPr>
              <w:t>活性炭吸附装置设计参数</w:t>
            </w:r>
          </w:p>
          <w:tbl>
            <w:tblPr>
              <w:tblStyle w:val="21"/>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89"/>
              <w:gridCol w:w="2281"/>
              <w:gridCol w:w="2281"/>
              <w:gridCol w:w="2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6" w:hRule="atLeast"/>
                <w:jc w:val="center"/>
              </w:trPr>
              <w:tc>
                <w:tcPr>
                  <w:tcW w:w="792"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w:t>
                  </w:r>
                </w:p>
              </w:tc>
              <w:tc>
                <w:tcPr>
                  <w:tcW w:w="1402"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有机废气收集系统</w:t>
                  </w:r>
                  <w:r>
                    <w:rPr>
                      <w:rFonts w:hint="eastAsia" w:ascii="Times New Roman" w:hAnsi="Times New Roman" w:eastAsia="宋体"/>
                      <w:b/>
                      <w:bCs/>
                      <w:color w:val="auto"/>
                      <w:szCs w:val="21"/>
                    </w:rPr>
                    <w:t>1#</w:t>
                  </w:r>
                </w:p>
              </w:tc>
              <w:tc>
                <w:tcPr>
                  <w:tcW w:w="1402" w:type="pct"/>
                  <w:tcBorders>
                    <w:tl2br w:val="nil"/>
                    <w:tr2bl w:val="nil"/>
                  </w:tcBorders>
                  <w:vAlign w:val="center"/>
                </w:tcPr>
                <w:p>
                  <w:pPr>
                    <w:jc w:val="center"/>
                    <w:rPr>
                      <w:rFonts w:ascii="Times New Roman" w:hAnsi="Times New Roman" w:eastAsia="宋体"/>
                      <w:b/>
                      <w:bCs/>
                      <w:color w:val="auto"/>
                      <w:szCs w:val="21"/>
                    </w:rPr>
                  </w:pPr>
                  <w:r>
                    <w:rPr>
                      <w:rFonts w:hint="eastAsia" w:ascii="Times New Roman" w:hAnsi="Times New Roman" w:eastAsia="宋体"/>
                      <w:b/>
                      <w:bCs/>
                      <w:color w:val="auto"/>
                      <w:szCs w:val="21"/>
                    </w:rPr>
                    <w:t>《吸附法工业有机废气治理工程技术规范》（HJ 2026-2013）</w:t>
                  </w:r>
                </w:p>
              </w:tc>
              <w:tc>
                <w:tcPr>
                  <w:tcW w:w="1402" w:type="pct"/>
                  <w:tcBorders>
                    <w:tl2br w:val="nil"/>
                    <w:tr2bl w:val="nil"/>
                  </w:tcBorders>
                  <w:vAlign w:val="center"/>
                </w:tcPr>
                <w:p>
                  <w:pPr>
                    <w:jc w:val="center"/>
                    <w:rPr>
                      <w:rFonts w:ascii="Times New Roman" w:hAnsi="Times New Roman" w:eastAsia="宋体"/>
                      <w:b/>
                      <w:bCs/>
                      <w:color w:val="auto"/>
                      <w:szCs w:val="21"/>
                    </w:rPr>
                  </w:pPr>
                  <w:r>
                    <w:rPr>
                      <w:rFonts w:hint="eastAsia" w:ascii="Times New Roman" w:hAnsi="Times New Roman" w:eastAsia="宋体"/>
                      <w:b/>
                      <w:bCs/>
                      <w:color w:val="auto"/>
                    </w:rPr>
                    <w:t>《工业有机废气治理用活性炭通用技术要求》（DB32/T5030-2025）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风机风量</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15000</w:t>
                  </w:r>
                  <w:r>
                    <w:rPr>
                      <w:rStyle w:val="25"/>
                      <w:rFonts w:hint="eastAsia" w:ascii="Times New Roman" w:hAnsi="Times New Roman" w:eastAsia="宋体" w:cs="Times New Roman"/>
                      <w:color w:val="auto"/>
                      <w:kern w:val="0"/>
                      <w:szCs w:val="20"/>
                    </w:rPr>
                    <w:t>m</w:t>
                  </w:r>
                  <w:r>
                    <w:rPr>
                      <w:rStyle w:val="25"/>
                      <w:rFonts w:hint="eastAsia" w:ascii="Times New Roman" w:hAnsi="Times New Roman" w:eastAsia="宋体" w:cs="Times New Roman"/>
                      <w:color w:val="auto"/>
                      <w:kern w:val="0"/>
                      <w:szCs w:val="20"/>
                      <w:vertAlign w:val="superscript"/>
                    </w:rPr>
                    <w:t>3</w:t>
                  </w:r>
                  <w:r>
                    <w:rPr>
                      <w:rStyle w:val="25"/>
                      <w:rFonts w:hint="eastAsia" w:ascii="Times New Roman" w:hAnsi="Times New Roman" w:eastAsia="宋体" w:cs="Times New Roman"/>
                      <w:color w:val="auto"/>
                      <w:kern w:val="0"/>
                      <w:szCs w:val="20"/>
                    </w:rPr>
                    <w:t>/h</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箱体规格</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m</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炭层规格</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m</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层数</w:t>
                  </w:r>
                </w:p>
              </w:tc>
              <w:tc>
                <w:tcPr>
                  <w:tcW w:w="1402" w:type="pct"/>
                  <w:tcBorders>
                    <w:tl2br w:val="nil"/>
                    <w:tr2bl w:val="nil"/>
                  </w:tcBorders>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szCs w:val="21"/>
                      <w:lang w:val="en-US" w:eastAsia="zh-CN"/>
                    </w:rPr>
                    <w:t>3层</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活性炭类型</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颗粒</w:t>
                  </w:r>
                  <w:r>
                    <w:rPr>
                      <w:rFonts w:hint="eastAsia" w:ascii="Times New Roman" w:hAnsi="Times New Roman" w:eastAsia="宋体"/>
                      <w:color w:val="auto"/>
                      <w:szCs w:val="21"/>
                    </w:rPr>
                    <w:t>活性炭</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比表面积</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900-1600</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g</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 w:val="21"/>
                      <w:szCs w:val="21"/>
                      <w:lang w:val="en-US" w:eastAsia="zh-CN"/>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孔体积</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0.63</w:t>
                  </w:r>
                </w:p>
              </w:tc>
              <w:tc>
                <w:tcPr>
                  <w:tcW w:w="1402" w:type="pct"/>
                  <w:tcBorders>
                    <w:tl2br w:val="nil"/>
                    <w:tr2bl w:val="nil"/>
                  </w:tcBorders>
                  <w:vAlign w:val="center"/>
                </w:tcPr>
                <w:p>
                  <w:pPr>
                    <w:pStyle w:val="5"/>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活性炭密度</w:t>
                  </w:r>
                  <w:r>
                    <w:rPr>
                      <w:rFonts w:hint="eastAsia" w:ascii="Times New Roman" w:hAnsi="Times New Roman" w:eastAsia="宋体"/>
                      <w:color w:val="auto"/>
                      <w:szCs w:val="21"/>
                    </w:rPr>
                    <w:t>（g/cm</w:t>
                  </w:r>
                  <w:r>
                    <w:rPr>
                      <w:rFonts w:hint="eastAsia" w:ascii="Times New Roman" w:hAnsi="Times New Roman" w:eastAsia="宋体"/>
                      <w:color w:val="auto"/>
                      <w:szCs w:val="21"/>
                      <w:vertAlign w:val="superscript"/>
                    </w:rPr>
                    <w:t>3</w:t>
                  </w:r>
                  <w:r>
                    <w:rPr>
                      <w:rFonts w:hint="eastAsia" w:ascii="Times New Roman" w:hAnsi="Times New Roman" w:eastAsia="宋体"/>
                      <w:color w:val="auto"/>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0.45</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停留时间</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1.111</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rPr>
                    <w:t>碘值</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800</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650mg/g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水分</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≤5%</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eastAsia="zh-CN"/>
                    </w:rPr>
                    <w:t>灰分</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5%</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抗压强度</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kern w:val="0"/>
                      <w:sz w:val="21"/>
                      <w:szCs w:val="21"/>
                      <w:vertAlign w:val="baseline"/>
                      <w:lang w:val="en-US" w:eastAsia="zh-CN"/>
                    </w:rPr>
                    <w:t>横向抗压强度为0.96MPa，纵向强度为0.45MPa</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横向0.3MPa；纵向0.8MPa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气流速度</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w:t>
                  </w:r>
                  <w:r>
                    <w:rPr>
                      <w:rFonts w:hint="eastAsia" w:cs="Times New Roman"/>
                      <w:color w:val="auto"/>
                      <w:szCs w:val="21"/>
                      <w:lang w:val="en-US" w:eastAsia="zh-CN"/>
                    </w:rPr>
                    <w:t>8</w:t>
                  </w:r>
                  <w:r>
                    <w:rPr>
                      <w:rFonts w:hint="eastAsia" w:ascii="Times New Roman" w:hAnsi="Times New Roman" w:eastAsia="宋体" w:cs="Times New Roman"/>
                      <w:color w:val="auto"/>
                      <w:szCs w:val="21"/>
                      <w:lang w:val="en-US" w:eastAsia="zh-CN"/>
                    </w:rPr>
                    <w:t>m/s</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 w:val="21"/>
                      <w:szCs w:val="21"/>
                    </w:rPr>
                    <w:t>≤</w:t>
                  </w:r>
                  <w:r>
                    <w:rPr>
                      <w:rFonts w:hint="eastAsia" w:ascii="Times New Roman" w:hAnsi="Times New Roman" w:eastAsia="宋体"/>
                      <w:bCs/>
                      <w:color w:val="auto"/>
                      <w:sz w:val="21"/>
                      <w:szCs w:val="21"/>
                      <w:lang w:val="en-US" w:eastAsia="zh-CN"/>
                    </w:rPr>
                    <w:t>0.6</w:t>
                  </w:r>
                  <w:r>
                    <w:rPr>
                      <w:rFonts w:hint="eastAsia" w:ascii="Times New Roman" w:hAnsi="Times New Roman" w:eastAsia="宋体"/>
                      <w:bCs/>
                      <w:color w:val="auto"/>
                      <w:sz w:val="21"/>
                      <w:szCs w:val="21"/>
                    </w:rPr>
                    <w:t xml:space="preserve"> m/s</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79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每套填充量</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0.1296</w:t>
                  </w:r>
                </w:p>
              </w:tc>
              <w:tc>
                <w:tcPr>
                  <w:tcW w:w="1402" w:type="pct"/>
                  <w:tcBorders>
                    <w:tl2br w:val="nil"/>
                    <w:tr2bl w:val="nil"/>
                  </w:tcBorders>
                  <w:vAlign w:val="center"/>
                </w:tcPr>
                <w:p>
                  <w:pPr>
                    <w:pStyle w:val="5"/>
                    <w:ind w:firstLine="0" w:firstLineChars="0"/>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 w:val="21"/>
                      <w:szCs w:val="21"/>
                    </w:rPr>
                    <w:t>/</w:t>
                  </w:r>
                </w:p>
              </w:tc>
              <w:tc>
                <w:tcPr>
                  <w:tcW w:w="140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bl>
          <w:p>
            <w:pPr>
              <w:spacing w:line="360" w:lineRule="auto"/>
              <w:ind w:firstLine="480"/>
              <w:rPr>
                <w:rFonts w:ascii="Times New Roman" w:hAnsi="Times New Roman" w:eastAsia="宋体"/>
                <w:color w:val="auto"/>
                <w:sz w:val="24"/>
              </w:rPr>
            </w:pPr>
            <w:r>
              <w:rPr>
                <w:rFonts w:hint="eastAsia" w:ascii="Times New Roman" w:hAnsi="Times New Roman" w:eastAsia="宋体"/>
                <w:b/>
                <w:bCs/>
                <w:color w:val="auto"/>
                <w:sz w:val="24"/>
              </w:rPr>
              <w:t>1#</w:t>
            </w:r>
            <w:r>
              <w:rPr>
                <w:rFonts w:ascii="Times New Roman" w:hAnsi="Times New Roman" w:eastAsia="宋体"/>
                <w:b/>
                <w:bCs/>
                <w:color w:val="auto"/>
                <w:sz w:val="24"/>
              </w:rPr>
              <w:t>技术参数合理性分析：</w:t>
            </w:r>
          </w:p>
          <w:p>
            <w:pPr>
              <w:pStyle w:val="51"/>
              <w:spacing w:line="360" w:lineRule="auto"/>
              <w:ind w:firstLine="48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气流速度V=风量Q/</w:t>
            </w:r>
            <w:r>
              <w:rPr>
                <w:rFonts w:hint="eastAsia" w:ascii="Times New Roman" w:hAnsi="Times New Roman" w:eastAsia="宋体" w:cs="Times New Roman"/>
                <w:color w:val="auto"/>
                <w:kern w:val="0"/>
                <w:sz w:val="24"/>
              </w:rPr>
              <w:t>炭层横截面积</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15</w:t>
            </w:r>
            <w:r>
              <w:rPr>
                <w:rFonts w:hint="eastAsia" w:ascii="Times New Roman" w:hAnsi="Times New Roman" w:eastAsia="宋体" w:cs="Times New Roman"/>
                <w:color w:val="auto"/>
                <w:kern w:val="0"/>
                <w:sz w:val="24"/>
              </w:rPr>
              <w:t>000</w:t>
            </w:r>
            <w:r>
              <w:rPr>
                <w:rFonts w:ascii="Times New Roman" w:hAnsi="Times New Roman" w:eastAsia="宋体" w:cs="Times New Roman"/>
                <w:color w:val="auto"/>
                <w:kern w:val="0"/>
                <w:sz w:val="24"/>
              </w:rPr>
              <w:t>/3600）/</w:t>
            </w:r>
            <w:r>
              <w:rPr>
                <w:rFonts w:hint="eastAsia" w:ascii="Times New Roman" w:hAnsi="Times New Roman" w:eastAsia="宋体" w:cs="Times New Roman"/>
                <w:color w:val="auto"/>
                <w:kern w:val="0"/>
                <w:sz w:val="24"/>
                <w:lang w:val="en-US" w:eastAsia="zh-CN"/>
              </w:rPr>
              <w:t>1.6</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1.5</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0.</w:t>
            </w:r>
            <w:r>
              <w:rPr>
                <w:rFonts w:hint="eastAsia" w:ascii="Times New Roman" w:hAnsi="Times New Roman" w:eastAsia="宋体" w:cs="Times New Roman"/>
                <w:color w:val="auto"/>
                <w:kern w:val="0"/>
                <w:sz w:val="24"/>
                <w:lang w:val="en-US" w:eastAsia="zh-CN"/>
              </w:rPr>
              <w:t>58</w:t>
            </w:r>
            <w:r>
              <w:rPr>
                <w:rFonts w:ascii="Times New Roman" w:hAnsi="Times New Roman" w:eastAsia="宋体" w:cs="Times New Roman"/>
                <w:color w:val="auto"/>
                <w:kern w:val="0"/>
                <w:sz w:val="24"/>
              </w:rPr>
              <w:t>m/s；</w:t>
            </w:r>
          </w:p>
          <w:p>
            <w:pPr>
              <w:pStyle w:val="51"/>
              <w:spacing w:line="360" w:lineRule="auto"/>
              <w:ind w:firstLine="48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停留时间T=活性炭厚度H/气流速度V=0.</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0.</w:t>
            </w:r>
            <w:r>
              <w:rPr>
                <w:rFonts w:hint="eastAsia" w:ascii="Times New Roman" w:hAnsi="Times New Roman" w:eastAsia="宋体" w:cs="Times New Roman"/>
                <w:color w:val="auto"/>
                <w:kern w:val="0"/>
                <w:sz w:val="24"/>
                <w:lang w:val="en-US" w:eastAsia="zh-CN"/>
              </w:rPr>
              <w:t>58</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1.55</w:t>
            </w:r>
            <w:r>
              <w:rPr>
                <w:rFonts w:ascii="Times New Roman" w:hAnsi="Times New Roman" w:eastAsia="宋体" w:cs="Times New Roman"/>
                <w:color w:val="auto"/>
                <w:kern w:val="0"/>
                <w:sz w:val="24"/>
              </w:rPr>
              <w:t>s；</w:t>
            </w:r>
          </w:p>
          <w:p>
            <w:pPr>
              <w:pStyle w:val="51"/>
              <w:spacing w:line="360" w:lineRule="auto"/>
              <w:ind w:firstLine="48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活性炭有效容积V=L活性炭长度×W活性炭宽度×H活性炭高度×层=</w:t>
            </w:r>
            <w:r>
              <w:rPr>
                <w:rFonts w:hint="eastAsia" w:ascii="Times New Roman" w:hAnsi="Times New Roman" w:eastAsia="宋体" w:cs="Times New Roman"/>
                <w:color w:val="auto"/>
                <w:kern w:val="0"/>
                <w:sz w:val="24"/>
                <w:lang w:val="en-US" w:eastAsia="zh-CN"/>
              </w:rPr>
              <w:t>1.6</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1.5</w:t>
            </w:r>
            <w:r>
              <w:rPr>
                <w:rFonts w:ascii="Times New Roman" w:hAnsi="Times New Roman" w:eastAsia="宋体" w:cs="Times New Roman"/>
                <w:color w:val="auto"/>
                <w:kern w:val="0"/>
                <w:sz w:val="24"/>
              </w:rPr>
              <w:t>×0.</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2.16</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p>
          <w:p>
            <w:pPr>
              <w:pStyle w:val="51"/>
              <w:spacing w:line="360" w:lineRule="auto"/>
              <w:ind w:firstLine="48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单级</w:t>
            </w:r>
            <w:r>
              <w:rPr>
                <w:rFonts w:ascii="Times New Roman" w:hAnsi="Times New Roman" w:eastAsia="宋体" w:cs="Times New Roman"/>
                <w:color w:val="auto"/>
                <w:kern w:val="0"/>
                <w:sz w:val="24"/>
              </w:rPr>
              <w:t>活性炭填充量M=活性炭密度ρ×容积V=0.</w:t>
            </w:r>
            <w:r>
              <w:rPr>
                <w:rFonts w:hint="eastAsia" w:ascii="Times New Roman" w:hAnsi="Times New Roman" w:eastAsia="宋体" w:cs="Times New Roman"/>
                <w:color w:val="auto"/>
                <w:kern w:val="0"/>
                <w:sz w:val="24"/>
              </w:rPr>
              <w:t>45</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2.16</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0.97</w:t>
            </w:r>
            <w:r>
              <w:rPr>
                <w:rFonts w:ascii="Times New Roman" w:hAnsi="Times New Roman" w:eastAsia="宋体" w:cs="Times New Roman"/>
                <w:color w:val="auto"/>
                <w:kern w:val="0"/>
                <w:sz w:val="24"/>
              </w:rPr>
              <w:t>t</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sz w:val="24"/>
                <w:szCs w:val="24"/>
                <w:highlight w:val="none"/>
                <w:lang w:eastAsia="ja-JP"/>
              </w:rPr>
              <w:t>总填装量为</w:t>
            </w:r>
            <w:r>
              <w:rPr>
                <w:rFonts w:hint="eastAsia" w:ascii="Times New Roman" w:hAnsi="Times New Roman" w:eastAsia="宋体" w:cs="Times New Roman"/>
                <w:color w:val="auto"/>
                <w:sz w:val="24"/>
                <w:szCs w:val="24"/>
                <w:highlight w:val="none"/>
                <w:lang w:val="en-US" w:eastAsia="zh-CN"/>
              </w:rPr>
              <w:t>2.91</w:t>
            </w:r>
            <w:r>
              <w:rPr>
                <w:rFonts w:hint="default" w:ascii="Times New Roman" w:hAnsi="Times New Roman" w:eastAsia="宋体" w:cs="Times New Roman"/>
                <w:color w:val="auto"/>
                <w:sz w:val="24"/>
                <w:szCs w:val="24"/>
                <w:highlight w:val="none"/>
                <w:lang w:eastAsia="ja-JP"/>
              </w:rPr>
              <w:t>t</w:t>
            </w:r>
            <w:r>
              <w:rPr>
                <w:rFonts w:ascii="Times New Roman" w:hAnsi="Times New Roman" w:eastAsia="宋体" w:cs="Times New Roman"/>
                <w:color w:val="auto"/>
                <w:kern w:val="0"/>
                <w:sz w:val="24"/>
              </w:rPr>
              <w:t>；</w:t>
            </w:r>
          </w:p>
          <w:p>
            <w:pPr>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根据关于印发《南通市废气活性炭吸附设施专项整治实施方案》中“选用活性炭主要指标不得低于相关要求（碘值不低于800mg/g，灰分不高于 15%，比表面积不低于750m</w:t>
            </w:r>
            <w:r>
              <w:rPr>
                <w:rFonts w:hint="eastAsia" w:ascii="Times New Roman" w:hAnsi="Times New Roman" w:eastAsia="宋体"/>
                <w:color w:val="auto"/>
                <w:sz w:val="24"/>
                <w:vertAlign w:val="superscript"/>
              </w:rPr>
              <w:t>2</w:t>
            </w:r>
            <w:r>
              <w:rPr>
                <w:rFonts w:hint="eastAsia" w:ascii="Times New Roman" w:hAnsi="Times New Roman" w:eastAsia="宋体"/>
                <w:color w:val="auto"/>
                <w:sz w:val="24"/>
              </w:rPr>
              <w:t>/g；采用颗粒状活性炭时，气体流速应低于0.6m/s；采用蜂窝状活性炭时，气体流速应低于1.2m/s；气体停留时间大于1s。采用碳纤维时，气体流速应低于0.15m/s”。故本项目活性炭吸附装置设计合理，均满足相关设计规范要求。</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根据《省生态环境厅关于将排污单位活性炭使用更换纳入排污许可管理的通知》，根据以下公式计算活性炭更换周期。</w:t>
            </w:r>
          </w:p>
          <w:p>
            <w:pPr>
              <w:keepNext/>
              <w:keepLines/>
              <w:numPr>
                <w:ilvl w:val="1"/>
                <w:numId w:val="0"/>
              </w:numPr>
              <w:tabs>
                <w:tab w:val="left" w:pos="720"/>
              </w:tabs>
              <w:adjustRightInd w:val="0"/>
              <w:snapToGrid w:val="0"/>
              <w:spacing w:before="240" w:beforeLines="100" w:after="120" w:afterLines="50"/>
              <w:ind w:firstLine="1928" w:firstLineChars="800"/>
              <w:outlineLvl w:val="1"/>
              <w:rPr>
                <w:rFonts w:ascii="Times New Roman" w:hAnsi="Times New Roman" w:eastAsia="宋体"/>
                <w:bCs/>
                <w:color w:val="auto"/>
                <w:sz w:val="24"/>
              </w:rPr>
            </w:pPr>
            <w:r>
              <w:rPr>
                <w:rFonts w:ascii="Times New Roman" w:hAnsi="Times New Roman" w:eastAsia="宋体"/>
                <w:b/>
                <w:bCs/>
                <w:color w:val="auto"/>
                <w:position w:val="-10"/>
                <w:sz w:val="24"/>
              </w:rPr>
              <w:object>
                <v:shape id="_x0000_i1025" o:spt="75" type="#_x0000_t75" style="height:18.1pt;width:129pt;" o:ole="t" filled="f" coordsize="21600,21600">
                  <v:path/>
                  <v:fill on="f" focussize="0,0"/>
                  <v:stroke/>
                  <v:imagedata r:id="rId14" o:title=""/>
                  <o:lock v:ext="edit" aspectratio="t"/>
                  <w10:wrap type="none"/>
                  <w10:anchorlock/>
                </v:shape>
                <o:OLEObject Type="Embed" ProgID="Equation.3" ShapeID="_x0000_i1025" DrawAspect="Content" ObjectID="_1468075725" r:id="rId13">
                  <o:LockedField>false</o:LockedField>
                </o:OLEObject>
              </w:objec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式中：</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T—更换周期，天；</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m—活性炭的用量，kg；</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s—动态吸附量，%；本项目取10%。</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c—活性炭削减的VOCs浓度，mg/m</w:t>
            </w:r>
            <w:r>
              <w:rPr>
                <w:rFonts w:ascii="Times New Roman" w:hAnsi="Times New Roman" w:eastAsia="宋体"/>
                <w:color w:val="auto"/>
                <w:sz w:val="24"/>
                <w:vertAlign w:val="superscript"/>
              </w:rPr>
              <w:t>3</w:t>
            </w:r>
            <w:r>
              <w:rPr>
                <w:rFonts w:ascii="Times New Roman" w:hAnsi="Times New Roman" w:eastAsia="宋体"/>
                <w:color w:val="auto"/>
                <w:sz w:val="24"/>
              </w:rPr>
              <w:t>。</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Q—风量，m</w:t>
            </w:r>
            <w:r>
              <w:rPr>
                <w:rFonts w:ascii="Times New Roman" w:hAnsi="Times New Roman" w:eastAsia="宋体"/>
                <w:color w:val="auto"/>
                <w:sz w:val="24"/>
                <w:vertAlign w:val="superscript"/>
              </w:rPr>
              <w:t>3</w:t>
            </w:r>
            <w:r>
              <w:rPr>
                <w:rFonts w:ascii="Times New Roman" w:hAnsi="Times New Roman" w:eastAsia="宋体"/>
                <w:color w:val="auto"/>
                <w:sz w:val="24"/>
              </w:rPr>
              <w:t>/h</w:t>
            </w:r>
          </w:p>
          <w:p>
            <w:pPr>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t—运行时间，h/d。</w:t>
            </w:r>
          </w:p>
          <w:p>
            <w:pPr>
              <w:jc w:val="center"/>
              <w:rPr>
                <w:rFonts w:ascii="Times New Roman" w:hAnsi="Times New Roman" w:eastAsia="宋体"/>
                <w:b/>
                <w:bCs/>
                <w:color w:val="auto"/>
                <w:szCs w:val="21"/>
              </w:rPr>
            </w:pPr>
            <w:r>
              <w:rPr>
                <w:rFonts w:ascii="Times New Roman" w:hAnsi="Times New Roman" w:eastAsia="宋体"/>
                <w:b/>
                <w:bCs/>
                <w:color w:val="auto"/>
                <w:szCs w:val="21"/>
              </w:rPr>
              <w:t>表4</w:t>
            </w:r>
            <w:r>
              <w:rPr>
                <w:rFonts w:hint="eastAsia" w:ascii="Times New Roman" w:hAnsi="Times New Roman" w:eastAsia="宋体"/>
                <w:b/>
                <w:bCs/>
                <w:color w:val="auto"/>
                <w:szCs w:val="21"/>
              </w:rPr>
              <w:t>-</w:t>
            </w:r>
            <w:r>
              <w:rPr>
                <w:rFonts w:hint="eastAsia" w:ascii="Times New Roman" w:hAnsi="Times New Roman" w:eastAsia="宋体"/>
                <w:b/>
                <w:bCs/>
                <w:color w:val="auto"/>
                <w:szCs w:val="21"/>
                <w:lang w:val="en-US" w:eastAsia="zh-CN"/>
              </w:rPr>
              <w:t>5</w:t>
            </w:r>
            <w:r>
              <w:rPr>
                <w:rFonts w:ascii="Times New Roman" w:hAnsi="Times New Roman" w:eastAsia="宋体"/>
                <w:b/>
                <w:bCs/>
                <w:color w:val="auto"/>
                <w:szCs w:val="21"/>
              </w:rPr>
              <w:t>活性炭装置更换量一览表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331"/>
              <w:gridCol w:w="1107"/>
              <w:gridCol w:w="1331"/>
              <w:gridCol w:w="1053"/>
              <w:gridCol w:w="1026"/>
              <w:gridCol w:w="906"/>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活性炭用量（kg）</w:t>
                  </w:r>
                </w:p>
              </w:tc>
              <w:tc>
                <w:tcPr>
                  <w:tcW w:w="68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动态吸附量</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削减VOCs浓度（mg/m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652"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63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运行时间（h/d）</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更换周期（天）</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b/>
                      <w:bCs/>
                      <w:color w:val="auto"/>
                      <w:kern w:val="0"/>
                      <w:szCs w:val="21"/>
                      <w:lang w:val="en-US" w:eastAsia="zh-CN"/>
                    </w:rPr>
                    <w:t>更换次数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r>
                    <w:rPr>
                      <w:rFonts w:hint="eastAsia" w:ascii="Times New Roman" w:hAnsi="Times New Roman" w:eastAsia="宋体" w:cs="Times New Roman"/>
                      <w:color w:val="auto"/>
                      <w:sz w:val="21"/>
                      <w:szCs w:val="21"/>
                      <w:highlight w:val="none"/>
                      <w:lang w:val="en-US" w:eastAsia="zh-CN"/>
                    </w:rPr>
                    <w:t>10</w:t>
                  </w:r>
                </w:p>
              </w:tc>
              <w:tc>
                <w:tcPr>
                  <w:tcW w:w="68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38.9</w:t>
                  </w:r>
                </w:p>
              </w:tc>
              <w:tc>
                <w:tcPr>
                  <w:tcW w:w="652"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000</w:t>
                  </w:r>
                </w:p>
              </w:tc>
              <w:tc>
                <w:tcPr>
                  <w:tcW w:w="63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r>
          </w:tbl>
          <w:p>
            <w:pPr>
              <w:widowControl/>
              <w:snapToGrid w:val="0"/>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本项目活性炭更换周期根据上表计算所得进行，</w:t>
            </w:r>
            <w:r>
              <w:rPr>
                <w:rFonts w:hint="eastAsia" w:ascii="Times New Roman" w:hAnsi="Times New Roman" w:eastAsia="宋体"/>
                <w:color w:val="auto"/>
                <w:sz w:val="24"/>
                <w:szCs w:val="24"/>
                <w:lang w:val="en-US" w:eastAsia="zh-CN"/>
              </w:rPr>
              <w:t>本项目DA001排气筒一年更换</w:t>
            </w:r>
            <w:r>
              <w:rPr>
                <w:rFonts w:hint="eastAsia"/>
                <w:color w:val="auto"/>
                <w:sz w:val="24"/>
                <w:szCs w:val="24"/>
                <w:lang w:val="en-US" w:eastAsia="zh-CN"/>
              </w:rPr>
              <w:t>5</w:t>
            </w:r>
            <w:r>
              <w:rPr>
                <w:rFonts w:hint="eastAsia" w:ascii="Times New Roman" w:hAnsi="Times New Roman" w:eastAsia="宋体"/>
                <w:color w:val="auto"/>
                <w:sz w:val="24"/>
                <w:szCs w:val="24"/>
                <w:lang w:val="en-US" w:eastAsia="zh-CN"/>
              </w:rPr>
              <w:t>次，单次更换量为</w:t>
            </w:r>
            <w:r>
              <w:rPr>
                <w:rFonts w:hint="eastAsia"/>
                <w:color w:val="auto"/>
                <w:sz w:val="24"/>
                <w:szCs w:val="24"/>
                <w:lang w:val="en-US" w:eastAsia="zh-CN"/>
              </w:rPr>
              <w:t>14.55</w:t>
            </w:r>
            <w:r>
              <w:rPr>
                <w:rFonts w:hint="eastAsia" w:ascii="Times New Roman" w:hAnsi="Times New Roman" w:eastAsia="宋体"/>
                <w:color w:val="auto"/>
                <w:sz w:val="24"/>
                <w:szCs w:val="24"/>
                <w:lang w:val="en-US" w:eastAsia="zh-CN"/>
              </w:rPr>
              <w:t>t</w:t>
            </w:r>
          </w:p>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lang w:val="en-US" w:eastAsia="zh-CN"/>
              </w:rPr>
              <w:t>D</w:t>
            </w:r>
            <w:r>
              <w:rPr>
                <w:rFonts w:hint="eastAsia" w:ascii="Times New Roman" w:hAnsi="Times New Roman" w:eastAsia="宋体"/>
                <w:b/>
                <w:bCs/>
                <w:color w:val="auto"/>
                <w:sz w:val="24"/>
              </w:rPr>
              <w:t>.排气筒设置合理性分析</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本项目排气筒设置情况如下表4-</w:t>
            </w:r>
            <w:r>
              <w:rPr>
                <w:rFonts w:hint="eastAsia" w:ascii="Times New Roman" w:hAnsi="Times New Roman" w:eastAsia="宋体"/>
                <w:color w:val="auto"/>
                <w:sz w:val="24"/>
                <w:lang w:val="en-US" w:eastAsia="zh-CN"/>
              </w:rPr>
              <w:t>6</w:t>
            </w:r>
            <w:r>
              <w:rPr>
                <w:rFonts w:hint="eastAsia" w:ascii="Times New Roman" w:hAnsi="Times New Roman" w:eastAsia="宋体"/>
                <w:color w:val="auto"/>
                <w:sz w:val="24"/>
              </w:rPr>
              <w:t>：</w:t>
            </w:r>
          </w:p>
          <w:p>
            <w:pPr>
              <w:adjustRightInd w:val="0"/>
              <w:snapToGrid w:val="0"/>
              <w:jc w:val="center"/>
              <w:rPr>
                <w:rFonts w:ascii="Times New Roman" w:hAnsi="Times New Roman" w:eastAsia="宋体"/>
                <w:b/>
                <w:bCs/>
                <w:color w:val="auto"/>
                <w:szCs w:val="21"/>
              </w:rPr>
            </w:pPr>
            <w:r>
              <w:rPr>
                <w:rFonts w:hint="eastAsia" w:ascii="Times New Roman" w:hAnsi="Times New Roman" w:eastAsia="宋体"/>
                <w:b/>
                <w:bCs/>
                <w:color w:val="auto"/>
                <w:szCs w:val="21"/>
              </w:rPr>
              <w:t>表4-</w:t>
            </w:r>
            <w:r>
              <w:rPr>
                <w:rFonts w:hint="eastAsia" w:ascii="Times New Roman" w:hAnsi="Times New Roman" w:eastAsia="宋体"/>
                <w:b/>
                <w:bCs/>
                <w:color w:val="auto"/>
                <w:szCs w:val="21"/>
                <w:lang w:val="en-US" w:eastAsia="zh-CN"/>
              </w:rPr>
              <w:t>6</w:t>
            </w:r>
            <w:r>
              <w:rPr>
                <w:rFonts w:hint="eastAsia" w:ascii="Times New Roman" w:hAnsi="Times New Roman" w:eastAsia="宋体"/>
                <w:b/>
                <w:bCs/>
                <w:color w:val="auto"/>
                <w:szCs w:val="21"/>
              </w:rPr>
              <w:t xml:space="preserve"> 本项目排气筒设置情况一览表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485"/>
              <w:gridCol w:w="842"/>
              <w:gridCol w:w="1147"/>
              <w:gridCol w:w="1203"/>
              <w:gridCol w:w="1203"/>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tcBorders>
                    <w:tl2br w:val="nil"/>
                    <w:tr2bl w:val="nil"/>
                  </w:tcBorders>
                  <w:vAlign w:val="center"/>
                </w:tcPr>
                <w:p>
                  <w:pPr>
                    <w:pStyle w:val="33"/>
                    <w:rPr>
                      <w:rFonts w:ascii="Times New Roman" w:hAnsi="Times New Roman" w:eastAsia="宋体"/>
                      <w:b/>
                      <w:bCs/>
                      <w:color w:val="auto"/>
                    </w:rPr>
                  </w:pPr>
                  <w:r>
                    <w:rPr>
                      <w:rFonts w:hint="eastAsia" w:ascii="Times New Roman" w:hAnsi="Times New Roman" w:eastAsia="宋体"/>
                      <w:b/>
                      <w:bCs/>
                      <w:color w:val="auto"/>
                    </w:rPr>
                    <w:t>排气筒编号</w:t>
                  </w:r>
                </w:p>
              </w:tc>
              <w:tc>
                <w:tcPr>
                  <w:tcW w:w="919" w:type="pct"/>
                  <w:tcBorders>
                    <w:tl2br w:val="nil"/>
                    <w:tr2bl w:val="nil"/>
                  </w:tcBorders>
                  <w:vAlign w:val="center"/>
                </w:tcPr>
                <w:p>
                  <w:pPr>
                    <w:pStyle w:val="33"/>
                    <w:rPr>
                      <w:rFonts w:ascii="Times New Roman" w:hAnsi="Times New Roman" w:eastAsia="宋体"/>
                      <w:b/>
                      <w:bCs/>
                      <w:color w:val="auto"/>
                    </w:rPr>
                  </w:pPr>
                  <w:r>
                    <w:rPr>
                      <w:rFonts w:hint="eastAsia" w:ascii="Times New Roman" w:hAnsi="Times New Roman" w:eastAsia="宋体"/>
                      <w:b/>
                      <w:bCs/>
                      <w:color w:val="auto"/>
                    </w:rPr>
                    <w:t>污染物名称</w:t>
                  </w:r>
                </w:p>
              </w:tc>
              <w:tc>
                <w:tcPr>
                  <w:tcW w:w="521" w:type="pct"/>
                  <w:tcBorders>
                    <w:tl2br w:val="nil"/>
                    <w:tr2bl w:val="nil"/>
                  </w:tcBorders>
                  <w:vAlign w:val="center"/>
                </w:tcPr>
                <w:p>
                  <w:pPr>
                    <w:pStyle w:val="33"/>
                    <w:rPr>
                      <w:rFonts w:ascii="Times New Roman" w:hAnsi="Times New Roman" w:eastAsia="宋体"/>
                      <w:b/>
                      <w:bCs/>
                      <w:color w:val="auto"/>
                    </w:rPr>
                  </w:pPr>
                  <w:r>
                    <w:rPr>
                      <w:rFonts w:hint="eastAsia" w:ascii="Times New Roman" w:hAnsi="Times New Roman" w:eastAsia="宋体"/>
                      <w:b/>
                      <w:bCs/>
                      <w:color w:val="auto"/>
                    </w:rPr>
                    <w:t>高度（m）</w:t>
                  </w:r>
                </w:p>
              </w:tc>
              <w:tc>
                <w:tcPr>
                  <w:tcW w:w="710" w:type="pct"/>
                  <w:tcBorders>
                    <w:tl2br w:val="nil"/>
                    <w:tr2bl w:val="nil"/>
                  </w:tcBorders>
                  <w:vAlign w:val="center"/>
                </w:tcPr>
                <w:p>
                  <w:pPr>
                    <w:pStyle w:val="33"/>
                    <w:rPr>
                      <w:rFonts w:ascii="Times New Roman" w:hAnsi="Times New Roman" w:eastAsia="宋体"/>
                      <w:b/>
                      <w:bCs/>
                      <w:color w:val="auto"/>
                    </w:rPr>
                  </w:pPr>
                  <w:r>
                    <w:rPr>
                      <w:rFonts w:hint="eastAsia" w:ascii="Times New Roman" w:hAnsi="Times New Roman" w:eastAsia="宋体"/>
                      <w:b/>
                      <w:bCs/>
                      <w:color w:val="auto"/>
                    </w:rPr>
                    <w:t>排气筒内径（m）</w:t>
                  </w:r>
                </w:p>
              </w:tc>
              <w:tc>
                <w:tcPr>
                  <w:tcW w:w="744"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出口温度</w:t>
                  </w:r>
                  <w:r>
                    <w:rPr>
                      <w:rFonts w:hint="eastAsia" w:ascii="Times New Roman" w:hAnsi="Times New Roman" w:eastAsia="宋体"/>
                      <w:b/>
                      <w:color w:val="auto"/>
                      <w:szCs w:val="21"/>
                    </w:rPr>
                    <w:t>（</w:t>
                  </w:r>
                  <w:r>
                    <w:rPr>
                      <w:rFonts w:ascii="Times New Roman" w:hAnsi="Times New Roman" w:eastAsia="宋体"/>
                      <w:b/>
                      <w:color w:val="auto"/>
                      <w:szCs w:val="21"/>
                    </w:rPr>
                    <w:t>℃)</w:t>
                  </w:r>
                </w:p>
              </w:tc>
              <w:tc>
                <w:tcPr>
                  <w:tcW w:w="744"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烟气量</w:t>
                  </w:r>
                  <w:r>
                    <w:rPr>
                      <w:rFonts w:hint="eastAsia" w:ascii="Times New Roman" w:hAnsi="Times New Roman" w:eastAsia="宋体"/>
                      <w:b/>
                      <w:color w:val="auto"/>
                      <w:szCs w:val="21"/>
                    </w:rPr>
                    <w:t>（</w:t>
                  </w:r>
                  <w:r>
                    <w:rPr>
                      <w:rFonts w:ascii="Times New Roman" w:hAnsi="Times New Roman" w:eastAsia="宋体"/>
                      <w:b/>
                      <w:color w:val="auto"/>
                      <w:szCs w:val="21"/>
                    </w:rPr>
                    <w:t>m</w:t>
                  </w:r>
                  <w:r>
                    <w:rPr>
                      <w:rFonts w:ascii="Times New Roman" w:hAnsi="Times New Roman" w:eastAsia="宋体"/>
                      <w:b/>
                      <w:color w:val="auto"/>
                      <w:szCs w:val="21"/>
                      <w:vertAlign w:val="superscript"/>
                    </w:rPr>
                    <w:t>3</w:t>
                  </w:r>
                  <w:r>
                    <w:rPr>
                      <w:rFonts w:ascii="Times New Roman" w:hAnsi="Times New Roman" w:eastAsia="宋体"/>
                      <w:b/>
                      <w:color w:val="auto"/>
                      <w:szCs w:val="21"/>
                    </w:rPr>
                    <w:t>/h)</w:t>
                  </w:r>
                </w:p>
              </w:tc>
              <w:tc>
                <w:tcPr>
                  <w:tcW w:w="783" w:type="pc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烟气速度（m/s）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DA001</w:t>
                  </w:r>
                </w:p>
              </w:tc>
              <w:tc>
                <w:tcPr>
                  <w:tcW w:w="919" w:type="pct"/>
                  <w:tcBorders>
                    <w:tl2br w:val="nil"/>
                    <w:tr2bl w:val="nil"/>
                  </w:tcBorders>
                  <w:vAlign w:val="center"/>
                </w:tcPr>
                <w:p>
                  <w:pPr>
                    <w:pStyle w:val="33"/>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颗粒物、</w:t>
                  </w:r>
                  <w:r>
                    <w:rPr>
                      <w:rFonts w:hint="eastAsia" w:ascii="Times New Roman" w:hAnsi="Times New Roman" w:eastAsia="宋体"/>
                      <w:color w:val="auto"/>
                    </w:rPr>
                    <w:t>非甲烷总烃</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二甲苯</w:t>
                  </w:r>
                </w:p>
              </w:tc>
              <w:tc>
                <w:tcPr>
                  <w:tcW w:w="521" w:type="pc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15</w:t>
                  </w:r>
                </w:p>
              </w:tc>
              <w:tc>
                <w:tcPr>
                  <w:tcW w:w="710" w:type="pct"/>
                  <w:tcBorders>
                    <w:tl2br w:val="nil"/>
                    <w:tr2bl w:val="nil"/>
                  </w:tcBorders>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rPr>
                    <w:t>0.</w:t>
                  </w:r>
                  <w:r>
                    <w:rPr>
                      <w:rFonts w:hint="eastAsia" w:ascii="Times New Roman" w:hAnsi="Times New Roman" w:eastAsia="宋体"/>
                      <w:color w:val="auto"/>
                      <w:sz w:val="21"/>
                      <w:lang w:val="en-US" w:eastAsia="zh-CN"/>
                    </w:rPr>
                    <w:t>6</w:t>
                  </w:r>
                </w:p>
              </w:tc>
              <w:tc>
                <w:tcPr>
                  <w:tcW w:w="744" w:type="pct"/>
                  <w:tcBorders>
                    <w:tl2br w:val="nil"/>
                    <w:tr2bl w:val="nil"/>
                  </w:tcBorders>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25</w:t>
                  </w:r>
                </w:p>
              </w:tc>
              <w:tc>
                <w:tcPr>
                  <w:tcW w:w="744" w:type="pct"/>
                  <w:tcBorders>
                    <w:tl2br w:val="nil"/>
                    <w:tr2bl w:val="nil"/>
                  </w:tcBorders>
                  <w:vAlign w:val="center"/>
                </w:tcPr>
                <w:p>
                  <w:pPr>
                    <w:pStyle w:val="33"/>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15000</w:t>
                  </w:r>
                </w:p>
              </w:tc>
              <w:tc>
                <w:tcPr>
                  <w:tcW w:w="783" w:type="pct"/>
                  <w:tcBorders>
                    <w:tl2br w:val="nil"/>
                    <w:tr2bl w:val="nil"/>
                  </w:tcBorders>
                  <w:vAlign w:val="center"/>
                </w:tcPr>
                <w:p>
                  <w:pPr>
                    <w:pStyle w:val="48"/>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14.7</w:t>
                  </w:r>
                </w:p>
              </w:tc>
            </w:tr>
          </w:tbl>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出口风速合理性分析：</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根据表4-8，经计算，本项目排气筒烟气排放速率均符合《大气污染治理工程技术导则》（HJ2000-2010）中“5.3.5排气筒的出口直径应根据出口流速确定，流速宜取10 m/s~15 m/s左右”。因此是可行的。</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综合分析，建设项目排气筒设置是合理可行的。</w:t>
            </w:r>
          </w:p>
          <w:p>
            <w:pPr>
              <w:autoSpaceDE w:val="0"/>
              <w:autoSpaceDN w:val="0"/>
              <w:adjustRightInd w:val="0"/>
              <w:snapToGrid w:val="0"/>
              <w:spacing w:line="360" w:lineRule="auto"/>
              <w:ind w:firstLine="482"/>
              <w:jc w:val="left"/>
              <w:rPr>
                <w:rFonts w:ascii="Times New Roman" w:hAnsi="Times New Roman" w:eastAsia="宋体"/>
                <w:color w:val="auto"/>
                <w:kern w:val="0"/>
                <w:sz w:val="24"/>
              </w:rPr>
            </w:pPr>
            <w:r>
              <w:rPr>
                <w:rFonts w:hint="eastAsia" w:ascii="Times New Roman" w:hAnsi="Times New Roman" w:eastAsia="宋体"/>
                <w:b/>
                <w:color w:val="auto"/>
                <w:kern w:val="0"/>
                <w:sz w:val="24"/>
              </w:rPr>
              <w:t>（3）无组织废气</w:t>
            </w:r>
            <w:r>
              <w:rPr>
                <w:rFonts w:ascii="Times New Roman" w:hAnsi="Times New Roman" w:eastAsia="宋体"/>
                <w:b/>
                <w:color w:val="auto"/>
                <w:kern w:val="0"/>
                <w:sz w:val="24"/>
              </w:rPr>
              <w:t>控制措施</w:t>
            </w:r>
            <w:r>
              <w:rPr>
                <w:rFonts w:hint="eastAsia" w:ascii="Times New Roman" w:hAnsi="Times New Roman" w:eastAsia="宋体"/>
                <w:b/>
                <w:color w:val="auto"/>
                <w:kern w:val="0"/>
                <w:sz w:val="24"/>
              </w:rPr>
              <w:t>：</w:t>
            </w:r>
          </w:p>
          <w:p>
            <w:pPr>
              <w:spacing w:line="360" w:lineRule="auto"/>
              <w:ind w:firstLine="480" w:firstLineChars="200"/>
              <w:rPr>
                <w:rFonts w:hint="eastAsia"/>
                <w:color w:val="auto"/>
                <w:lang w:val="en-US" w:eastAsia="zh-CN"/>
              </w:rPr>
            </w:pPr>
            <w:r>
              <w:rPr>
                <w:rFonts w:hint="eastAsia" w:ascii="Times New Roman" w:hAnsi="Times New Roman" w:eastAsia="宋体" w:cs="Times New Roman"/>
                <w:color w:val="auto"/>
                <w:kern w:val="2"/>
                <w:sz w:val="24"/>
                <w:szCs w:val="24"/>
                <w:lang w:val="en-US" w:eastAsia="zh-CN"/>
              </w:rPr>
              <w:t>本项目生产过程中的无组织废气主要为车间未能完全收集的废气，为了尽量降低项目无组织排放的大气污染物对周边环境的影响，</w:t>
            </w:r>
            <w:r>
              <w:rPr>
                <w:rFonts w:hint="eastAsia" w:ascii="Times New Roman" w:hAnsi="Times New Roman" w:eastAsia="宋体" w:cs="Times New Roman"/>
                <w:color w:val="auto"/>
                <w:kern w:val="2"/>
                <w:sz w:val="24"/>
                <w:szCs w:val="24"/>
                <w:lang w:val="en-US" w:eastAsia="zh-CN" w:bidi="ar-SA"/>
              </w:rPr>
              <w:t>根据《排污许可证申请与核发技术规范 铁路、船舶、航空航天和其他运输设备制造业》（HJ1124-2020）、</w:t>
            </w:r>
            <w:r>
              <w:rPr>
                <w:rFonts w:hint="eastAsia" w:ascii="Times New Roman" w:hAnsi="Times New Roman" w:eastAsia="宋体" w:cs="Times New Roman"/>
                <w:color w:val="auto"/>
                <w:kern w:val="2"/>
                <w:sz w:val="24"/>
                <w:szCs w:val="24"/>
                <w:lang w:val="en-US" w:eastAsia="zh-CN"/>
              </w:rPr>
              <w:t>《挥发性有机物无组织排放控制标准》（GB 37822-2019），建设单位应采取以下措施：</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 xml:space="preserve">1）生产过程均位于密闭车间内。 </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2）加强生产管理、确保设备的密闭性；加强设备的维护，定期对设备进行检查，减少装置的跑、冒、滴、漏；提高设备的密封性能，包括管道连接件、阀门等的密封性能，以减少无组织废气的排放，同时应安装机械排风扇，增加换气次数。合理设计风机风量，提高废气治理设施的集气率。</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 xml:space="preserve">3）加强对操作工的培训和管理，确保废气的捕捉率，以减少人为造成的废气无组织排放； </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 xml:space="preserve">4）在厂区外侧设置绿化带，种植对废气具有良好吸附效果的植被以降低无组织排放的影响。 </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 xml:space="preserve">5）定期对环保设备进行检查、维护和保养；加强环保设施维护保养，所有风机、管道、阀门等连接部位、运转部位都应连接牢固，做到严密、不渗、不漏、不跑气。 </w:t>
            </w:r>
          </w:p>
          <w:p>
            <w:pPr>
              <w:spacing w:line="360" w:lineRule="auto"/>
              <w:ind w:firstLine="480" w:firstLineChars="200"/>
              <w:rPr>
                <w:rFonts w:hint="eastAsia"/>
                <w:color w:val="auto"/>
                <w:lang w:val="en-US" w:eastAsia="zh-CN"/>
              </w:rPr>
            </w:pPr>
            <w:r>
              <w:rPr>
                <w:rFonts w:hint="eastAsia" w:ascii="Times New Roman" w:hAnsi="Times New Roman" w:eastAsia="宋体" w:cs="Times New Roman"/>
                <w:color w:val="auto"/>
                <w:kern w:val="2"/>
                <w:sz w:val="24"/>
                <w:szCs w:val="24"/>
                <w:lang w:val="en-US" w:eastAsia="zh-CN"/>
              </w:rPr>
              <w:t>通过以上措施，可以减少无组织废气的排放，减少对周围大气环境的影响。</w:t>
            </w:r>
          </w:p>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（4）生产设施非正常工况分析</w:t>
            </w:r>
          </w:p>
          <w:p>
            <w:pPr>
              <w:adjustRightInd w:val="0"/>
              <w:snapToGrid w:val="0"/>
              <w:spacing w:line="360" w:lineRule="auto"/>
              <w:ind w:firstLine="480" w:firstLineChars="200"/>
              <w:rPr>
                <w:rFonts w:ascii="Times New Roman" w:hAnsi="Times New Roman" w:eastAsia="宋体"/>
                <w:b/>
                <w:color w:val="auto"/>
                <w:sz w:val="24"/>
              </w:rPr>
            </w:pPr>
            <w:r>
              <w:rPr>
                <w:rFonts w:hint="eastAsia" w:ascii="Times New Roman" w:hAnsi="Times New Roman" w:eastAsia="宋体"/>
                <w:color w:val="auto"/>
                <w:sz w:val="24"/>
              </w:rPr>
              <w:t>由于生产管理不善或其他原因（如废气处理装置故障等）将可能导致废气非正常排放，非正常排放情况见下表4-</w:t>
            </w:r>
            <w:r>
              <w:rPr>
                <w:rFonts w:hint="eastAsia" w:ascii="Times New Roman" w:hAnsi="Times New Roman" w:eastAsia="宋体"/>
                <w:color w:val="auto"/>
                <w:sz w:val="24"/>
                <w:lang w:val="en-US" w:eastAsia="zh-CN"/>
              </w:rPr>
              <w:t>7</w:t>
            </w:r>
            <w:r>
              <w:rPr>
                <w:rFonts w:hint="eastAsia" w:ascii="Times New Roman" w:hAnsi="Times New Roman" w:eastAsia="宋体"/>
                <w:color w:val="auto"/>
                <w:sz w:val="24"/>
              </w:rPr>
              <w:t>。</w:t>
            </w:r>
          </w:p>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表4-</w:t>
            </w:r>
            <w:r>
              <w:rPr>
                <w:rFonts w:hint="eastAsia" w:ascii="Times New Roman" w:hAnsi="Times New Roman" w:eastAsia="宋体"/>
                <w:b/>
                <w:color w:val="auto"/>
                <w:szCs w:val="21"/>
                <w:lang w:val="en-US" w:eastAsia="zh-CN"/>
              </w:rPr>
              <w:t>7</w:t>
            </w:r>
            <w:r>
              <w:rPr>
                <w:rFonts w:hint="eastAsia" w:ascii="Times New Roman" w:hAnsi="Times New Roman" w:eastAsia="宋体"/>
                <w:b/>
                <w:color w:val="auto"/>
                <w:szCs w:val="21"/>
              </w:rPr>
              <w:t xml:space="preserve"> </w:t>
            </w:r>
            <w:r>
              <w:rPr>
                <w:rFonts w:ascii="Times New Roman" w:hAnsi="Times New Roman" w:eastAsia="宋体"/>
                <w:b/>
                <w:color w:val="auto"/>
                <w:szCs w:val="21"/>
              </w:rPr>
              <w:t xml:space="preserve"> 非正常工况污染物排放情况</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
              <w:gridCol w:w="869"/>
              <w:gridCol w:w="943"/>
              <w:gridCol w:w="391"/>
              <w:gridCol w:w="391"/>
              <w:gridCol w:w="1005"/>
              <w:gridCol w:w="807"/>
              <w:gridCol w:w="794"/>
              <w:gridCol w:w="993"/>
              <w:gridCol w:w="15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rPr>
                  </w:pPr>
                  <w:r>
                    <w:rPr>
                      <w:rFonts w:ascii="Times New Roman" w:hAnsi="Times New Roman" w:eastAsia="宋体"/>
                      <w:b/>
                      <w:color w:val="auto"/>
                      <w:kern w:val="0"/>
                      <w:szCs w:val="21"/>
                      <w:lang w:bidi="ar"/>
                    </w:rPr>
                    <w:t>序号</w:t>
                  </w:r>
                </w:p>
              </w:tc>
              <w:tc>
                <w:tcPr>
                  <w:tcW w:w="869"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rPr>
                  </w:pPr>
                  <w:r>
                    <w:rPr>
                      <w:rFonts w:ascii="Times New Roman" w:hAnsi="Times New Roman" w:eastAsia="宋体"/>
                      <w:b/>
                      <w:color w:val="auto"/>
                      <w:kern w:val="0"/>
                      <w:szCs w:val="21"/>
                      <w:lang w:bidi="ar"/>
                    </w:rPr>
                    <w:t>污染源</w:t>
                  </w:r>
                </w:p>
              </w:tc>
              <w:tc>
                <w:tcPr>
                  <w:tcW w:w="943"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lang w:bidi="ar"/>
                    </w:rPr>
                  </w:pPr>
                  <w:r>
                    <w:rPr>
                      <w:rFonts w:ascii="Times New Roman" w:hAnsi="Times New Roman" w:eastAsia="宋体"/>
                      <w:b/>
                      <w:color w:val="auto"/>
                      <w:kern w:val="0"/>
                      <w:szCs w:val="21"/>
                      <w:lang w:bidi="ar"/>
                    </w:rPr>
                    <w:t>非正常排放原因</w:t>
                  </w:r>
                </w:p>
              </w:tc>
              <w:tc>
                <w:tcPr>
                  <w:tcW w:w="782" w:type="dxa"/>
                  <w:gridSpan w:val="2"/>
                  <w:tcBorders>
                    <w:tl2br w:val="nil"/>
                    <w:tr2bl w:val="nil"/>
                  </w:tcBorders>
                  <w:vAlign w:val="center"/>
                </w:tcPr>
                <w:p>
                  <w:pPr>
                    <w:widowControl/>
                    <w:adjustRightInd w:val="0"/>
                    <w:snapToGrid w:val="0"/>
                    <w:jc w:val="center"/>
                    <w:rPr>
                      <w:rFonts w:ascii="Times New Roman" w:hAnsi="Times New Roman" w:eastAsia="宋体"/>
                      <w:b/>
                      <w:color w:val="auto"/>
                      <w:kern w:val="0"/>
                      <w:szCs w:val="21"/>
                    </w:rPr>
                  </w:pPr>
                  <w:r>
                    <w:rPr>
                      <w:rFonts w:ascii="Times New Roman" w:hAnsi="Times New Roman" w:eastAsia="宋体"/>
                      <w:b/>
                      <w:color w:val="auto"/>
                      <w:kern w:val="0"/>
                      <w:szCs w:val="21"/>
                      <w:lang w:bidi="ar"/>
                    </w:rPr>
                    <w:t>污染物</w:t>
                  </w:r>
                </w:p>
              </w:tc>
              <w:tc>
                <w:tcPr>
                  <w:tcW w:w="1005"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rPr>
                  </w:pPr>
                  <w:r>
                    <w:rPr>
                      <w:rFonts w:ascii="Times New Roman" w:hAnsi="Times New Roman" w:eastAsia="宋体"/>
                      <w:b/>
                      <w:color w:val="auto"/>
                      <w:kern w:val="0"/>
                      <w:szCs w:val="21"/>
                      <w:lang w:bidi="ar"/>
                    </w:rPr>
                    <w:t>非正常排放浓度mg/m</w:t>
                  </w:r>
                  <w:r>
                    <w:rPr>
                      <w:rFonts w:ascii="Times New Roman" w:hAnsi="Times New Roman" w:eastAsia="宋体"/>
                      <w:b/>
                      <w:color w:val="auto"/>
                      <w:kern w:val="0"/>
                      <w:szCs w:val="21"/>
                      <w:vertAlign w:val="superscript"/>
                      <w:lang w:bidi="ar"/>
                    </w:rPr>
                    <w:t>3</w:t>
                  </w:r>
                </w:p>
              </w:tc>
              <w:tc>
                <w:tcPr>
                  <w:tcW w:w="807"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lang w:bidi="ar"/>
                    </w:rPr>
                  </w:pPr>
                  <w:r>
                    <w:rPr>
                      <w:rFonts w:ascii="Times New Roman" w:hAnsi="Times New Roman" w:eastAsia="宋体"/>
                      <w:b/>
                      <w:color w:val="auto"/>
                      <w:kern w:val="0"/>
                      <w:szCs w:val="21"/>
                      <w:lang w:bidi="ar"/>
                    </w:rPr>
                    <w:t>单次非正常排放量（kg）</w:t>
                  </w:r>
                </w:p>
              </w:tc>
              <w:tc>
                <w:tcPr>
                  <w:tcW w:w="794"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rPr>
                  </w:pPr>
                  <w:r>
                    <w:rPr>
                      <w:rFonts w:ascii="Times New Roman" w:hAnsi="Times New Roman" w:eastAsia="宋体"/>
                      <w:b/>
                      <w:color w:val="auto"/>
                      <w:kern w:val="0"/>
                      <w:szCs w:val="21"/>
                      <w:lang w:bidi="ar"/>
                    </w:rPr>
                    <w:t>单次持续时间h</w:t>
                  </w:r>
                </w:p>
              </w:tc>
              <w:tc>
                <w:tcPr>
                  <w:tcW w:w="993"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rPr>
                  </w:pPr>
                  <w:r>
                    <w:rPr>
                      <w:rFonts w:ascii="Times New Roman" w:hAnsi="Times New Roman" w:eastAsia="宋体"/>
                      <w:b/>
                      <w:color w:val="auto"/>
                      <w:kern w:val="0"/>
                      <w:szCs w:val="21"/>
                      <w:lang w:bidi="ar"/>
                    </w:rPr>
                    <w:t>频次</w:t>
                  </w:r>
                </w:p>
              </w:tc>
              <w:tc>
                <w:tcPr>
                  <w:tcW w:w="1539" w:type="dxa"/>
                  <w:tcBorders>
                    <w:tl2br w:val="nil"/>
                    <w:tr2bl w:val="nil"/>
                  </w:tcBorders>
                  <w:vAlign w:val="center"/>
                </w:tcPr>
                <w:p>
                  <w:pPr>
                    <w:widowControl/>
                    <w:adjustRightInd w:val="0"/>
                    <w:snapToGrid w:val="0"/>
                    <w:jc w:val="center"/>
                    <w:rPr>
                      <w:rFonts w:ascii="Times New Roman" w:hAnsi="Times New Roman" w:eastAsia="宋体"/>
                      <w:b/>
                      <w:color w:val="auto"/>
                      <w:kern w:val="0"/>
                      <w:szCs w:val="21"/>
                      <w:lang w:bidi="ar"/>
                    </w:rPr>
                  </w:pPr>
                  <w:r>
                    <w:rPr>
                      <w:rFonts w:ascii="Times New Roman" w:hAnsi="Times New Roman" w:eastAsia="宋体"/>
                      <w:b/>
                      <w:color w:val="auto"/>
                      <w:kern w:val="0"/>
                      <w:szCs w:val="21"/>
                      <w:lang w:bidi="ar"/>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42" w:type="dxa"/>
                  <w:vMerge w:val="restart"/>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r>
                    <w:rPr>
                      <w:rFonts w:ascii="Times New Roman" w:hAnsi="Times New Roman" w:eastAsia="宋体"/>
                      <w:color w:val="auto"/>
                      <w:kern w:val="0"/>
                      <w:szCs w:val="21"/>
                      <w:lang w:bidi="ar"/>
                    </w:rPr>
                    <w:t>1</w:t>
                  </w:r>
                </w:p>
              </w:tc>
              <w:tc>
                <w:tcPr>
                  <w:tcW w:w="869" w:type="dxa"/>
                  <w:vMerge w:val="restart"/>
                  <w:tcBorders>
                    <w:tl2br w:val="nil"/>
                    <w:tr2bl w:val="nil"/>
                  </w:tcBorders>
                  <w:vAlign w:val="center"/>
                </w:tcPr>
                <w:p>
                  <w:pPr>
                    <w:widowControl/>
                    <w:adjustRightInd w:val="0"/>
                    <w:snapToGrid w:val="0"/>
                    <w:jc w:val="center"/>
                    <w:rPr>
                      <w:rFonts w:ascii="Times New Roman" w:hAnsi="Times New Roman" w:eastAsia="宋体"/>
                      <w:color w:val="auto"/>
                      <w:szCs w:val="21"/>
                    </w:rPr>
                  </w:pPr>
                  <w:r>
                    <w:rPr>
                      <w:rFonts w:ascii="Times New Roman" w:hAnsi="Times New Roman" w:eastAsia="宋体"/>
                      <w:bCs/>
                      <w:iCs/>
                      <w:snapToGrid w:val="0"/>
                      <w:color w:val="auto"/>
                      <w:spacing w:val="-4"/>
                      <w:kern w:val="0"/>
                      <w:szCs w:val="21"/>
                      <w:lang w:bidi="en-US"/>
                    </w:rPr>
                    <w:t>DA0</w:t>
                  </w:r>
                  <w:r>
                    <w:rPr>
                      <w:rFonts w:hint="eastAsia" w:ascii="Times New Roman" w:hAnsi="Times New Roman" w:eastAsia="宋体"/>
                      <w:bCs/>
                      <w:iCs/>
                      <w:snapToGrid w:val="0"/>
                      <w:color w:val="auto"/>
                      <w:spacing w:val="-4"/>
                      <w:kern w:val="0"/>
                      <w:szCs w:val="21"/>
                      <w:lang w:bidi="en-US"/>
                    </w:rPr>
                    <w:t>01</w:t>
                  </w:r>
                </w:p>
              </w:tc>
              <w:tc>
                <w:tcPr>
                  <w:tcW w:w="943" w:type="dxa"/>
                  <w:vMerge w:val="restart"/>
                  <w:tcBorders>
                    <w:tl2br w:val="nil"/>
                    <w:tr2bl w:val="nil"/>
                  </w:tcBorders>
                  <w:vAlign w:val="center"/>
                </w:tcPr>
                <w:p>
                  <w:pPr>
                    <w:adjustRightInd w:val="0"/>
                    <w:snapToGrid w:val="0"/>
                    <w:jc w:val="center"/>
                    <w:rPr>
                      <w:rFonts w:ascii="Times New Roman" w:hAnsi="Times New Roman" w:eastAsia="宋体"/>
                      <w:color w:val="auto"/>
                      <w:kern w:val="0"/>
                      <w:szCs w:val="21"/>
                      <w:lang w:bidi="ar"/>
                    </w:rPr>
                  </w:pPr>
                  <w:r>
                    <w:rPr>
                      <w:rFonts w:hint="eastAsia" w:ascii="Times New Roman" w:hAnsi="Times New Roman" w:eastAsia="宋体"/>
                      <w:color w:val="auto"/>
                      <w:szCs w:val="21"/>
                      <w:lang w:val="en-US" w:eastAsia="zh-CN"/>
                    </w:rPr>
                    <w:t>多级过滤器+</w:t>
                  </w:r>
                  <w:r>
                    <w:rPr>
                      <w:rFonts w:hint="eastAsia" w:ascii="Times New Roman" w:hAnsi="Times New Roman" w:eastAsia="宋体"/>
                      <w:color w:val="auto"/>
                      <w:szCs w:val="21"/>
                      <w:lang w:eastAsia="zh-CN"/>
                    </w:rPr>
                    <w:t>三级活性炭吸附装置</w:t>
                  </w:r>
                  <w:r>
                    <w:rPr>
                      <w:rFonts w:hint="eastAsia" w:ascii="Times New Roman" w:hAnsi="Times New Roman" w:eastAsia="宋体"/>
                      <w:color w:val="auto"/>
                      <w:szCs w:val="21"/>
                    </w:rPr>
                    <w:t>故障，处理效率为0</w:t>
                  </w:r>
                </w:p>
              </w:tc>
              <w:tc>
                <w:tcPr>
                  <w:tcW w:w="782" w:type="dxa"/>
                  <w:gridSpan w:val="2"/>
                  <w:tcBorders>
                    <w:tl2br w:val="nil"/>
                    <w:tr2bl w:val="nil"/>
                  </w:tcBorders>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颗粒物</w:t>
                  </w:r>
                </w:p>
              </w:tc>
              <w:tc>
                <w:tcPr>
                  <w:tcW w:w="1005" w:type="dxa"/>
                  <w:tcBorders>
                    <w:tl2br w:val="nil"/>
                    <w:tr2bl w:val="nil"/>
                  </w:tcBorders>
                  <w:vAlign w:val="center"/>
                </w:tcPr>
                <w:p>
                  <w:pPr>
                    <w:pStyle w:val="48"/>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89.3</w:t>
                  </w:r>
                </w:p>
              </w:tc>
              <w:tc>
                <w:tcPr>
                  <w:tcW w:w="807" w:type="dxa"/>
                  <w:tcBorders>
                    <w:tl2br w:val="nil"/>
                    <w:tr2bl w:val="nil"/>
                  </w:tcBorders>
                  <w:vAlign w:val="center"/>
                </w:tcPr>
                <w:p>
                  <w:pPr>
                    <w:pStyle w:val="48"/>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1.34</w:t>
                  </w:r>
                </w:p>
              </w:tc>
              <w:tc>
                <w:tcPr>
                  <w:tcW w:w="794"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1</w:t>
                  </w:r>
                </w:p>
              </w:tc>
              <w:tc>
                <w:tcPr>
                  <w:tcW w:w="993" w:type="dxa"/>
                  <w:vMerge w:val="restart"/>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r>
                    <w:rPr>
                      <w:rFonts w:ascii="Times New Roman" w:hAnsi="Times New Roman" w:eastAsia="宋体"/>
                      <w:bCs/>
                      <w:color w:val="auto"/>
                      <w:kern w:val="0"/>
                      <w:szCs w:val="21"/>
                      <w:lang w:bidi="ar"/>
                    </w:rPr>
                    <w:t>年发生频次</w:t>
                  </w:r>
                  <w:r>
                    <w:rPr>
                      <w:rFonts w:ascii="Times New Roman" w:hAnsi="Times New Roman" w:eastAsia="宋体"/>
                      <w:bCs/>
                      <w:color w:val="auto"/>
                      <w:szCs w:val="21"/>
                    </w:rPr>
                    <w:t>不超过2次</w:t>
                  </w:r>
                </w:p>
              </w:tc>
              <w:tc>
                <w:tcPr>
                  <w:tcW w:w="1539" w:type="dxa"/>
                  <w:vMerge w:val="restart"/>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r>
                    <w:rPr>
                      <w:rFonts w:ascii="Times New Roman" w:hAnsi="Times New Roman" w:eastAsia="宋体"/>
                      <w:color w:val="auto"/>
                      <w:kern w:val="0"/>
                      <w:szCs w:val="21"/>
                      <w:lang w:bidi="ar"/>
                    </w:rPr>
                    <w:t>定期进行设备维护和保养，当废气处理装置出现故障不能短时间恢复时停止生产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42" w:type="dxa"/>
                  <w:vMerge w:val="continue"/>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p>
              </w:tc>
              <w:tc>
                <w:tcPr>
                  <w:tcW w:w="869" w:type="dxa"/>
                  <w:vMerge w:val="continue"/>
                  <w:tcBorders>
                    <w:tl2br w:val="nil"/>
                    <w:tr2bl w:val="nil"/>
                  </w:tcBorders>
                  <w:vAlign w:val="center"/>
                </w:tcPr>
                <w:p>
                  <w:pPr>
                    <w:widowControl/>
                    <w:adjustRightInd w:val="0"/>
                    <w:snapToGrid w:val="0"/>
                    <w:jc w:val="center"/>
                    <w:rPr>
                      <w:rFonts w:ascii="Times New Roman" w:hAnsi="Times New Roman" w:eastAsia="宋体"/>
                      <w:color w:val="auto"/>
                      <w:szCs w:val="21"/>
                    </w:rPr>
                  </w:pPr>
                </w:p>
              </w:tc>
              <w:tc>
                <w:tcPr>
                  <w:tcW w:w="943" w:type="dxa"/>
                  <w:vMerge w:val="continue"/>
                  <w:tcBorders>
                    <w:tl2br w:val="nil"/>
                    <w:tr2bl w:val="nil"/>
                  </w:tcBorders>
                  <w:vAlign w:val="center"/>
                </w:tcPr>
                <w:p>
                  <w:pPr>
                    <w:adjustRightInd w:val="0"/>
                    <w:snapToGrid w:val="0"/>
                    <w:jc w:val="center"/>
                    <w:rPr>
                      <w:rFonts w:ascii="Times New Roman" w:hAnsi="Times New Roman" w:eastAsia="宋体"/>
                      <w:color w:val="auto"/>
                      <w:kern w:val="0"/>
                      <w:szCs w:val="21"/>
                      <w:lang w:bidi="ar"/>
                    </w:rPr>
                  </w:pPr>
                </w:p>
              </w:tc>
              <w:tc>
                <w:tcPr>
                  <w:tcW w:w="782" w:type="dxa"/>
                  <w:gridSpan w:val="2"/>
                  <w:tcBorders>
                    <w:tl2br w:val="nil"/>
                    <w:tr2bl w:val="nil"/>
                  </w:tcBorders>
                  <w:vAlign w:val="center"/>
                </w:tcPr>
                <w:p>
                  <w:pPr>
                    <w:pStyle w:val="48"/>
                    <w:rPr>
                      <w:rFonts w:ascii="Times New Roman" w:hAnsi="Times New Roman" w:eastAsia="宋体"/>
                      <w:color w:val="auto"/>
                      <w:sz w:val="21"/>
                    </w:rPr>
                  </w:pPr>
                  <w:r>
                    <w:rPr>
                      <w:rFonts w:hint="eastAsia" w:ascii="Times New Roman" w:hAnsi="Times New Roman" w:eastAsia="宋体"/>
                      <w:color w:val="auto"/>
                      <w:sz w:val="21"/>
                    </w:rPr>
                    <w:t>非甲烷总烃</w:t>
                  </w:r>
                </w:p>
              </w:tc>
              <w:tc>
                <w:tcPr>
                  <w:tcW w:w="1005" w:type="dxa"/>
                  <w:tcBorders>
                    <w:tl2br w:val="nil"/>
                    <w:tr2bl w:val="nil"/>
                  </w:tcBorders>
                  <w:vAlign w:val="center"/>
                </w:tcPr>
                <w:p>
                  <w:pPr>
                    <w:pStyle w:val="48"/>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41</w:t>
                  </w:r>
                </w:p>
              </w:tc>
              <w:tc>
                <w:tcPr>
                  <w:tcW w:w="807" w:type="dxa"/>
                  <w:tcBorders>
                    <w:tl2br w:val="nil"/>
                    <w:tr2bl w:val="nil"/>
                  </w:tcBorders>
                  <w:vAlign w:val="center"/>
                </w:tcPr>
                <w:p>
                  <w:pPr>
                    <w:pStyle w:val="48"/>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0.61</w:t>
                  </w:r>
                </w:p>
              </w:tc>
              <w:tc>
                <w:tcPr>
                  <w:tcW w:w="794" w:type="dxa"/>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993" w:type="dxa"/>
                  <w:vMerge w:val="continue"/>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p>
              </w:tc>
              <w:tc>
                <w:tcPr>
                  <w:tcW w:w="1539" w:type="dxa"/>
                  <w:vMerge w:val="continue"/>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42" w:type="dxa"/>
                  <w:vMerge w:val="continue"/>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p>
              </w:tc>
              <w:tc>
                <w:tcPr>
                  <w:tcW w:w="869" w:type="dxa"/>
                  <w:vMerge w:val="continue"/>
                  <w:tcBorders>
                    <w:tl2br w:val="nil"/>
                    <w:tr2bl w:val="nil"/>
                  </w:tcBorders>
                  <w:vAlign w:val="center"/>
                </w:tcPr>
                <w:p>
                  <w:pPr>
                    <w:widowControl/>
                    <w:adjustRightInd w:val="0"/>
                    <w:snapToGrid w:val="0"/>
                    <w:jc w:val="center"/>
                    <w:rPr>
                      <w:rFonts w:ascii="Times New Roman" w:hAnsi="Times New Roman" w:eastAsia="宋体"/>
                      <w:bCs/>
                      <w:iCs/>
                      <w:snapToGrid w:val="0"/>
                      <w:color w:val="auto"/>
                      <w:spacing w:val="-4"/>
                      <w:kern w:val="0"/>
                      <w:szCs w:val="21"/>
                      <w:lang w:bidi="en-US"/>
                    </w:rPr>
                  </w:pPr>
                </w:p>
              </w:tc>
              <w:tc>
                <w:tcPr>
                  <w:tcW w:w="943" w:type="dxa"/>
                  <w:vMerge w:val="continue"/>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p>
              </w:tc>
              <w:tc>
                <w:tcPr>
                  <w:tcW w:w="391" w:type="dxa"/>
                  <w:tcBorders>
                    <w:tl2br w:val="nil"/>
                    <w:tr2bl w:val="nil"/>
                  </w:tcBorders>
                  <w:vAlign w:val="center"/>
                </w:tcPr>
                <w:p>
                  <w:pPr>
                    <w:pStyle w:val="48"/>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其中</w:t>
                  </w:r>
                </w:p>
              </w:tc>
              <w:tc>
                <w:tcPr>
                  <w:tcW w:w="391" w:type="dxa"/>
                  <w:tcBorders>
                    <w:tl2br w:val="nil"/>
                    <w:tr2bl w:val="nil"/>
                  </w:tcBorders>
                  <w:vAlign w:val="center"/>
                </w:tcPr>
                <w:p>
                  <w:pPr>
                    <w:pStyle w:val="48"/>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二甲苯</w:t>
                  </w:r>
                </w:p>
              </w:tc>
              <w:tc>
                <w:tcPr>
                  <w:tcW w:w="1005" w:type="dxa"/>
                  <w:tcBorders>
                    <w:tl2br w:val="nil"/>
                    <w:tr2bl w:val="nil"/>
                  </w:tcBorders>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3.73</w:t>
                  </w:r>
                </w:p>
              </w:tc>
              <w:tc>
                <w:tcPr>
                  <w:tcW w:w="807" w:type="dxa"/>
                  <w:tcBorders>
                    <w:tl2br w:val="nil"/>
                    <w:tr2bl w:val="nil"/>
                  </w:tcBorders>
                  <w:vAlign w:val="center"/>
                </w:tcPr>
                <w:p>
                  <w:pPr>
                    <w:pStyle w:val="48"/>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0.056</w:t>
                  </w:r>
                </w:p>
              </w:tc>
              <w:tc>
                <w:tcPr>
                  <w:tcW w:w="794" w:type="dxa"/>
                  <w:vMerge w:val="continue"/>
                  <w:tcBorders>
                    <w:tl2br w:val="nil"/>
                    <w:tr2bl w:val="nil"/>
                  </w:tcBorders>
                  <w:vAlign w:val="center"/>
                </w:tcPr>
                <w:p>
                  <w:pPr>
                    <w:adjustRightInd w:val="0"/>
                    <w:snapToGrid w:val="0"/>
                    <w:jc w:val="center"/>
                    <w:rPr>
                      <w:rFonts w:hint="eastAsia" w:ascii="Times New Roman" w:hAnsi="Times New Roman" w:eastAsia="宋体"/>
                      <w:color w:val="auto"/>
                      <w:szCs w:val="21"/>
                    </w:rPr>
                  </w:pPr>
                </w:p>
              </w:tc>
              <w:tc>
                <w:tcPr>
                  <w:tcW w:w="993" w:type="dxa"/>
                  <w:vMerge w:val="continue"/>
                  <w:tcBorders>
                    <w:tl2br w:val="nil"/>
                    <w:tr2bl w:val="nil"/>
                  </w:tcBorders>
                  <w:vAlign w:val="center"/>
                </w:tcPr>
                <w:p>
                  <w:pPr>
                    <w:widowControl/>
                    <w:adjustRightInd w:val="0"/>
                    <w:snapToGrid w:val="0"/>
                    <w:jc w:val="center"/>
                    <w:rPr>
                      <w:rFonts w:ascii="Times New Roman" w:hAnsi="Times New Roman" w:eastAsia="宋体"/>
                      <w:bCs/>
                      <w:color w:val="auto"/>
                      <w:kern w:val="0"/>
                      <w:szCs w:val="21"/>
                      <w:lang w:bidi="ar"/>
                    </w:rPr>
                  </w:pPr>
                </w:p>
              </w:tc>
              <w:tc>
                <w:tcPr>
                  <w:tcW w:w="1539" w:type="dxa"/>
                  <w:vMerge w:val="continue"/>
                  <w:tcBorders>
                    <w:tl2br w:val="nil"/>
                    <w:tr2bl w:val="nil"/>
                  </w:tcBorders>
                  <w:vAlign w:val="center"/>
                </w:tcPr>
                <w:p>
                  <w:pPr>
                    <w:widowControl/>
                    <w:adjustRightInd w:val="0"/>
                    <w:snapToGrid w:val="0"/>
                    <w:jc w:val="center"/>
                    <w:rPr>
                      <w:rFonts w:ascii="Times New Roman" w:hAnsi="Times New Roman" w:eastAsia="宋体"/>
                      <w:color w:val="auto"/>
                      <w:kern w:val="0"/>
                      <w:szCs w:val="21"/>
                      <w:lang w:bidi="ar"/>
                    </w:rPr>
                  </w:pPr>
                </w:p>
              </w:tc>
            </w:tr>
          </w:tbl>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非正常排放下的各污染物对环境空气影响较正常排放时明显增加，对周边环境有一定影响，要求企业加强生产管理，定期进行设备维护和保养，当废气处理装置出现故障不能短时间恢复时停止生产。</w:t>
            </w:r>
          </w:p>
          <w:p>
            <w:pPr>
              <w:pStyle w:val="9"/>
              <w:adjustRightInd w:val="0"/>
              <w:snapToGrid w:val="0"/>
              <w:spacing w:line="360" w:lineRule="auto"/>
              <w:ind w:firstLine="482" w:firstLineChars="200"/>
              <w:rPr>
                <w:rFonts w:ascii="Times New Roman" w:hAnsi="Times New Roman" w:eastAsia="宋体"/>
                <w:b/>
                <w:bCs/>
                <w:color w:val="auto"/>
                <w:sz w:val="24"/>
              </w:rPr>
            </w:pPr>
            <w:r>
              <w:rPr>
                <w:rFonts w:ascii="Times New Roman" w:hAnsi="Times New Roman" w:eastAsia="宋体"/>
                <w:b/>
                <w:color w:val="auto"/>
                <w:sz w:val="24"/>
              </w:rPr>
              <w:t>（</w:t>
            </w:r>
            <w:r>
              <w:rPr>
                <w:rFonts w:hint="eastAsia" w:ascii="Times New Roman" w:hAnsi="Times New Roman" w:eastAsia="宋体"/>
                <w:b/>
                <w:color w:val="auto"/>
                <w:sz w:val="24"/>
              </w:rPr>
              <w:t>5</w:t>
            </w:r>
            <w:r>
              <w:rPr>
                <w:rFonts w:ascii="Times New Roman" w:hAnsi="Times New Roman" w:eastAsia="宋体"/>
                <w:b/>
                <w:color w:val="auto"/>
                <w:sz w:val="24"/>
              </w:rPr>
              <w:t>）</w:t>
            </w:r>
            <w:r>
              <w:rPr>
                <w:rFonts w:ascii="Times New Roman" w:hAnsi="Times New Roman" w:eastAsia="宋体"/>
                <w:b/>
                <w:bCs/>
                <w:color w:val="auto"/>
                <w:sz w:val="24"/>
              </w:rPr>
              <w:t>监测</w:t>
            </w:r>
            <w:r>
              <w:rPr>
                <w:rFonts w:hint="eastAsia" w:ascii="Times New Roman" w:hAnsi="Times New Roman" w:eastAsia="宋体"/>
                <w:b/>
                <w:bCs/>
                <w:color w:val="auto"/>
                <w:sz w:val="24"/>
              </w:rPr>
              <w:t>要求</w:t>
            </w:r>
          </w:p>
          <w:p>
            <w:pPr>
              <w:pStyle w:val="9"/>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①污染源监测计划</w:t>
            </w:r>
          </w:p>
          <w:p>
            <w:pPr>
              <w:pStyle w:val="9"/>
              <w:adjustRightInd w:val="0"/>
              <w:snapToGrid w:val="0"/>
              <w:spacing w:line="360" w:lineRule="auto"/>
              <w:ind w:firstLine="480" w:firstLineChars="200"/>
              <w:rPr>
                <w:rFonts w:ascii="Times New Roman" w:hAnsi="Times New Roman" w:eastAsia="宋体"/>
                <w:b/>
                <w:color w:val="auto"/>
                <w:szCs w:val="21"/>
              </w:rPr>
            </w:pPr>
            <w:r>
              <w:rPr>
                <w:rFonts w:hint="eastAsia" w:ascii="Times New Roman" w:hAnsi="Times New Roman" w:eastAsia="宋体"/>
                <w:color w:val="auto"/>
                <w:sz w:val="24"/>
              </w:rPr>
              <w:t>对照</w:t>
            </w:r>
            <w:r>
              <w:rPr>
                <w:rFonts w:hint="eastAsia" w:ascii="Times New Roman" w:hAnsi="Times New Roman" w:eastAsia="宋体"/>
                <w:color w:val="auto"/>
                <w:sz w:val="24"/>
                <w:lang w:val="en-US" w:eastAsia="zh-CN"/>
              </w:rPr>
              <w:t>《排污单位自行监测技术指南 涂装》（HJ1086-2020）</w:t>
            </w:r>
            <w:r>
              <w:rPr>
                <w:rFonts w:hint="eastAsia" w:ascii="Times New Roman" w:hAnsi="Times New Roman" w:eastAsia="宋体"/>
                <w:color w:val="auto"/>
                <w:sz w:val="24"/>
              </w:rPr>
              <w:t>相关要求，本项目废气监测项目及监测频次见下表。</w:t>
            </w:r>
          </w:p>
          <w:p>
            <w:pPr>
              <w:adjustRightInd w:val="0"/>
              <w:snapToGrid w:val="0"/>
              <w:jc w:val="center"/>
              <w:rPr>
                <w:rFonts w:hint="eastAsia"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4-</w:t>
            </w:r>
            <w:r>
              <w:rPr>
                <w:rFonts w:hint="eastAsia" w:ascii="Times New Roman" w:hAnsi="Times New Roman" w:eastAsia="宋体"/>
                <w:b/>
                <w:color w:val="auto"/>
                <w:szCs w:val="21"/>
                <w:lang w:val="en-US" w:eastAsia="zh-CN"/>
              </w:rPr>
              <w:t>8</w:t>
            </w:r>
            <w:r>
              <w:rPr>
                <w:rFonts w:ascii="Times New Roman" w:hAnsi="Times New Roman" w:eastAsia="宋体"/>
                <w:b/>
                <w:color w:val="auto"/>
                <w:szCs w:val="21"/>
              </w:rPr>
              <w:t xml:space="preserve">  废气</w:t>
            </w:r>
            <w:r>
              <w:rPr>
                <w:rFonts w:hint="eastAsia" w:ascii="Times New Roman" w:hAnsi="Times New Roman" w:eastAsia="宋体"/>
                <w:b/>
                <w:color w:val="auto"/>
                <w:szCs w:val="21"/>
              </w:rPr>
              <w:t>污染源监测计划</w:t>
            </w:r>
          </w:p>
          <w:tbl>
            <w:tblPr>
              <w:tblStyle w:val="22"/>
              <w:tblW w:w="4989"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488"/>
              <w:gridCol w:w="3760"/>
              <w:gridCol w:w="1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监测类型</w:t>
                  </w: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监测因子</w:t>
                  </w:r>
                </w:p>
              </w:tc>
              <w:tc>
                <w:tcPr>
                  <w:tcW w:w="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92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DA001</w:t>
                  </w:r>
                </w:p>
              </w:tc>
              <w:tc>
                <w:tcPr>
                  <w:tcW w:w="233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、二甲苯、苯系物</w:t>
                  </w:r>
                </w:p>
              </w:tc>
              <w:tc>
                <w:tcPr>
                  <w:tcW w:w="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233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二甲苯、苯系物、</w:t>
                  </w:r>
                  <w:r>
                    <w:rPr>
                      <w:rFonts w:hint="eastAsia" w:ascii="Times New Roman" w:hAnsi="Times New Roman" w:eastAsia="宋体" w:cs="Times New Roman"/>
                      <w:color w:val="auto"/>
                      <w:sz w:val="21"/>
                      <w:szCs w:val="21"/>
                      <w:highlight w:val="none"/>
                      <w:lang w:eastAsia="zh-CN"/>
                    </w:rPr>
                    <w:t>臭气浓度</w:t>
                  </w:r>
                </w:p>
              </w:tc>
              <w:tc>
                <w:tcPr>
                  <w:tcW w:w="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w:t>
                  </w: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车间外</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非甲烷总烃</w:t>
                  </w:r>
                </w:p>
              </w:tc>
              <w:tc>
                <w:tcPr>
                  <w:tcW w:w="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1次/半年</w:t>
                  </w:r>
                </w:p>
              </w:tc>
            </w:tr>
          </w:tbl>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kern w:val="0"/>
                <w:sz w:val="24"/>
              </w:rPr>
              <w:fldChar w:fldCharType="begin"/>
            </w:r>
            <w:r>
              <w:rPr>
                <w:rFonts w:ascii="Times New Roman" w:hAnsi="Times New Roman" w:eastAsia="宋体"/>
                <w:color w:val="auto"/>
                <w:kern w:val="0"/>
                <w:sz w:val="24"/>
              </w:rPr>
              <w:instrText xml:space="preserve"> </w:instrText>
            </w:r>
            <w:r>
              <w:rPr>
                <w:rFonts w:hint="eastAsia" w:ascii="Times New Roman" w:hAnsi="Times New Roman" w:eastAsia="宋体"/>
                <w:color w:val="auto"/>
                <w:kern w:val="0"/>
                <w:sz w:val="24"/>
              </w:rPr>
              <w:instrText xml:space="preserve">= 2 \* GB3</w:instrText>
            </w:r>
            <w:r>
              <w:rPr>
                <w:rFonts w:ascii="Times New Roman" w:hAnsi="Times New Roman" w:eastAsia="宋体"/>
                <w:color w:val="auto"/>
                <w:kern w:val="0"/>
                <w:sz w:val="24"/>
              </w:rPr>
              <w:instrText xml:space="preserve"> </w:instrText>
            </w:r>
            <w:r>
              <w:rPr>
                <w:rFonts w:ascii="Times New Roman" w:hAnsi="Times New Roman" w:eastAsia="宋体"/>
                <w:color w:val="auto"/>
                <w:kern w:val="0"/>
                <w:sz w:val="24"/>
              </w:rPr>
              <w:fldChar w:fldCharType="separate"/>
            </w:r>
            <w:r>
              <w:rPr>
                <w:rFonts w:hint="eastAsia" w:ascii="Times New Roman" w:hAnsi="Times New Roman" w:eastAsia="宋体"/>
                <w:color w:val="auto"/>
                <w:kern w:val="0"/>
                <w:sz w:val="24"/>
              </w:rPr>
              <w:t>②</w:t>
            </w:r>
            <w:r>
              <w:rPr>
                <w:rFonts w:ascii="Times New Roman" w:hAnsi="Times New Roman" w:eastAsia="宋体"/>
                <w:color w:val="auto"/>
                <w:kern w:val="0"/>
                <w:sz w:val="24"/>
              </w:rPr>
              <w:fldChar w:fldCharType="end"/>
            </w:r>
            <w:r>
              <w:rPr>
                <w:rFonts w:ascii="Times New Roman" w:hAnsi="Times New Roman" w:eastAsia="宋体"/>
                <w:color w:val="auto"/>
                <w:sz w:val="24"/>
              </w:rPr>
              <w:t>“三同时”验收监测计划</w:t>
            </w:r>
          </w:p>
          <w:p>
            <w:pPr>
              <w:pStyle w:val="9"/>
              <w:spacing w:line="360" w:lineRule="auto"/>
              <w:ind w:firstLine="480" w:firstLineChars="200"/>
              <w:rPr>
                <w:rFonts w:ascii="Times New Roman" w:hAnsi="Times New Roman" w:eastAsia="宋体"/>
                <w:b/>
                <w:bCs/>
                <w:color w:val="auto"/>
                <w:sz w:val="24"/>
              </w:rPr>
            </w:pPr>
            <w:r>
              <w:rPr>
                <w:rFonts w:ascii="Times New Roman" w:hAnsi="Times New Roman" w:eastAsia="宋体"/>
                <w:color w:val="auto"/>
                <w:sz w:val="24"/>
              </w:rPr>
              <w:t>根据《建设项目竣工环境保护验收技术指南 污染影响类》，</w:t>
            </w:r>
            <w:r>
              <w:rPr>
                <w:rFonts w:ascii="Times New Roman" w:hAnsi="Times New Roman" w:eastAsia="宋体"/>
                <w:bCs/>
                <w:color w:val="auto"/>
                <w:sz w:val="24"/>
              </w:rPr>
              <w:t>建设项目需针对大气污染源制定验收监测计划。</w:t>
            </w:r>
            <w:r>
              <w:rPr>
                <w:rFonts w:hint="eastAsia" w:ascii="Times New Roman" w:hAnsi="Times New Roman" w:eastAsia="宋体"/>
                <w:color w:val="auto"/>
                <w:sz w:val="24"/>
              </w:rPr>
              <w:t>本项目</w:t>
            </w:r>
            <w:r>
              <w:rPr>
                <w:rFonts w:ascii="Times New Roman" w:hAnsi="Times New Roman" w:eastAsia="宋体"/>
                <w:color w:val="auto"/>
                <w:sz w:val="24"/>
              </w:rPr>
              <w:t>废气监测点、监测项目及监测频次</w:t>
            </w:r>
            <w:r>
              <w:rPr>
                <w:rFonts w:ascii="Times New Roman" w:hAnsi="Times New Roman" w:eastAsia="宋体"/>
                <w:bCs/>
                <w:color w:val="auto"/>
                <w:sz w:val="24"/>
              </w:rPr>
              <w:t>见</w:t>
            </w:r>
            <w:r>
              <w:rPr>
                <w:rFonts w:hint="eastAsia" w:ascii="Times New Roman" w:hAnsi="Times New Roman" w:eastAsia="宋体"/>
                <w:bCs/>
                <w:color w:val="auto"/>
                <w:sz w:val="24"/>
              </w:rPr>
              <w:t>下表</w:t>
            </w:r>
            <w:r>
              <w:rPr>
                <w:rFonts w:ascii="Times New Roman" w:hAnsi="Times New Roman" w:eastAsia="宋体"/>
                <w:bCs/>
                <w:color w:val="auto"/>
                <w:sz w:val="24"/>
              </w:rPr>
              <w:t>。</w:t>
            </w:r>
          </w:p>
          <w:p>
            <w:pPr>
              <w:tabs>
                <w:tab w:val="left" w:pos="1593"/>
              </w:tabs>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4</w:t>
            </w:r>
            <w:r>
              <w:rPr>
                <w:rFonts w:ascii="Times New Roman" w:hAnsi="Times New Roman" w:eastAsia="宋体"/>
                <w:b/>
                <w:color w:val="auto"/>
                <w:szCs w:val="21"/>
              </w:rPr>
              <w:t>-</w:t>
            </w:r>
            <w:r>
              <w:rPr>
                <w:rFonts w:hint="eastAsia" w:ascii="Times New Roman" w:hAnsi="Times New Roman" w:eastAsia="宋体"/>
                <w:b/>
                <w:color w:val="auto"/>
                <w:szCs w:val="21"/>
                <w:lang w:val="en-US" w:eastAsia="zh-CN"/>
              </w:rPr>
              <w:t>9</w:t>
            </w:r>
            <w:r>
              <w:rPr>
                <w:rFonts w:hint="eastAsia" w:ascii="Times New Roman" w:hAnsi="Times New Roman" w:eastAsia="宋体"/>
                <w:b/>
                <w:color w:val="auto"/>
                <w:szCs w:val="21"/>
              </w:rPr>
              <w:t xml:space="preserve"> </w:t>
            </w:r>
            <w:r>
              <w:rPr>
                <w:rFonts w:ascii="Times New Roman" w:hAnsi="Times New Roman" w:eastAsia="宋体"/>
                <w:b/>
                <w:color w:val="auto"/>
                <w:szCs w:val="21"/>
              </w:rPr>
              <w:t>建设项目废气验收监测方案</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2"/>
              <w:gridCol w:w="813"/>
              <w:gridCol w:w="1039"/>
              <w:gridCol w:w="1883"/>
              <w:gridCol w:w="865"/>
              <w:gridCol w:w="2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pct"/>
                  <w:gridSpan w:val="3"/>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监测点位置</w:t>
                  </w:r>
                </w:p>
              </w:tc>
              <w:tc>
                <w:tcPr>
                  <w:tcW w:w="1166" w:type="pct"/>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监测项目</w:t>
                  </w:r>
                </w:p>
              </w:tc>
              <w:tc>
                <w:tcPr>
                  <w:tcW w:w="535" w:type="pct"/>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监测频次</w:t>
                  </w:r>
                </w:p>
              </w:tc>
              <w:tc>
                <w:tcPr>
                  <w:tcW w:w="1759" w:type="pct"/>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hint="eastAsia" w:ascii="Times New Roman" w:hAnsi="Times New Roman" w:eastAsia="宋体"/>
                      <w:b/>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ascii="Times New Roman" w:hAnsi="Times New Roman" w:eastAsia="宋体"/>
                      <w:color w:val="auto"/>
                      <w:szCs w:val="21"/>
                    </w:rPr>
                    <w:t>废气</w:t>
                  </w:r>
                </w:p>
              </w:tc>
              <w:tc>
                <w:tcPr>
                  <w:tcW w:w="503"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有组织</w:t>
                  </w:r>
                </w:p>
              </w:tc>
              <w:tc>
                <w:tcPr>
                  <w:tcW w:w="643" w:type="pct"/>
                  <w:vMerge w:val="restart"/>
                  <w:tcBorders>
                    <w:tl2br w:val="nil"/>
                    <w:tr2bl w:val="nil"/>
                  </w:tcBorders>
                  <w:vAlign w:val="center"/>
                </w:tcPr>
                <w:p>
                  <w:pPr>
                    <w:pStyle w:val="33"/>
                    <w:rPr>
                      <w:rFonts w:hint="eastAsia" w:ascii="Times New Roman" w:hAnsi="Times New Roman" w:eastAsia="宋体"/>
                      <w:color w:val="auto"/>
                      <w:lang w:eastAsia="zh-CN"/>
                    </w:rPr>
                  </w:pPr>
                  <w:r>
                    <w:rPr>
                      <w:rFonts w:hint="eastAsia" w:ascii="Times New Roman" w:hAnsi="Times New Roman" w:eastAsia="宋体"/>
                      <w:color w:val="auto"/>
                    </w:rPr>
                    <w:t>DA001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进口、出口</w:t>
                  </w:r>
                  <w:r>
                    <w:rPr>
                      <w:rFonts w:hint="eastAsia" w:ascii="Times New Roman" w:hAnsi="Times New Roman" w:eastAsia="宋体"/>
                      <w:color w:val="auto"/>
                      <w:lang w:eastAsia="zh-CN"/>
                    </w:rPr>
                    <w:t>）</w:t>
                  </w:r>
                </w:p>
              </w:tc>
              <w:tc>
                <w:tcPr>
                  <w:tcW w:w="1166" w:type="pct"/>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颗粒物</w:t>
                  </w:r>
                </w:p>
              </w:tc>
              <w:tc>
                <w:tcPr>
                  <w:tcW w:w="535" w:type="pct"/>
                  <w:vMerge w:val="restart"/>
                  <w:tcBorders>
                    <w:tl2br w:val="nil"/>
                    <w:tr2bl w:val="nil"/>
                  </w:tcBorders>
                  <w:vAlign w:val="center"/>
                </w:tcPr>
                <w:p>
                  <w:pPr>
                    <w:pStyle w:val="49"/>
                    <w:adjustRightInd w:val="0"/>
                    <w:snapToGrid w:val="0"/>
                    <w:ind w:firstLine="0" w:firstLineChars="0"/>
                    <w:jc w:val="center"/>
                    <w:rPr>
                      <w:rFonts w:ascii="Times New Roman" w:hAnsi="Times New Roman" w:eastAsia="宋体"/>
                      <w:color w:val="auto"/>
                      <w:szCs w:val="21"/>
                    </w:rPr>
                  </w:pPr>
                  <w:r>
                    <w:rPr>
                      <w:rFonts w:ascii="Times New Roman" w:hAnsi="Times New Roman" w:eastAsia="宋体" w:cs="Times New Roman"/>
                      <w:color w:val="auto"/>
                      <w:szCs w:val="21"/>
                    </w:rPr>
                    <w:t>2天×3次/天</w:t>
                  </w:r>
                </w:p>
              </w:tc>
              <w:tc>
                <w:tcPr>
                  <w:tcW w:w="1759"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default" w:ascii="Times New Roman" w:hAnsi="Times New Roman" w:eastAsia="宋体" w:cs="Times New Roman"/>
                      <w:color w:val="auto"/>
                      <w:sz w:val="21"/>
                      <w:szCs w:val="21"/>
                      <w:lang w:val="en-US" w:eastAsia="zh-CN"/>
                    </w:rPr>
                    <w:t>《工业涂装工序大气污染物排放标准》（DB32/4439-2022）</w:t>
                  </w:r>
                  <w:r>
                    <w:rPr>
                      <w:rFonts w:hint="eastAsia" w:ascii="Times New Roman" w:hAnsi="Times New Roman" w:eastAsia="宋体" w:cs="Times New Roman"/>
                      <w:color w:val="auto"/>
                      <w:sz w:val="21"/>
                      <w:szCs w:val="21"/>
                      <w:lang w:val="en-US" w:eastAsia="zh-CN"/>
                    </w:rPr>
                    <w:t>表1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503" w:type="pct"/>
                  <w:vMerge w:val="continue"/>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rPr>
                  </w:pPr>
                </w:p>
              </w:tc>
              <w:tc>
                <w:tcPr>
                  <w:tcW w:w="643" w:type="pct"/>
                  <w:vMerge w:val="continue"/>
                  <w:tcBorders>
                    <w:tl2br w:val="nil"/>
                    <w:tr2bl w:val="nil"/>
                  </w:tcBorders>
                  <w:vAlign w:val="center"/>
                </w:tcPr>
                <w:p>
                  <w:pPr>
                    <w:pStyle w:val="33"/>
                    <w:rPr>
                      <w:rFonts w:hint="eastAsia" w:ascii="Times New Roman" w:hAnsi="Times New Roman" w:eastAsia="宋体"/>
                      <w:color w:val="auto"/>
                    </w:rPr>
                  </w:pPr>
                </w:p>
              </w:tc>
              <w:tc>
                <w:tcPr>
                  <w:tcW w:w="1166" w:type="pct"/>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rPr>
                  </w:pPr>
                  <w:r>
                    <w:rPr>
                      <w:rFonts w:hint="eastAsia" w:ascii="Times New Roman" w:hAnsi="Times New Roman" w:eastAsia="宋体"/>
                      <w:color w:val="auto"/>
                      <w:szCs w:val="21"/>
                    </w:rPr>
                    <w:t>非甲烷总烃</w:t>
                  </w:r>
                </w:p>
              </w:tc>
              <w:tc>
                <w:tcPr>
                  <w:tcW w:w="535" w:type="pct"/>
                  <w:vMerge w:val="continue"/>
                  <w:tcBorders>
                    <w:tl2br w:val="nil"/>
                    <w:tr2bl w:val="nil"/>
                  </w:tcBorders>
                  <w:vAlign w:val="center"/>
                </w:tcPr>
                <w:p>
                  <w:pPr>
                    <w:pStyle w:val="49"/>
                    <w:adjustRightInd w:val="0"/>
                    <w:snapToGrid w:val="0"/>
                    <w:ind w:firstLine="0" w:firstLineChars="0"/>
                    <w:jc w:val="center"/>
                    <w:rPr>
                      <w:rFonts w:ascii="Times New Roman" w:hAnsi="Times New Roman" w:eastAsia="宋体" w:cs="Times New Roman"/>
                      <w:color w:val="auto"/>
                      <w:szCs w:val="21"/>
                    </w:rPr>
                  </w:pPr>
                </w:p>
              </w:tc>
              <w:tc>
                <w:tcPr>
                  <w:tcW w:w="1759"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503" w:type="pct"/>
                  <w:vMerge w:val="continue"/>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rPr>
                  </w:pPr>
                </w:p>
              </w:tc>
              <w:tc>
                <w:tcPr>
                  <w:tcW w:w="643" w:type="pct"/>
                  <w:vMerge w:val="continue"/>
                  <w:tcBorders>
                    <w:tl2br w:val="nil"/>
                    <w:tr2bl w:val="nil"/>
                  </w:tcBorders>
                  <w:vAlign w:val="center"/>
                </w:tcPr>
                <w:p>
                  <w:pPr>
                    <w:pStyle w:val="33"/>
                    <w:rPr>
                      <w:rFonts w:hint="eastAsia" w:ascii="Times New Roman" w:hAnsi="Times New Roman" w:eastAsia="宋体"/>
                      <w:color w:val="auto"/>
                    </w:rPr>
                  </w:pPr>
                </w:p>
              </w:tc>
              <w:tc>
                <w:tcPr>
                  <w:tcW w:w="1166" w:type="pct"/>
                  <w:tcBorders>
                    <w:tl2br w:val="nil"/>
                    <w:tr2bl w:val="nil"/>
                  </w:tcBorders>
                  <w:vAlign w:val="center"/>
                </w:tcPr>
                <w:p>
                  <w:pPr>
                    <w:adjustRightInd w:val="0"/>
                    <w:snapToGrid w:val="0"/>
                    <w:jc w:val="center"/>
                    <w:textAlignment w:val="baseline"/>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苯系物</w:t>
                  </w:r>
                </w:p>
              </w:tc>
              <w:tc>
                <w:tcPr>
                  <w:tcW w:w="535" w:type="pct"/>
                  <w:vMerge w:val="continue"/>
                  <w:tcBorders>
                    <w:tl2br w:val="nil"/>
                    <w:tr2bl w:val="nil"/>
                  </w:tcBorders>
                  <w:vAlign w:val="center"/>
                </w:tcPr>
                <w:p>
                  <w:pPr>
                    <w:pStyle w:val="49"/>
                    <w:adjustRightInd w:val="0"/>
                    <w:snapToGrid w:val="0"/>
                    <w:ind w:firstLine="0" w:firstLineChars="0"/>
                    <w:jc w:val="center"/>
                    <w:rPr>
                      <w:rFonts w:ascii="Times New Roman" w:hAnsi="Times New Roman" w:eastAsia="宋体" w:cs="Times New Roman"/>
                      <w:color w:val="auto"/>
                      <w:szCs w:val="21"/>
                    </w:rPr>
                  </w:pPr>
                </w:p>
              </w:tc>
              <w:tc>
                <w:tcPr>
                  <w:tcW w:w="1759"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503" w:type="pct"/>
                  <w:vMerge w:val="continue"/>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rPr>
                  </w:pPr>
                </w:p>
              </w:tc>
              <w:tc>
                <w:tcPr>
                  <w:tcW w:w="643" w:type="pct"/>
                  <w:vMerge w:val="continue"/>
                  <w:tcBorders>
                    <w:tl2br w:val="nil"/>
                    <w:tr2bl w:val="nil"/>
                  </w:tcBorders>
                  <w:vAlign w:val="center"/>
                </w:tcPr>
                <w:p>
                  <w:pPr>
                    <w:pStyle w:val="33"/>
                    <w:rPr>
                      <w:rFonts w:hint="eastAsia" w:ascii="Times New Roman" w:hAnsi="Times New Roman" w:eastAsia="宋体"/>
                      <w:color w:val="auto"/>
                    </w:rPr>
                  </w:pPr>
                </w:p>
              </w:tc>
              <w:tc>
                <w:tcPr>
                  <w:tcW w:w="1166" w:type="pct"/>
                  <w:tcBorders>
                    <w:tl2br w:val="nil"/>
                    <w:tr2bl w:val="nil"/>
                  </w:tcBorders>
                  <w:vAlign w:val="center"/>
                </w:tcPr>
                <w:p>
                  <w:pPr>
                    <w:adjustRightInd w:val="0"/>
                    <w:snapToGri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二</w:t>
                  </w:r>
                  <w:r>
                    <w:rPr>
                      <w:rFonts w:hint="eastAsia" w:ascii="Times New Roman" w:hAnsi="Times New Roman" w:eastAsia="宋体"/>
                      <w:color w:val="auto"/>
                      <w:szCs w:val="21"/>
                      <w:lang w:val="en-US" w:eastAsia="zh-CN"/>
                    </w:rPr>
                    <w:t>甲苯</w:t>
                  </w:r>
                </w:p>
              </w:tc>
              <w:tc>
                <w:tcPr>
                  <w:tcW w:w="535" w:type="pct"/>
                  <w:vMerge w:val="continue"/>
                  <w:tcBorders>
                    <w:tl2br w:val="nil"/>
                    <w:tr2bl w:val="nil"/>
                  </w:tcBorders>
                  <w:vAlign w:val="center"/>
                </w:tcPr>
                <w:p>
                  <w:pPr>
                    <w:pStyle w:val="49"/>
                    <w:adjustRightInd w:val="0"/>
                    <w:snapToGrid w:val="0"/>
                    <w:ind w:firstLine="0" w:firstLineChars="0"/>
                    <w:jc w:val="center"/>
                    <w:rPr>
                      <w:rFonts w:ascii="Times New Roman" w:hAnsi="Times New Roman" w:eastAsia="宋体" w:cs="Times New Roman"/>
                      <w:color w:val="auto"/>
                      <w:szCs w:val="21"/>
                    </w:rPr>
                  </w:pPr>
                </w:p>
              </w:tc>
              <w:tc>
                <w:tcPr>
                  <w:tcW w:w="1759"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rPr>
                    <w:t>《大气污染物综合排放标准》（DB32/4041-2021）</w:t>
                  </w:r>
                  <w:r>
                    <w:rPr>
                      <w:rFonts w:hint="eastAsia" w:ascii="Times New Roman" w:hAnsi="Times New Roman" w:eastAsia="宋体"/>
                      <w:color w:val="auto"/>
                      <w:lang w:val="en-US" w:eastAsia="zh-CN"/>
                    </w:rPr>
                    <w:t>表1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503"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无组织</w:t>
                  </w:r>
                </w:p>
              </w:tc>
              <w:tc>
                <w:tcPr>
                  <w:tcW w:w="643"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厂界</w:t>
                  </w:r>
                </w:p>
              </w:tc>
              <w:tc>
                <w:tcPr>
                  <w:tcW w:w="1166" w:type="pct"/>
                  <w:tcBorders>
                    <w:tl2br w:val="nil"/>
                    <w:tr2bl w:val="nil"/>
                  </w:tcBorders>
                  <w:vAlign w:val="center"/>
                </w:tcPr>
                <w:p>
                  <w:pPr>
                    <w:pStyle w:val="49"/>
                    <w:adjustRightInd w:val="0"/>
                    <w:snapToGrid w:val="0"/>
                    <w:ind w:firstLine="0" w:firstLineChars="0"/>
                    <w:jc w:val="center"/>
                    <w:rPr>
                      <w:rFonts w:ascii="Times New Roman" w:hAnsi="Times New Roman" w:eastAsia="宋体" w:cs="Times New Roman"/>
                      <w:color w:val="auto"/>
                      <w:szCs w:val="21"/>
                    </w:rPr>
                  </w:pPr>
                  <w:r>
                    <w:rPr>
                      <w:rFonts w:hint="eastAsia" w:ascii="Times New Roman" w:hAnsi="Times New Roman" w:eastAsia="宋体"/>
                      <w:color w:val="auto"/>
                      <w:szCs w:val="21"/>
                      <w:lang w:val="en-US" w:eastAsia="zh-CN"/>
                    </w:rPr>
                    <w:t>颗粒物、</w:t>
                  </w:r>
                  <w:r>
                    <w:rPr>
                      <w:rFonts w:hint="eastAsia" w:ascii="Times New Roman" w:hAnsi="Times New Roman" w:eastAsia="宋体" w:cs="Times New Roman"/>
                      <w:color w:val="auto"/>
                      <w:szCs w:val="21"/>
                    </w:rPr>
                    <w:t>非甲烷总烃</w:t>
                  </w:r>
                  <w:r>
                    <w:rPr>
                      <w:rFonts w:hint="eastAsia" w:ascii="Times New Roman" w:hAnsi="Times New Roman" w:eastAsia="宋体" w:cs="Times New Roman"/>
                      <w:color w:val="auto"/>
                      <w:szCs w:val="21"/>
                      <w:lang w:eastAsia="zh-CN"/>
                    </w:rPr>
                    <w:t>、</w:t>
                  </w:r>
                  <w:r>
                    <w:rPr>
                      <w:rFonts w:hint="eastAsia" w:ascii="Times New Roman" w:hAnsi="Times New Roman" w:eastAsia="宋体"/>
                      <w:color w:val="auto"/>
                      <w:szCs w:val="21"/>
                      <w:lang w:val="en-US" w:eastAsia="zh-CN"/>
                    </w:rPr>
                    <w:t>苯系物</w:t>
                  </w:r>
                  <w:r>
                    <w:rPr>
                      <w:rFonts w:hint="eastAsia" w:ascii="Times New Roman" w:hAnsi="Times New Roman" w:eastAsia="宋体" w:cs="Times New Roman"/>
                      <w:color w:val="auto"/>
                      <w:szCs w:val="21"/>
                    </w:rPr>
                    <w:t>、</w:t>
                  </w:r>
                  <w:r>
                    <w:rPr>
                      <w:rFonts w:hint="eastAsia" w:ascii="Times New Roman" w:hAnsi="Times New Roman" w:eastAsia="宋体"/>
                      <w:color w:val="auto"/>
                      <w:szCs w:val="21"/>
                      <w:lang w:val="en-US" w:eastAsia="zh-CN"/>
                    </w:rPr>
                    <w:t>二甲苯</w:t>
                  </w:r>
                </w:p>
              </w:tc>
              <w:tc>
                <w:tcPr>
                  <w:tcW w:w="535" w:type="pct"/>
                  <w:vMerge w:val="continue"/>
                  <w:tcBorders>
                    <w:tl2br w:val="nil"/>
                    <w:tr2bl w:val="nil"/>
                  </w:tcBorders>
                  <w:vAlign w:val="center"/>
                </w:tcPr>
                <w:p>
                  <w:pPr>
                    <w:pStyle w:val="49"/>
                    <w:adjustRightInd w:val="0"/>
                    <w:snapToGrid w:val="0"/>
                    <w:ind w:firstLine="0" w:firstLineChars="0"/>
                    <w:jc w:val="center"/>
                    <w:rPr>
                      <w:rFonts w:ascii="Times New Roman" w:hAnsi="Times New Roman" w:eastAsia="宋体"/>
                      <w:color w:val="auto"/>
                      <w:szCs w:val="21"/>
                    </w:rPr>
                  </w:pPr>
                </w:p>
              </w:tc>
              <w:tc>
                <w:tcPr>
                  <w:tcW w:w="1759"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ascii="Times New Roman" w:hAnsi="Times New Roman" w:eastAsia="宋体"/>
                      <w:color w:val="auto"/>
                      <w:szCs w:val="21"/>
                    </w:rPr>
                    <w:t>《大气污染物综合排放标准》（DB32/4041-2021）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503" w:type="pct"/>
                  <w:vMerge w:val="continue"/>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rPr>
                  </w:pPr>
                </w:p>
              </w:tc>
              <w:tc>
                <w:tcPr>
                  <w:tcW w:w="643" w:type="pct"/>
                  <w:vMerge w:val="continue"/>
                  <w:tcBorders>
                    <w:tl2br w:val="nil"/>
                    <w:tr2bl w:val="nil"/>
                  </w:tcBorders>
                  <w:vAlign w:val="center"/>
                </w:tcPr>
                <w:p>
                  <w:pPr>
                    <w:adjustRightInd w:val="0"/>
                    <w:snapToGrid w:val="0"/>
                    <w:jc w:val="center"/>
                    <w:textAlignment w:val="baseline"/>
                    <w:rPr>
                      <w:rFonts w:hint="eastAsia" w:ascii="Times New Roman" w:hAnsi="Times New Roman" w:eastAsia="宋体"/>
                      <w:color w:val="auto"/>
                      <w:szCs w:val="21"/>
                    </w:rPr>
                  </w:pPr>
                </w:p>
              </w:tc>
              <w:tc>
                <w:tcPr>
                  <w:tcW w:w="1166" w:type="pct"/>
                  <w:tcBorders>
                    <w:tl2br w:val="nil"/>
                    <w:tr2bl w:val="nil"/>
                  </w:tcBorders>
                  <w:vAlign w:val="center"/>
                </w:tcPr>
                <w:p>
                  <w:pPr>
                    <w:pStyle w:val="49"/>
                    <w:adjustRightInd w:val="0"/>
                    <w:snapToGrid w:val="0"/>
                    <w:ind w:firstLine="0" w:firstLineChars="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臭气浓度</w:t>
                  </w:r>
                </w:p>
              </w:tc>
              <w:tc>
                <w:tcPr>
                  <w:tcW w:w="535" w:type="pct"/>
                  <w:vMerge w:val="continue"/>
                  <w:tcBorders>
                    <w:tl2br w:val="nil"/>
                    <w:tr2bl w:val="nil"/>
                  </w:tcBorders>
                  <w:vAlign w:val="center"/>
                </w:tcPr>
                <w:p>
                  <w:pPr>
                    <w:pStyle w:val="49"/>
                    <w:adjustRightInd w:val="0"/>
                    <w:snapToGrid w:val="0"/>
                    <w:ind w:firstLine="0" w:firstLineChars="0"/>
                    <w:jc w:val="center"/>
                    <w:rPr>
                      <w:rFonts w:ascii="Times New Roman" w:hAnsi="Times New Roman" w:eastAsia="宋体"/>
                      <w:color w:val="auto"/>
                      <w:szCs w:val="21"/>
                    </w:rPr>
                  </w:pPr>
                </w:p>
              </w:tc>
              <w:tc>
                <w:tcPr>
                  <w:tcW w:w="1759"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lang w:val="zh-CN"/>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503"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无</w:t>
                  </w:r>
                  <w:r>
                    <w:rPr>
                      <w:rFonts w:ascii="Times New Roman" w:hAnsi="Times New Roman" w:eastAsia="宋体"/>
                      <w:color w:val="auto"/>
                      <w:szCs w:val="21"/>
                    </w:rPr>
                    <w:t>组织</w:t>
                  </w:r>
                </w:p>
              </w:tc>
              <w:tc>
                <w:tcPr>
                  <w:tcW w:w="643"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车间外</w:t>
                  </w:r>
                </w:p>
              </w:tc>
              <w:tc>
                <w:tcPr>
                  <w:tcW w:w="1166" w:type="pct"/>
                  <w:tcBorders>
                    <w:tl2br w:val="nil"/>
                    <w:tr2bl w:val="nil"/>
                  </w:tcBorders>
                  <w:vAlign w:val="center"/>
                </w:tcPr>
                <w:p>
                  <w:pPr>
                    <w:pStyle w:val="49"/>
                    <w:adjustRightInd w:val="0"/>
                    <w:snapToGrid w:val="0"/>
                    <w:ind w:firstLine="0" w:firstLineChars="0"/>
                    <w:jc w:val="center"/>
                    <w:rPr>
                      <w:rFonts w:ascii="Times New Roman" w:hAnsi="Times New Roman" w:eastAsia="宋体"/>
                      <w:color w:val="auto"/>
                      <w:szCs w:val="21"/>
                    </w:rPr>
                  </w:pPr>
                  <w:r>
                    <w:rPr>
                      <w:rFonts w:hint="eastAsia" w:ascii="Times New Roman" w:hAnsi="Times New Roman" w:eastAsia="宋体"/>
                      <w:color w:val="auto"/>
                      <w:szCs w:val="21"/>
                    </w:rPr>
                    <w:t>非甲烷总烃</w:t>
                  </w:r>
                </w:p>
              </w:tc>
              <w:tc>
                <w:tcPr>
                  <w:tcW w:w="535" w:type="pct"/>
                  <w:vMerge w:val="continue"/>
                  <w:tcBorders>
                    <w:tl2br w:val="nil"/>
                    <w:tr2bl w:val="nil"/>
                  </w:tcBorders>
                  <w:vAlign w:val="center"/>
                </w:tcPr>
                <w:p>
                  <w:pPr>
                    <w:pStyle w:val="49"/>
                    <w:adjustRightInd w:val="0"/>
                    <w:snapToGrid w:val="0"/>
                    <w:ind w:firstLine="0" w:firstLineChars="0"/>
                    <w:jc w:val="center"/>
                    <w:rPr>
                      <w:rFonts w:ascii="Times New Roman" w:hAnsi="Times New Roman" w:eastAsia="宋体" w:cs="Times New Roman"/>
                      <w:color w:val="auto"/>
                      <w:szCs w:val="21"/>
                    </w:rPr>
                  </w:pPr>
                </w:p>
              </w:tc>
              <w:tc>
                <w:tcPr>
                  <w:tcW w:w="1759"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ascii="Times New Roman" w:hAnsi="Times New Roman" w:eastAsia="宋体"/>
                      <w:color w:val="auto"/>
                      <w:szCs w:val="21"/>
                    </w:rPr>
                    <w:t>《大气污染物综合排放标准》（DB32/4041-2021）</w:t>
                  </w:r>
                </w:p>
              </w:tc>
            </w:tr>
          </w:tbl>
          <w:p>
            <w:pPr>
              <w:pStyle w:val="9"/>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③应急监测</w:t>
            </w:r>
          </w:p>
          <w:p>
            <w:pPr>
              <w:pStyle w:val="9"/>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监测因子：非甲烷总烃</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颗粒物、二甲苯、苯系物、CO</w:t>
            </w:r>
            <w:r>
              <w:rPr>
                <w:rFonts w:hint="eastAsia" w:ascii="Times New Roman" w:hAnsi="Times New Roman" w:eastAsia="宋体"/>
                <w:color w:val="auto"/>
                <w:sz w:val="24"/>
              </w:rPr>
              <w:t>。</w:t>
            </w:r>
          </w:p>
          <w:p>
            <w:pPr>
              <w:pStyle w:val="9"/>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监测时间和频次：按照事故持续时间决定监测时间，根据事故严重性决定监测频次。一般情况下每小时取样一次。随事故控制减弱，适当减少监测频次。</w:t>
            </w:r>
          </w:p>
          <w:p>
            <w:pPr>
              <w:pStyle w:val="9"/>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监测布点：按事故发生时的主导风向的下风向，考虑区域功能设置1个测点，厂界设监控点。</w:t>
            </w:r>
          </w:p>
          <w:p>
            <w:pPr>
              <w:pStyle w:val="9"/>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（6）卫生防护距离确定</w:t>
            </w:r>
          </w:p>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根据《大气有害物质无组织排放卫生防护距离推导技术导则》（GB/T39499-2020）中“4 行业主要特征大气有害物质：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量及等标排放量（Qc/Cm），最终确定卫生防护距离相关的主要特征大气有害物质1种~2种。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 本项目各类污染物等标排放量见下表。</w:t>
            </w:r>
          </w:p>
          <w:p>
            <w:pPr>
              <w:adjustRightInd w:val="0"/>
              <w:snapToGrid w:val="0"/>
              <w:spacing w:line="240" w:lineRule="auto"/>
              <w:ind w:firstLine="482"/>
              <w:jc w:val="center"/>
              <w:rPr>
                <w:rFonts w:ascii="Times New Roman" w:hAnsi="Times New Roman" w:eastAsia="宋体"/>
                <w:b/>
                <w:bCs/>
                <w:color w:val="auto"/>
                <w:spacing w:val="-10"/>
                <w:kern w:val="0"/>
                <w:sz w:val="21"/>
                <w:szCs w:val="21"/>
              </w:rPr>
            </w:pPr>
            <w:r>
              <w:rPr>
                <w:rFonts w:hint="eastAsia" w:ascii="Times New Roman" w:hAnsi="Times New Roman" w:eastAsia="宋体"/>
                <w:b/>
                <w:bCs/>
                <w:color w:val="auto"/>
                <w:spacing w:val="-10"/>
                <w:kern w:val="0"/>
                <w:sz w:val="21"/>
                <w:szCs w:val="21"/>
              </w:rPr>
              <w:t>表</w:t>
            </w:r>
            <w:r>
              <w:rPr>
                <w:rFonts w:hint="eastAsia" w:ascii="Times New Roman" w:hAnsi="Times New Roman" w:eastAsia="宋体"/>
                <w:b/>
                <w:bCs/>
                <w:color w:val="auto"/>
                <w:spacing w:val="-10"/>
                <w:kern w:val="0"/>
                <w:sz w:val="21"/>
                <w:szCs w:val="21"/>
                <w:lang w:val="en-US" w:eastAsia="zh-CN"/>
              </w:rPr>
              <w:t>4-10</w:t>
            </w:r>
            <w:r>
              <w:rPr>
                <w:rFonts w:hint="eastAsia"/>
                <w:b/>
                <w:bCs/>
                <w:color w:val="auto"/>
                <w:spacing w:val="-10"/>
                <w:kern w:val="0"/>
                <w:sz w:val="21"/>
                <w:szCs w:val="21"/>
                <w:lang w:val="en-US" w:eastAsia="zh-CN"/>
              </w:rPr>
              <w:t>各区域</w:t>
            </w:r>
            <w:r>
              <w:rPr>
                <w:rFonts w:hint="eastAsia" w:ascii="Times New Roman" w:hAnsi="Times New Roman" w:eastAsia="宋体"/>
                <w:b/>
                <w:bCs/>
                <w:color w:val="auto"/>
                <w:spacing w:val="-10"/>
                <w:kern w:val="0"/>
                <w:sz w:val="21"/>
                <w:szCs w:val="21"/>
              </w:rPr>
              <w:t>污染物等标排放量计算结果表</w:t>
            </w:r>
          </w:p>
          <w:tbl>
            <w:tblPr>
              <w:tblStyle w:val="21"/>
              <w:tblW w:w="4996" w:type="pct"/>
              <w:tblInd w:w="-1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45"/>
              <w:gridCol w:w="859"/>
              <w:gridCol w:w="985"/>
              <w:gridCol w:w="1516"/>
              <w:gridCol w:w="1980"/>
              <w:gridCol w:w="18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665" w:type="pct"/>
                  <w:gridSpan w:val="3"/>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939"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排放量Qc（kg/h）</w:t>
                  </w:r>
                </w:p>
              </w:tc>
              <w:tc>
                <w:tcPr>
                  <w:tcW w:w="1226"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标准浓度限值Cm（mg/Nm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168"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等标排放量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523" w:type="pct"/>
                  <w:vMerge w:val="restar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w:t>
                  </w:r>
                </w:p>
                <w:p>
                  <w:pPr>
                    <w:pStyle w:val="53"/>
                    <w:adjustRightInd w:val="0"/>
                    <w:snapToGrid w:val="0"/>
                    <w:ind w:firstLine="0" w:firstLineChars="0"/>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车间</w:t>
                  </w:r>
                  <w:r>
                    <w:rPr>
                      <w:rFonts w:hint="eastAsia" w:cs="Times New Roman"/>
                      <w:bCs/>
                      <w:color w:val="auto"/>
                      <w:sz w:val="21"/>
                      <w:szCs w:val="21"/>
                      <w:lang w:val="en-US" w:eastAsia="zh-CN"/>
                    </w:rPr>
                    <w:t>一</w:t>
                  </w:r>
                </w:p>
              </w:tc>
              <w:tc>
                <w:tcPr>
                  <w:tcW w:w="532"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现有项目</w:t>
                  </w:r>
                </w:p>
              </w:tc>
              <w:tc>
                <w:tcPr>
                  <w:tcW w:w="610"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939"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35</w:t>
                  </w:r>
                </w:p>
              </w:tc>
              <w:tc>
                <w:tcPr>
                  <w:tcW w:w="1226" w:type="pct"/>
                  <w:tcBorders>
                    <w:tl2br w:val="nil"/>
                    <w:tr2bl w:val="nil"/>
                  </w:tcBorders>
                  <w:noWrap/>
                  <w:vAlign w:val="center"/>
                </w:tcPr>
                <w:p>
                  <w:pPr>
                    <w:pStyle w:val="53"/>
                    <w:adjustRightInd w:val="0"/>
                    <w:snapToGrid w:val="0"/>
                    <w:ind w:firstLine="0" w:firstLine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0.</w:t>
                  </w:r>
                  <w:r>
                    <w:rPr>
                      <w:rFonts w:hint="eastAsia" w:ascii="Times New Roman" w:hAnsi="Times New Roman" w:eastAsia="宋体" w:cs="Times New Roman"/>
                      <w:bCs/>
                      <w:color w:val="auto"/>
                      <w:sz w:val="21"/>
                      <w:szCs w:val="21"/>
                      <w:lang w:val="en-US" w:eastAsia="zh-CN"/>
                    </w:rPr>
                    <w:t>9</w:t>
                  </w:r>
                </w:p>
              </w:tc>
              <w:tc>
                <w:tcPr>
                  <w:tcW w:w="116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p>
              </w:tc>
              <w:tc>
                <w:tcPr>
                  <w:tcW w:w="532" w:type="pct"/>
                  <w:vMerge w:val="restart"/>
                  <w:tcBorders>
                    <w:tl2br w:val="nil"/>
                    <w:tr2bl w:val="nil"/>
                  </w:tcBorders>
                  <w:noWrap/>
                  <w:vAlign w:val="center"/>
                </w:tcPr>
                <w:p>
                  <w:pPr>
                    <w:pStyle w:val="53"/>
                    <w:adjustRightInd w:val="0"/>
                    <w:snapToGrid w:val="0"/>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本项目</w:t>
                  </w:r>
                </w:p>
              </w:tc>
              <w:tc>
                <w:tcPr>
                  <w:tcW w:w="610"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939"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0.07</w:t>
                  </w:r>
                </w:p>
              </w:tc>
              <w:tc>
                <w:tcPr>
                  <w:tcW w:w="1226"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0.9</w:t>
                  </w:r>
                </w:p>
              </w:tc>
              <w:tc>
                <w:tcPr>
                  <w:tcW w:w="116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p>
              </w:tc>
              <w:tc>
                <w:tcPr>
                  <w:tcW w:w="532" w:type="pct"/>
                  <w:vMerge w:val="continue"/>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p>
              </w:tc>
              <w:tc>
                <w:tcPr>
                  <w:tcW w:w="610"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93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eastAsia" w:ascii="Times New Roman" w:hAnsi="Times New Roman" w:eastAsia="宋体" w:cs="Times New Roman"/>
                      <w:i w:val="0"/>
                      <w:iCs w:val="0"/>
                      <w:color w:val="auto"/>
                      <w:kern w:val="0"/>
                      <w:sz w:val="21"/>
                      <w:szCs w:val="21"/>
                      <w:u w:val="none"/>
                      <w:vertAlign w:val="baseline"/>
                      <w:lang w:val="en-US" w:eastAsia="zh-CN" w:bidi="ar"/>
                    </w:rPr>
                    <w:t>0.0</w:t>
                  </w:r>
                  <w:r>
                    <w:rPr>
                      <w:rFonts w:hint="eastAsia" w:cs="Times New Roman"/>
                      <w:i w:val="0"/>
                      <w:iCs w:val="0"/>
                      <w:color w:val="auto"/>
                      <w:kern w:val="0"/>
                      <w:sz w:val="21"/>
                      <w:szCs w:val="21"/>
                      <w:u w:val="none"/>
                      <w:vertAlign w:val="baseline"/>
                      <w:lang w:val="en-US" w:eastAsia="zh-CN" w:bidi="ar"/>
                    </w:rPr>
                    <w:t>32</w:t>
                  </w:r>
                </w:p>
              </w:tc>
              <w:tc>
                <w:tcPr>
                  <w:tcW w:w="1226" w:type="pct"/>
                  <w:tcBorders>
                    <w:tl2br w:val="nil"/>
                    <w:tr2bl w:val="nil"/>
                  </w:tcBorders>
                  <w:noWrap/>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2.0</w:t>
                  </w:r>
                </w:p>
              </w:tc>
              <w:tc>
                <w:tcPr>
                  <w:tcW w:w="116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rPr>
                  </w:pPr>
                </w:p>
              </w:tc>
              <w:tc>
                <w:tcPr>
                  <w:tcW w:w="532" w:type="pct"/>
                  <w:vMerge w:val="continue"/>
                  <w:tcBorders>
                    <w:tl2br w:val="nil"/>
                    <w:tr2bl w:val="nil"/>
                  </w:tcBorders>
                  <w:noWrap/>
                  <w:vAlign w:val="center"/>
                </w:tcPr>
                <w:p>
                  <w:pPr>
                    <w:pStyle w:val="53"/>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610" w:type="pct"/>
                  <w:tcBorders>
                    <w:tl2br w:val="nil"/>
                    <w:tr2bl w:val="nil"/>
                  </w:tcBorders>
                  <w:noWrap/>
                  <w:vAlign w:val="center"/>
                </w:tcPr>
                <w:p>
                  <w:pPr>
                    <w:pStyle w:val="53"/>
                    <w:adjustRightInd w:val="0"/>
                    <w:snapToGrid w:val="0"/>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二甲苯</w:t>
                  </w:r>
                </w:p>
              </w:tc>
              <w:tc>
                <w:tcPr>
                  <w:tcW w:w="93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eastAsia" w:ascii="Times New Roman" w:hAnsi="Times New Roman" w:eastAsia="宋体" w:cs="Times New Roman"/>
                      <w:i w:val="0"/>
                      <w:iCs w:val="0"/>
                      <w:color w:val="auto"/>
                      <w:kern w:val="0"/>
                      <w:sz w:val="21"/>
                      <w:szCs w:val="21"/>
                      <w:u w:val="none"/>
                      <w:vertAlign w:val="baseline"/>
                      <w:lang w:val="en-US" w:eastAsia="zh-CN" w:bidi="ar"/>
                    </w:rPr>
                    <w:t>0.00</w:t>
                  </w:r>
                  <w:r>
                    <w:rPr>
                      <w:rFonts w:hint="eastAsia" w:cs="Times New Roman"/>
                      <w:i w:val="0"/>
                      <w:iCs w:val="0"/>
                      <w:color w:val="auto"/>
                      <w:kern w:val="0"/>
                      <w:sz w:val="21"/>
                      <w:szCs w:val="21"/>
                      <w:u w:val="none"/>
                      <w:vertAlign w:val="baseline"/>
                      <w:lang w:val="en-US" w:eastAsia="zh-CN" w:bidi="ar"/>
                    </w:rPr>
                    <w:t>3</w:t>
                  </w:r>
                </w:p>
              </w:tc>
              <w:tc>
                <w:tcPr>
                  <w:tcW w:w="1226" w:type="pct"/>
                  <w:tcBorders>
                    <w:tl2br w:val="nil"/>
                    <w:tr2bl w:val="nil"/>
                  </w:tcBorders>
                  <w:noWrap/>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0.2</w:t>
                  </w:r>
                </w:p>
              </w:tc>
              <w:tc>
                <w:tcPr>
                  <w:tcW w:w="116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523"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机加工车间</w:t>
                  </w:r>
                </w:p>
              </w:tc>
              <w:tc>
                <w:tcPr>
                  <w:tcW w:w="532" w:type="pct"/>
                  <w:tcBorders>
                    <w:tl2br w:val="nil"/>
                    <w:tr2bl w:val="nil"/>
                  </w:tcBorders>
                  <w:noWrap/>
                  <w:vAlign w:val="center"/>
                </w:tcPr>
                <w:p>
                  <w:pPr>
                    <w:pStyle w:val="53"/>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全厂</w:t>
                  </w:r>
                </w:p>
              </w:tc>
              <w:tc>
                <w:tcPr>
                  <w:tcW w:w="610" w:type="pct"/>
                  <w:tcBorders>
                    <w:tl2br w:val="nil"/>
                    <w:tr2bl w:val="nil"/>
                  </w:tcBorders>
                  <w:noWrap/>
                  <w:vAlign w:val="center"/>
                </w:tcPr>
                <w:p>
                  <w:pPr>
                    <w:pStyle w:val="53"/>
                    <w:adjustRightInd w:val="0"/>
                    <w:snapToGrid w:val="0"/>
                    <w:ind w:firstLine="0" w:firstLineChars="0"/>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非甲烷总烃</w:t>
                  </w:r>
                </w:p>
              </w:tc>
              <w:tc>
                <w:tcPr>
                  <w:tcW w:w="939"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eastAsia" w:cs="Times New Roman"/>
                      <w:i w:val="0"/>
                      <w:iCs w:val="0"/>
                      <w:color w:val="auto"/>
                      <w:kern w:val="0"/>
                      <w:sz w:val="21"/>
                      <w:szCs w:val="21"/>
                      <w:u w:val="none"/>
                      <w:vertAlign w:val="baseline"/>
                      <w:lang w:val="en-US" w:eastAsia="zh-CN" w:bidi="ar"/>
                    </w:rPr>
                    <w:t>0.0012</w:t>
                  </w:r>
                </w:p>
              </w:tc>
              <w:tc>
                <w:tcPr>
                  <w:tcW w:w="1226" w:type="pct"/>
                  <w:tcBorders>
                    <w:tl2br w:val="nil"/>
                    <w:tr2bl w:val="nil"/>
                  </w:tcBorders>
                  <w:noWrap/>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c>
                <w:tcPr>
                  <w:tcW w:w="116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0.0006</w:t>
                  </w:r>
                </w:p>
              </w:tc>
            </w:tr>
          </w:tbl>
          <w:p>
            <w:pPr>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两种特征大气有害物质等标排放量相差大于10%，因此选取等标排放量最大的一种污染物作为确定卫生防护距离的特征大气有害物质，即颗粒物</w:t>
            </w:r>
            <w:r>
              <w:rPr>
                <w:rFonts w:hint="eastAsia" w:ascii="Times New Roman" w:hAnsi="Times New Roman" w:eastAsia="宋体"/>
                <w:color w:val="auto"/>
                <w:sz w:val="24"/>
                <w:lang w:eastAsia="zh-CN"/>
              </w:rPr>
              <w:t>。</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根据《大气有害物质无组织排放卫生防护距离推导技术导则》（GB/T39499-2020）核算卫生防护距离</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A、卫生防护距离初值计算公式</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具体公式如下：</w:t>
            </w:r>
          </w:p>
          <w:p>
            <w:pPr>
              <w:pStyle w:val="3"/>
              <w:spacing w:line="360" w:lineRule="auto"/>
              <w:jc w:val="center"/>
              <w:rPr>
                <w:rFonts w:ascii="Times New Roman" w:hAnsi="Times New Roman" w:eastAsia="宋体"/>
                <w:color w:val="auto"/>
                <w:sz w:val="24"/>
                <w:szCs w:val="24"/>
              </w:rPr>
            </w:pPr>
            <w:r>
              <w:rPr>
                <w:rFonts w:ascii="Times New Roman" w:hAnsi="Times New Roman" w:eastAsia="宋体"/>
                <w:color w:val="auto"/>
                <w:sz w:val="24"/>
                <w:szCs w:val="24"/>
              </w:rPr>
              <w:object>
                <v:shape id="_x0000_i1026" o:spt="75" type="#_x0000_t75" style="height:35.15pt;width:141.6pt;" o:ole="t" filled="f" coordsize="21600,21600">
                  <v:path/>
                  <v:fill on="f" focussize="0,0"/>
                  <v:stroke/>
                  <v:imagedata r:id="rId16" o:title=""/>
                  <o:lock v:ext="edit" aspectratio="t"/>
                  <w10:wrap type="none"/>
                  <w10:anchorlock/>
                </v:shape>
                <o:OLEObject Type="Embed" ProgID="Equation.3" ShapeID="_x0000_i1026" DrawAspect="Content" ObjectID="_1468075726" r:id="rId15">
                  <o:LockedField>false</o:LockedField>
                </o:OLEObject>
              </w:objec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式中：Qc—大气有害物质的无组织排放量，单位kg/h</w:t>
            </w:r>
            <w:r>
              <w:rPr>
                <w:rFonts w:hint="eastAsia" w:ascii="Times New Roman" w:hAnsi="Times New Roman" w:eastAsia="宋体"/>
                <w:color w:val="auto"/>
                <w:sz w:val="24"/>
              </w:rPr>
              <w:t>；</w:t>
            </w:r>
          </w:p>
          <w:p>
            <w:pPr>
              <w:adjustRightInd w:val="0"/>
              <w:snapToGrid w:val="0"/>
              <w:spacing w:line="360" w:lineRule="auto"/>
              <w:ind w:firstLine="1200" w:firstLineChars="500"/>
              <w:rPr>
                <w:rFonts w:ascii="Times New Roman" w:hAnsi="Times New Roman" w:eastAsia="宋体"/>
                <w:color w:val="auto"/>
                <w:sz w:val="24"/>
              </w:rPr>
            </w:pPr>
            <w:r>
              <w:rPr>
                <w:rFonts w:ascii="Times New Roman" w:hAnsi="Times New Roman" w:eastAsia="宋体"/>
                <w:color w:val="auto"/>
                <w:sz w:val="24"/>
              </w:rPr>
              <w:t>C</w:t>
            </w:r>
            <w:r>
              <w:rPr>
                <w:rFonts w:ascii="Times New Roman" w:hAnsi="Times New Roman" w:eastAsia="宋体"/>
                <w:color w:val="auto"/>
                <w:sz w:val="24"/>
                <w:vertAlign w:val="subscript"/>
              </w:rPr>
              <w:t>m</w:t>
            </w:r>
            <w:r>
              <w:rPr>
                <w:rFonts w:ascii="Times New Roman" w:hAnsi="Times New Roman" w:eastAsia="宋体"/>
                <w:color w:val="auto"/>
                <w:sz w:val="24"/>
              </w:rPr>
              <w:t>—大气有害物质环境空气质量的标准限值，单位mg/Nm</w:t>
            </w:r>
            <w:r>
              <w:rPr>
                <w:rFonts w:ascii="Times New Roman" w:hAnsi="Times New Roman" w:eastAsia="宋体"/>
                <w:color w:val="auto"/>
                <w:sz w:val="24"/>
                <w:vertAlign w:val="superscript"/>
              </w:rPr>
              <w:t>3</w:t>
            </w:r>
            <w:r>
              <w:rPr>
                <w:rFonts w:ascii="Times New Roman" w:hAnsi="Times New Roman" w:eastAsia="宋体"/>
                <w:color w:val="auto"/>
                <w:sz w:val="24"/>
              </w:rPr>
              <w:t>；</w:t>
            </w:r>
          </w:p>
          <w:p>
            <w:pPr>
              <w:adjustRightInd w:val="0"/>
              <w:snapToGrid w:val="0"/>
              <w:spacing w:line="360" w:lineRule="auto"/>
              <w:ind w:firstLine="1200" w:firstLineChars="500"/>
              <w:rPr>
                <w:rFonts w:ascii="Times New Roman" w:hAnsi="Times New Roman" w:eastAsia="宋体"/>
                <w:color w:val="auto"/>
                <w:sz w:val="24"/>
              </w:rPr>
            </w:pPr>
            <w:r>
              <w:rPr>
                <w:rFonts w:ascii="Times New Roman" w:hAnsi="Times New Roman" w:eastAsia="宋体"/>
                <w:color w:val="auto"/>
                <w:sz w:val="24"/>
              </w:rPr>
              <w:t>L—大气有害物质卫生防护距离初值，单位，m；</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γ—大气有害物质无组织排放源所在生产单元的等效半径，m，</w:t>
            </w:r>
            <w:r>
              <w:rPr>
                <w:rFonts w:ascii="Times New Roman" w:hAnsi="Times New Roman" w:eastAsia="宋体"/>
                <w:color w:val="auto"/>
                <w:sz w:val="24"/>
              </w:rPr>
              <w:object>
                <v:shape id="_x0000_i1027" o:spt="75" type="#_x0000_t75" style="height:13.65pt;width:10.6pt;" o:ole="t" filled="f" coordsize="21600,21600">
                  <v:path/>
                  <v:fill on="f" focussize="0,0"/>
                  <v:stroke/>
                  <v:imagedata r:id="rId18" o:title=""/>
                  <o:lock v:ext="edit" aspectratio="t"/>
                  <w10:wrap type="none"/>
                  <w10:anchorlock/>
                </v:shape>
                <o:OLEObject Type="Embed" ProgID="Equation.3" ShapeID="_x0000_i1027" DrawAspect="Content" ObjectID="_1468075727" r:id="rId17">
                  <o:LockedField>false</o:LockedField>
                </o:OLEObject>
              </w:object>
            </w:r>
            <w:r>
              <w:rPr>
                <w:rFonts w:ascii="Times New Roman" w:hAnsi="Times New Roman" w:eastAsia="宋体"/>
                <w:color w:val="auto"/>
                <w:sz w:val="24"/>
              </w:rPr>
              <w:t>=（S/π）</w:t>
            </w:r>
            <w:r>
              <w:rPr>
                <w:rFonts w:ascii="Times New Roman" w:hAnsi="Times New Roman" w:eastAsia="宋体"/>
                <w:color w:val="auto"/>
                <w:sz w:val="24"/>
                <w:vertAlign w:val="superscript"/>
              </w:rPr>
              <w:t>0.5</w:t>
            </w:r>
            <w:r>
              <w:rPr>
                <w:rFonts w:hint="eastAsia" w:ascii="Times New Roman" w:hAnsi="Times New Roman" w:eastAsia="宋体"/>
                <w:color w:val="auto"/>
                <w:sz w:val="24"/>
              </w:rPr>
              <w:t>；</w:t>
            </w:r>
          </w:p>
          <w:p>
            <w:pPr>
              <w:spacing w:line="360" w:lineRule="auto"/>
              <w:ind w:firstLine="480" w:firstLineChars="200"/>
              <w:rPr>
                <w:rFonts w:ascii="Times New Roman" w:hAnsi="Times New Roman" w:eastAsia="宋体"/>
                <w:color w:val="auto"/>
                <w:szCs w:val="21"/>
              </w:rPr>
            </w:pPr>
            <w:r>
              <w:rPr>
                <w:rFonts w:hint="eastAsia" w:ascii="Times New Roman" w:hAnsi="Times New Roman" w:eastAsia="宋体"/>
                <w:color w:val="auto"/>
                <w:sz w:val="24"/>
              </w:rPr>
              <w:t>A、B、C、D—卫生防护距离计算系数，无因次</w:t>
            </w:r>
            <w:r>
              <w:rPr>
                <w:rFonts w:ascii="Times New Roman" w:hAnsi="Times New Roman" w:eastAsia="宋体"/>
                <w:color w:val="auto"/>
                <w:sz w:val="24"/>
              </w:rPr>
              <w:t>。</w:t>
            </w:r>
            <w:r>
              <w:rPr>
                <w:rFonts w:hint="eastAsia" w:ascii="Times New Roman" w:hAnsi="Times New Roman" w:eastAsia="宋体"/>
                <w:color w:val="auto"/>
                <w:sz w:val="24"/>
              </w:rPr>
              <w:t>具体见表</w:t>
            </w:r>
            <w:r>
              <w:rPr>
                <w:rFonts w:hint="eastAsia" w:ascii="Times New Roman" w:hAnsi="Times New Roman" w:eastAsia="宋体"/>
                <w:color w:val="auto"/>
                <w:sz w:val="24"/>
                <w:lang w:val="en-US" w:eastAsia="zh-CN"/>
              </w:rPr>
              <w:t>4-11</w:t>
            </w:r>
            <w:r>
              <w:rPr>
                <w:rFonts w:hint="eastAsia" w:ascii="Times New Roman" w:hAnsi="Times New Roman" w:eastAsia="宋体"/>
                <w:color w:val="auto"/>
                <w:sz w:val="24"/>
              </w:rPr>
              <w:t>。</w:t>
            </w:r>
          </w:p>
          <w:p>
            <w:pPr>
              <w:snapToGrid w:val="0"/>
              <w:ind w:firstLine="422"/>
              <w:jc w:val="center"/>
              <w:rPr>
                <w:rFonts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4-</w:t>
            </w:r>
            <w:r>
              <w:rPr>
                <w:rFonts w:hint="eastAsia" w:ascii="Times New Roman" w:hAnsi="Times New Roman" w:eastAsia="宋体"/>
                <w:b/>
                <w:color w:val="auto"/>
                <w:szCs w:val="21"/>
                <w:lang w:val="en-US" w:eastAsia="zh-CN"/>
              </w:rPr>
              <w:t>11</w:t>
            </w:r>
            <w:r>
              <w:rPr>
                <w:rFonts w:ascii="Times New Roman" w:hAnsi="Times New Roman" w:eastAsia="宋体"/>
                <w:b/>
                <w:color w:val="auto"/>
                <w:szCs w:val="21"/>
              </w:rPr>
              <w:t xml:space="preserve"> 卫生防护距离计算系数</w:t>
            </w:r>
          </w:p>
          <w:tbl>
            <w:tblPr>
              <w:tblStyle w:val="21"/>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322"/>
              <w:gridCol w:w="626"/>
              <w:gridCol w:w="632"/>
              <w:gridCol w:w="632"/>
              <w:gridCol w:w="625"/>
              <w:gridCol w:w="625"/>
              <w:gridCol w:w="625"/>
              <w:gridCol w:w="625"/>
              <w:gridCol w:w="625"/>
              <w:gridCol w:w="6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restart"/>
                  <w:tcBorders>
                    <w:tl2br w:val="nil"/>
                    <w:tr2bl w:val="nil"/>
                  </w:tcBorders>
                  <w:vAlign w:val="center"/>
                </w:tcPr>
                <w:p>
                  <w:pPr>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计算系数</w:t>
                  </w:r>
                </w:p>
              </w:tc>
              <w:tc>
                <w:tcPr>
                  <w:tcW w:w="1301" w:type="dxa"/>
                  <w:vMerge w:val="restart"/>
                  <w:tcBorders>
                    <w:tl2br w:val="nil"/>
                    <w:tr2bl w:val="nil"/>
                  </w:tcBorders>
                  <w:vAlign w:val="center"/>
                </w:tcPr>
                <w:p>
                  <w:pPr>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5年平均风速，m/s</w:t>
                  </w:r>
                </w:p>
              </w:tc>
              <w:tc>
                <w:tcPr>
                  <w:tcW w:w="5542" w:type="dxa"/>
                  <w:gridSpan w:val="9"/>
                  <w:tcBorders>
                    <w:tl2br w:val="nil"/>
                    <w:tr2bl w:val="nil"/>
                  </w:tcBorders>
                  <w:vAlign w:val="center"/>
                </w:tcPr>
                <w:p>
                  <w:pPr>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卫生防护距离L（m）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b/>
                      <w:bCs/>
                      <w:color w:val="auto"/>
                      <w:szCs w:val="21"/>
                    </w:rPr>
                  </w:pPr>
                </w:p>
              </w:tc>
              <w:tc>
                <w:tcPr>
                  <w:tcW w:w="1301" w:type="dxa"/>
                  <w:vMerge w:val="continue"/>
                  <w:tcBorders>
                    <w:tl2br w:val="nil"/>
                    <w:tr2bl w:val="nil"/>
                  </w:tcBorders>
                  <w:vAlign w:val="center"/>
                </w:tcPr>
                <w:p>
                  <w:pPr>
                    <w:widowControl/>
                    <w:spacing w:line="320" w:lineRule="exact"/>
                    <w:jc w:val="left"/>
                    <w:rPr>
                      <w:rFonts w:ascii="Times New Roman" w:hAnsi="Times New Roman" w:eastAsia="宋体"/>
                      <w:b/>
                      <w:bCs/>
                      <w:color w:val="auto"/>
                      <w:szCs w:val="21"/>
                    </w:rPr>
                  </w:pP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L≤1000</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1000＜L≤2000</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L＞2000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b/>
                      <w:bCs/>
                      <w:color w:val="auto"/>
                      <w:szCs w:val="21"/>
                    </w:rPr>
                  </w:pPr>
                </w:p>
              </w:tc>
              <w:tc>
                <w:tcPr>
                  <w:tcW w:w="1301" w:type="dxa"/>
                  <w:vMerge w:val="continue"/>
                  <w:tcBorders>
                    <w:tl2br w:val="nil"/>
                    <w:tr2bl w:val="nil"/>
                  </w:tcBorders>
                  <w:vAlign w:val="center"/>
                </w:tcPr>
                <w:p>
                  <w:pPr>
                    <w:widowControl/>
                    <w:spacing w:line="320" w:lineRule="exact"/>
                    <w:jc w:val="left"/>
                    <w:rPr>
                      <w:rFonts w:ascii="Times New Roman" w:hAnsi="Times New Roman" w:eastAsia="宋体"/>
                      <w:b/>
                      <w:bCs/>
                      <w:color w:val="auto"/>
                      <w:szCs w:val="21"/>
                    </w:rPr>
                  </w:pPr>
                </w:p>
              </w:tc>
              <w:tc>
                <w:tcPr>
                  <w:tcW w:w="5542" w:type="dxa"/>
                  <w:gridSpan w:val="9"/>
                  <w:tcBorders>
                    <w:tl2br w:val="nil"/>
                    <w:tr2bl w:val="nil"/>
                  </w:tcBorders>
                  <w:vAlign w:val="center"/>
                </w:tcPr>
                <w:p>
                  <w:pPr>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工业大气污染源构成类别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b/>
                      <w:bCs/>
                      <w:color w:val="auto"/>
                      <w:szCs w:val="21"/>
                    </w:rPr>
                  </w:pPr>
                </w:p>
              </w:tc>
              <w:tc>
                <w:tcPr>
                  <w:tcW w:w="1301" w:type="dxa"/>
                  <w:vMerge w:val="continue"/>
                  <w:tcBorders>
                    <w:tl2br w:val="nil"/>
                    <w:tr2bl w:val="nil"/>
                  </w:tcBorders>
                  <w:vAlign w:val="center"/>
                </w:tcPr>
                <w:p>
                  <w:pPr>
                    <w:widowControl/>
                    <w:spacing w:line="320" w:lineRule="exact"/>
                    <w:jc w:val="left"/>
                    <w:rPr>
                      <w:rFonts w:ascii="Times New Roman" w:hAnsi="Times New Roman" w:eastAsia="宋体"/>
                      <w:b/>
                      <w:bCs/>
                      <w:color w:val="auto"/>
                      <w:szCs w:val="21"/>
                    </w:rPr>
                  </w:pPr>
                </w:p>
              </w:tc>
              <w:tc>
                <w:tcPr>
                  <w:tcW w:w="616"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Ⅰ</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Ⅱ</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Ⅲ</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Ⅰ</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Ⅱ</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Ⅲ</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Ⅰ</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Ⅱ</w:t>
                  </w:r>
                </w:p>
              </w:tc>
              <w:tc>
                <w:tcPr>
                  <w:tcW w:w="607"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restart"/>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A</w:t>
                  </w: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&lt;2</w:t>
                  </w:r>
                </w:p>
              </w:tc>
              <w:tc>
                <w:tcPr>
                  <w:tcW w:w="616"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400</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400</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400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400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400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400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80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80</w:t>
                  </w:r>
                </w:p>
              </w:tc>
              <w:tc>
                <w:tcPr>
                  <w:tcW w:w="607"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color w:val="auto"/>
                      <w:szCs w:val="21"/>
                    </w:rPr>
                  </w:pP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2-4</w:t>
                  </w:r>
                </w:p>
              </w:tc>
              <w:tc>
                <w:tcPr>
                  <w:tcW w:w="616"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700</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470</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350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700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470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350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380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250</w:t>
                  </w:r>
                </w:p>
              </w:tc>
              <w:tc>
                <w:tcPr>
                  <w:tcW w:w="607"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color w:val="auto"/>
                      <w:szCs w:val="21"/>
                    </w:rPr>
                  </w:pP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&gt;4</w:t>
                  </w:r>
                </w:p>
              </w:tc>
              <w:tc>
                <w:tcPr>
                  <w:tcW w:w="616"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530</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350</w:t>
                  </w:r>
                </w:p>
              </w:tc>
              <w:tc>
                <w:tcPr>
                  <w:tcW w:w="622"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260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530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350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260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290</w:t>
                  </w:r>
                </w:p>
              </w:tc>
              <w:tc>
                <w:tcPr>
                  <w:tcW w:w="615"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190</w:t>
                  </w:r>
                </w:p>
              </w:tc>
              <w:tc>
                <w:tcPr>
                  <w:tcW w:w="607"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restart"/>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B</w:t>
                  </w: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&lt;2</w:t>
                  </w: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0.01</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0.015</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color w:val="auto"/>
                      <w:szCs w:val="21"/>
                    </w:rPr>
                  </w:pP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&gt;2</w:t>
                  </w: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0.021</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0.036</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restart"/>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C</w:t>
                  </w: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&lt;2</w:t>
                  </w: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1.85</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1.79</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color w:val="auto"/>
                      <w:szCs w:val="21"/>
                    </w:rPr>
                  </w:pP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&gt;2</w:t>
                  </w: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1.85</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1.77</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restart"/>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D</w:t>
                  </w: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&lt;2</w:t>
                  </w: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0.78</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0.78</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5" w:type="dxa"/>
                  <w:vMerge w:val="continue"/>
                  <w:tcBorders>
                    <w:tl2br w:val="nil"/>
                    <w:tr2bl w:val="nil"/>
                  </w:tcBorders>
                  <w:vAlign w:val="center"/>
                </w:tcPr>
                <w:p>
                  <w:pPr>
                    <w:widowControl/>
                    <w:spacing w:line="320" w:lineRule="exact"/>
                    <w:jc w:val="left"/>
                    <w:rPr>
                      <w:rFonts w:ascii="Times New Roman" w:hAnsi="Times New Roman" w:eastAsia="宋体"/>
                      <w:color w:val="auto"/>
                      <w:szCs w:val="21"/>
                    </w:rPr>
                  </w:pPr>
                </w:p>
              </w:tc>
              <w:tc>
                <w:tcPr>
                  <w:tcW w:w="1301" w:type="dxa"/>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&gt;2</w:t>
                  </w:r>
                </w:p>
              </w:tc>
              <w:tc>
                <w:tcPr>
                  <w:tcW w:w="1860"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0.84</w:t>
                  </w:r>
                </w:p>
              </w:tc>
              <w:tc>
                <w:tcPr>
                  <w:tcW w:w="1845"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0.84</w:t>
                  </w:r>
                </w:p>
              </w:tc>
              <w:tc>
                <w:tcPr>
                  <w:tcW w:w="1837" w:type="dxa"/>
                  <w:gridSpan w:val="3"/>
                  <w:tcBorders>
                    <w:tl2br w:val="nil"/>
                    <w:tr2bl w:val="nil"/>
                  </w:tcBorders>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8" w:type="dxa"/>
                  <w:gridSpan w:val="11"/>
                  <w:tcBorders>
                    <w:tl2br w:val="nil"/>
                    <w:tr2bl w:val="nil"/>
                  </w:tcBorders>
                  <w:vAlign w:val="center"/>
                </w:tcPr>
                <w:p>
                  <w:pPr>
                    <w:jc w:val="left"/>
                    <w:rPr>
                      <w:rFonts w:ascii="Times New Roman" w:hAnsi="Times New Roman" w:eastAsia="宋体"/>
                      <w:color w:val="auto"/>
                      <w:szCs w:val="21"/>
                    </w:rPr>
                  </w:pPr>
                  <w:r>
                    <w:rPr>
                      <w:rFonts w:hint="eastAsia" w:ascii="Times New Roman" w:hAnsi="Times New Roman" w:eastAsia="宋体"/>
                      <w:color w:val="auto"/>
                      <w:szCs w:val="21"/>
                    </w:rPr>
                    <w:t>注：</w:t>
                  </w:r>
                </w:p>
                <w:p>
                  <w:pPr>
                    <w:ind w:firstLine="420" w:firstLineChars="200"/>
                    <w:jc w:val="left"/>
                    <w:rPr>
                      <w:rFonts w:ascii="Times New Roman" w:hAnsi="Times New Roman" w:eastAsia="宋体"/>
                      <w:color w:val="auto"/>
                      <w:szCs w:val="21"/>
                    </w:rPr>
                  </w:pPr>
                  <w:r>
                    <w:rPr>
                      <w:rFonts w:ascii="Times New Roman" w:hAnsi="Times New Roman" w:eastAsia="宋体"/>
                      <w:color w:val="auto"/>
                      <w:szCs w:val="21"/>
                    </w:rPr>
                    <w:t>Ⅰ类：与无组织排放源共存的排放同种有害气体的排气筒的排放量，大于或等于标准规定的允许排放量的1/3者。</w:t>
                  </w:r>
                </w:p>
                <w:p>
                  <w:pPr>
                    <w:ind w:firstLine="420" w:firstLineChars="200"/>
                    <w:jc w:val="left"/>
                    <w:rPr>
                      <w:rFonts w:ascii="Times New Roman" w:hAnsi="Times New Roman" w:eastAsia="宋体"/>
                      <w:color w:val="auto"/>
                      <w:szCs w:val="21"/>
                    </w:rPr>
                  </w:pPr>
                  <w:r>
                    <w:rPr>
                      <w:rFonts w:ascii="Times New Roman" w:hAnsi="Times New Roman" w:eastAsia="宋体"/>
                      <w:color w:val="auto"/>
                      <w:szCs w:val="21"/>
                    </w:rPr>
                    <w:t>II 类：与无组织排放源共存的排放同种有害气体的排气筒的排放量，小于标准</w:t>
                  </w:r>
                  <w:r>
                    <w:rPr>
                      <w:rFonts w:hint="eastAsia" w:ascii="Times New Roman" w:hAnsi="Times New Roman" w:eastAsia="宋体"/>
                      <w:color w:val="auto"/>
                      <w:szCs w:val="21"/>
                    </w:rPr>
                    <w:t>规</w:t>
                  </w:r>
                  <w:r>
                    <w:rPr>
                      <w:rFonts w:ascii="Times New Roman" w:hAnsi="Times New Roman" w:eastAsia="宋体"/>
                      <w:color w:val="auto"/>
                      <w:szCs w:val="21"/>
                    </w:rPr>
                    <w:t>定的允许排放量的1/3，或虽无排放同种大气污染物之排气</w:t>
                  </w:r>
                  <w:r>
                    <w:rPr>
                      <w:rFonts w:hint="eastAsia"/>
                      <w:color w:val="auto"/>
                      <w:szCs w:val="21"/>
                      <w:lang w:val="en-US" w:eastAsia="zh-CN"/>
                    </w:rPr>
                    <w:t>筒</w:t>
                  </w:r>
                  <w:r>
                    <w:rPr>
                      <w:rFonts w:ascii="Times New Roman" w:hAnsi="Times New Roman" w:eastAsia="宋体"/>
                      <w:color w:val="auto"/>
                      <w:szCs w:val="21"/>
                    </w:rPr>
                    <w:t>共存，但无组织排放的</w:t>
                  </w:r>
                  <w:r>
                    <w:rPr>
                      <w:rFonts w:hint="eastAsia"/>
                      <w:color w:val="auto"/>
                      <w:szCs w:val="21"/>
                      <w:lang w:val="en-US" w:eastAsia="zh-CN"/>
                    </w:rPr>
                    <w:t>有</w:t>
                  </w:r>
                  <w:r>
                    <w:rPr>
                      <w:rFonts w:ascii="Times New Roman" w:hAnsi="Times New Roman" w:eastAsia="宋体"/>
                      <w:color w:val="auto"/>
                      <w:szCs w:val="21"/>
                    </w:rPr>
                    <w:t>害物质的容许浓度指标是按急性反应指标确定者。</w:t>
                  </w:r>
                </w:p>
                <w:p>
                  <w:pPr>
                    <w:ind w:firstLine="420" w:firstLineChars="200"/>
                    <w:jc w:val="left"/>
                    <w:rPr>
                      <w:rFonts w:ascii="Times New Roman" w:hAnsi="Times New Roman" w:eastAsia="宋体"/>
                      <w:color w:val="auto"/>
                      <w:szCs w:val="21"/>
                    </w:rPr>
                  </w:pPr>
                  <w:r>
                    <w:rPr>
                      <w:rFonts w:ascii="Times New Roman" w:hAnsi="Times New Roman" w:eastAsia="宋体"/>
                      <w:color w:val="auto"/>
                      <w:szCs w:val="21"/>
                    </w:rPr>
                    <w:t>Ⅲ类：无排放同种有害物质的排气筒与无组织排放源共存，但无组织排放的有害物质的容许浓度是按慢性反应指标确定者。</w:t>
                  </w:r>
                </w:p>
              </w:tc>
            </w:tr>
          </w:tbl>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建设项目</w:t>
            </w:r>
            <w:r>
              <w:rPr>
                <w:rFonts w:hint="eastAsia" w:ascii="Times New Roman" w:hAnsi="Times New Roman" w:eastAsia="宋体"/>
                <w:color w:val="auto"/>
                <w:sz w:val="24"/>
              </w:rPr>
              <w:t>卫生防护距离计算结果</w:t>
            </w:r>
            <w:r>
              <w:rPr>
                <w:rFonts w:ascii="Times New Roman" w:hAnsi="Times New Roman" w:eastAsia="宋体"/>
                <w:color w:val="auto"/>
                <w:sz w:val="24"/>
              </w:rPr>
              <w:t>见表</w:t>
            </w:r>
            <w:r>
              <w:rPr>
                <w:rFonts w:hint="eastAsia" w:ascii="Times New Roman" w:hAnsi="Times New Roman" w:eastAsia="宋体"/>
                <w:color w:val="auto"/>
                <w:sz w:val="24"/>
              </w:rPr>
              <w:t>4-1</w:t>
            </w:r>
            <w:r>
              <w:rPr>
                <w:rFonts w:hint="eastAsia" w:ascii="Times New Roman" w:hAnsi="Times New Roman" w:eastAsia="宋体"/>
                <w:color w:val="auto"/>
                <w:sz w:val="24"/>
                <w:lang w:val="en-US" w:eastAsia="zh-CN"/>
              </w:rPr>
              <w:t>2</w:t>
            </w:r>
            <w:r>
              <w:rPr>
                <w:rFonts w:ascii="Times New Roman" w:hAnsi="Times New Roman" w:eastAsia="宋体"/>
                <w:color w:val="auto"/>
                <w:sz w:val="24"/>
              </w:rPr>
              <w:t>。</w:t>
            </w:r>
          </w:p>
          <w:p>
            <w:pPr>
              <w:ind w:firstLine="482"/>
              <w:jc w:val="center"/>
              <w:rPr>
                <w:rFonts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4-1</w:t>
            </w:r>
            <w:r>
              <w:rPr>
                <w:rFonts w:hint="eastAsia" w:ascii="Times New Roman" w:hAnsi="Times New Roman" w:eastAsia="宋体"/>
                <w:b/>
                <w:color w:val="auto"/>
                <w:szCs w:val="21"/>
                <w:lang w:val="en-US" w:eastAsia="zh-CN"/>
              </w:rPr>
              <w:t>2</w:t>
            </w:r>
            <w:r>
              <w:rPr>
                <w:rFonts w:hint="eastAsia" w:ascii="Times New Roman" w:hAnsi="Times New Roman" w:eastAsia="宋体"/>
                <w:b/>
                <w:color w:val="auto"/>
                <w:szCs w:val="21"/>
              </w:rPr>
              <w:t xml:space="preserve"> </w:t>
            </w:r>
            <w:r>
              <w:rPr>
                <w:rFonts w:ascii="Times New Roman" w:hAnsi="Times New Roman" w:eastAsia="宋体"/>
                <w:b/>
                <w:color w:val="auto"/>
                <w:szCs w:val="21"/>
              </w:rPr>
              <w:t>大气卫生防护距离计算参数</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03"/>
              <w:gridCol w:w="876"/>
              <w:gridCol w:w="551"/>
              <w:gridCol w:w="696"/>
              <w:gridCol w:w="588"/>
              <w:gridCol w:w="601"/>
              <w:gridCol w:w="948"/>
              <w:gridCol w:w="780"/>
              <w:gridCol w:w="754"/>
              <w:gridCol w:w="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02"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污染源</w:t>
                  </w:r>
                </w:p>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位置</w:t>
                  </w:r>
                </w:p>
              </w:tc>
              <w:tc>
                <w:tcPr>
                  <w:tcW w:w="497"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污染物</w:t>
                  </w:r>
                </w:p>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名称</w:t>
                  </w:r>
                </w:p>
              </w:tc>
              <w:tc>
                <w:tcPr>
                  <w:tcW w:w="542"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平均风速（m/s）</w:t>
                  </w:r>
                </w:p>
              </w:tc>
              <w:tc>
                <w:tcPr>
                  <w:tcW w:w="341"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A</w:t>
                  </w:r>
                </w:p>
              </w:tc>
              <w:tc>
                <w:tcPr>
                  <w:tcW w:w="430"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B</w:t>
                  </w:r>
                </w:p>
              </w:tc>
              <w:tc>
                <w:tcPr>
                  <w:tcW w:w="363"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C</w:t>
                  </w:r>
                </w:p>
              </w:tc>
              <w:tc>
                <w:tcPr>
                  <w:tcW w:w="372"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D</w:t>
                  </w:r>
                </w:p>
              </w:tc>
              <w:tc>
                <w:tcPr>
                  <w:tcW w:w="586"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标准限值(mg/m</w:t>
                  </w:r>
                  <w:r>
                    <w:rPr>
                      <w:rFonts w:ascii="Times New Roman" w:hAnsi="Times New Roman" w:eastAsia="宋体"/>
                      <w:b/>
                      <w:color w:val="auto"/>
                      <w:kern w:val="0"/>
                      <w:szCs w:val="21"/>
                      <w:vertAlign w:val="superscript"/>
                    </w:rPr>
                    <w:t>3</w:t>
                  </w:r>
                  <w:r>
                    <w:rPr>
                      <w:rFonts w:ascii="Times New Roman" w:hAnsi="Times New Roman" w:eastAsia="宋体"/>
                      <w:b/>
                      <w:color w:val="auto"/>
                      <w:kern w:val="0"/>
                      <w:szCs w:val="21"/>
                    </w:rPr>
                    <w:t>)</w:t>
                  </w:r>
                </w:p>
              </w:tc>
              <w:tc>
                <w:tcPr>
                  <w:tcW w:w="482"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无组织排放速率(kg/h)</w:t>
                  </w:r>
                </w:p>
              </w:tc>
              <w:tc>
                <w:tcPr>
                  <w:tcW w:w="466" w:type="pct"/>
                  <w:tcBorders>
                    <w:tl2br w:val="nil"/>
                    <w:tr2bl w:val="nil"/>
                  </w:tcBorders>
                  <w:vAlign w:val="center"/>
                </w:tcPr>
                <w:p>
                  <w:pPr>
                    <w:widowControl/>
                    <w:jc w:val="center"/>
                    <w:rPr>
                      <w:rFonts w:ascii="Times New Roman" w:hAnsi="Times New Roman" w:eastAsia="宋体"/>
                      <w:b/>
                      <w:color w:val="auto"/>
                      <w:kern w:val="0"/>
                      <w:szCs w:val="21"/>
                    </w:rPr>
                  </w:pPr>
                  <w:r>
                    <w:rPr>
                      <w:rFonts w:hint="eastAsia" w:ascii="Times New Roman" w:hAnsi="Times New Roman" w:eastAsia="宋体"/>
                      <w:b/>
                      <w:color w:val="auto"/>
                      <w:kern w:val="0"/>
                      <w:szCs w:val="21"/>
                    </w:rPr>
                    <w:t>卫生防护距离计算值（m）</w:t>
                  </w:r>
                </w:p>
              </w:tc>
              <w:tc>
                <w:tcPr>
                  <w:tcW w:w="513" w:type="pct"/>
                  <w:tcBorders>
                    <w:tl2br w:val="nil"/>
                    <w:tr2bl w:val="nil"/>
                  </w:tcBorders>
                  <w:vAlign w:val="center"/>
                </w:tcPr>
                <w:p>
                  <w:pPr>
                    <w:widowControl/>
                    <w:jc w:val="center"/>
                    <w:rPr>
                      <w:rFonts w:ascii="Times New Roman" w:hAnsi="Times New Roman" w:eastAsia="宋体"/>
                      <w:b/>
                      <w:color w:val="auto"/>
                      <w:kern w:val="0"/>
                      <w:szCs w:val="21"/>
                    </w:rPr>
                  </w:pPr>
                  <w:r>
                    <w:rPr>
                      <w:rFonts w:ascii="Times New Roman" w:hAnsi="Times New Roman" w:eastAsia="宋体"/>
                      <w:b/>
                      <w:color w:val="auto"/>
                      <w:kern w:val="0"/>
                      <w:szCs w:val="21"/>
                    </w:rPr>
                    <w:t>卫生防护距离（m）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pPr>
                    <w:pStyle w:val="27"/>
                    <w:adjustRightInd/>
                    <w:snapToGrid/>
                    <w:spacing w:before="24" w:after="24" w:line="360" w:lineRule="exact"/>
                    <w:jc w:val="center"/>
                    <w:rPr>
                      <w:rFonts w:ascii="Times New Roman" w:hAnsi="Times New Roman" w:eastAsia="宋体"/>
                      <w:color w:val="auto"/>
                      <w:szCs w:val="21"/>
                      <w:lang w:eastAsia="zh-CN"/>
                    </w:rPr>
                  </w:pPr>
                  <w:r>
                    <w:rPr>
                      <w:rFonts w:hint="eastAsia" w:ascii="Times New Roman" w:hAnsi="Times New Roman" w:eastAsia="宋体"/>
                      <w:color w:val="auto"/>
                      <w:szCs w:val="21"/>
                      <w:lang w:val="en-US" w:eastAsia="zh-CN"/>
                    </w:rPr>
                    <w:t>喷漆</w:t>
                  </w:r>
                  <w:r>
                    <w:rPr>
                      <w:rFonts w:hint="eastAsia" w:ascii="Times New Roman"/>
                      <w:color w:val="auto"/>
                      <w:szCs w:val="21"/>
                      <w:lang w:val="en-US" w:eastAsia="zh-CN"/>
                    </w:rPr>
                    <w:t>房</w:t>
                  </w:r>
                </w:p>
              </w:tc>
              <w:tc>
                <w:tcPr>
                  <w:tcW w:w="497" w:type="pct"/>
                  <w:tcBorders>
                    <w:tl2br w:val="nil"/>
                    <w:tr2bl w:val="nil"/>
                  </w:tcBorders>
                  <w:vAlign w:val="center"/>
                </w:tcPr>
                <w:p>
                  <w:pPr>
                    <w:pStyle w:val="27"/>
                    <w:adjustRightInd/>
                    <w:snapToGrid/>
                    <w:spacing w:before="24" w:after="24" w:line="360" w:lineRule="exact"/>
                    <w:jc w:val="center"/>
                    <w:rPr>
                      <w:rFonts w:hint="default" w:ascii="Times New Roman" w:hAnsi="Times New Roman" w:eastAsia="宋体"/>
                      <w:bCs/>
                      <w:iCs/>
                      <w:snapToGrid w:val="0"/>
                      <w:color w:val="auto"/>
                      <w:spacing w:val="-4"/>
                      <w:szCs w:val="21"/>
                      <w:lang w:val="en-US" w:eastAsia="zh-CN" w:bidi="en-US"/>
                    </w:rPr>
                  </w:pPr>
                  <w:r>
                    <w:rPr>
                      <w:rFonts w:hint="eastAsia" w:ascii="Times New Roman" w:hAnsi="Times New Roman" w:eastAsia="宋体"/>
                      <w:bCs/>
                      <w:iCs/>
                      <w:snapToGrid w:val="0"/>
                      <w:color w:val="auto"/>
                      <w:spacing w:val="-4"/>
                      <w:szCs w:val="21"/>
                      <w:lang w:val="en-US" w:eastAsia="zh-CN" w:bidi="en-US"/>
                    </w:rPr>
                    <w:t>颗粒物</w:t>
                  </w:r>
                </w:p>
              </w:tc>
              <w:tc>
                <w:tcPr>
                  <w:tcW w:w="542" w:type="pct"/>
                  <w:tcBorders>
                    <w:tl2br w:val="nil"/>
                    <w:tr2bl w:val="nil"/>
                  </w:tcBorders>
                  <w:vAlign w:val="center"/>
                </w:tcPr>
                <w:p>
                  <w:pPr>
                    <w:widowControl/>
                    <w:jc w:val="center"/>
                    <w:rPr>
                      <w:rFonts w:ascii="Times New Roman" w:hAnsi="Times New Roman" w:eastAsia="宋体"/>
                      <w:color w:val="auto"/>
                      <w:kern w:val="0"/>
                      <w:szCs w:val="21"/>
                    </w:rPr>
                  </w:pPr>
                  <w:r>
                    <w:rPr>
                      <w:rFonts w:hint="eastAsia" w:ascii="Times New Roman" w:hAnsi="Times New Roman" w:eastAsia="宋体"/>
                      <w:color w:val="auto"/>
                      <w:kern w:val="0"/>
                      <w:szCs w:val="21"/>
                    </w:rPr>
                    <w:t>3.0</w:t>
                  </w:r>
                </w:p>
              </w:tc>
              <w:tc>
                <w:tcPr>
                  <w:tcW w:w="341" w:type="pct"/>
                  <w:tcBorders>
                    <w:tl2br w:val="nil"/>
                    <w:tr2bl w:val="nil"/>
                  </w:tcBorders>
                  <w:vAlign w:val="center"/>
                </w:tcPr>
                <w:p>
                  <w:pPr>
                    <w:widowControl/>
                    <w:jc w:val="center"/>
                    <w:rPr>
                      <w:rFonts w:ascii="Times New Roman" w:hAnsi="Times New Roman" w:eastAsia="宋体"/>
                      <w:color w:val="auto"/>
                      <w:kern w:val="0"/>
                      <w:szCs w:val="21"/>
                    </w:rPr>
                  </w:pPr>
                  <w:r>
                    <w:rPr>
                      <w:rFonts w:hint="eastAsia" w:ascii="Times New Roman" w:hAnsi="Times New Roman" w:eastAsia="宋体"/>
                      <w:color w:val="auto"/>
                      <w:kern w:val="0"/>
                      <w:szCs w:val="21"/>
                    </w:rPr>
                    <w:t>470</w:t>
                  </w:r>
                </w:p>
              </w:tc>
              <w:tc>
                <w:tcPr>
                  <w:tcW w:w="430" w:type="pct"/>
                  <w:tcBorders>
                    <w:tl2br w:val="nil"/>
                    <w:tr2bl w:val="nil"/>
                  </w:tcBorders>
                  <w:vAlign w:val="center"/>
                </w:tcPr>
                <w:p>
                  <w:pPr>
                    <w:widowControl/>
                    <w:jc w:val="center"/>
                    <w:rPr>
                      <w:rFonts w:ascii="Times New Roman" w:hAnsi="Times New Roman" w:eastAsia="宋体"/>
                      <w:color w:val="auto"/>
                      <w:kern w:val="0"/>
                      <w:szCs w:val="21"/>
                    </w:rPr>
                  </w:pPr>
                  <w:r>
                    <w:rPr>
                      <w:rFonts w:ascii="Times New Roman" w:hAnsi="Times New Roman" w:eastAsia="宋体"/>
                      <w:color w:val="auto"/>
                      <w:kern w:val="0"/>
                      <w:szCs w:val="21"/>
                    </w:rPr>
                    <w:t>0.021</w:t>
                  </w:r>
                </w:p>
              </w:tc>
              <w:tc>
                <w:tcPr>
                  <w:tcW w:w="363" w:type="pct"/>
                  <w:tcBorders>
                    <w:tl2br w:val="nil"/>
                    <w:tr2bl w:val="nil"/>
                  </w:tcBorders>
                  <w:vAlign w:val="center"/>
                </w:tcPr>
                <w:p>
                  <w:pPr>
                    <w:widowControl/>
                    <w:jc w:val="center"/>
                    <w:rPr>
                      <w:rFonts w:ascii="Times New Roman" w:hAnsi="Times New Roman" w:eastAsia="宋体"/>
                      <w:color w:val="auto"/>
                      <w:kern w:val="0"/>
                      <w:szCs w:val="21"/>
                    </w:rPr>
                  </w:pPr>
                  <w:r>
                    <w:rPr>
                      <w:rFonts w:ascii="Times New Roman" w:hAnsi="Times New Roman" w:eastAsia="宋体"/>
                      <w:color w:val="auto"/>
                      <w:kern w:val="0"/>
                      <w:szCs w:val="21"/>
                    </w:rPr>
                    <w:t>1.85</w:t>
                  </w:r>
                </w:p>
              </w:tc>
              <w:tc>
                <w:tcPr>
                  <w:tcW w:w="372" w:type="pct"/>
                  <w:tcBorders>
                    <w:tl2br w:val="nil"/>
                    <w:tr2bl w:val="nil"/>
                  </w:tcBorders>
                  <w:vAlign w:val="center"/>
                </w:tcPr>
                <w:p>
                  <w:pPr>
                    <w:widowControl/>
                    <w:jc w:val="center"/>
                    <w:rPr>
                      <w:rFonts w:ascii="Times New Roman" w:hAnsi="Times New Roman" w:eastAsia="宋体"/>
                      <w:color w:val="auto"/>
                      <w:kern w:val="0"/>
                      <w:szCs w:val="21"/>
                    </w:rPr>
                  </w:pPr>
                  <w:r>
                    <w:rPr>
                      <w:rFonts w:ascii="Times New Roman" w:hAnsi="Times New Roman" w:eastAsia="宋体"/>
                      <w:color w:val="auto"/>
                      <w:kern w:val="0"/>
                      <w:szCs w:val="21"/>
                    </w:rPr>
                    <w:t>0.84</w:t>
                  </w:r>
                </w:p>
              </w:tc>
              <w:tc>
                <w:tcPr>
                  <w:tcW w:w="586" w:type="pct"/>
                  <w:tcBorders>
                    <w:tl2br w:val="nil"/>
                    <w:tr2bl w:val="nil"/>
                  </w:tcBorders>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0.9</w:t>
                  </w:r>
                </w:p>
              </w:tc>
              <w:tc>
                <w:tcPr>
                  <w:tcW w:w="482" w:type="pct"/>
                  <w:tcBorders>
                    <w:tl2br w:val="nil"/>
                    <w:tr2bl w:val="nil"/>
                  </w:tcBorders>
                  <w:vAlign w:val="center"/>
                </w:tcPr>
                <w:p>
                  <w:pPr>
                    <w:jc w:val="center"/>
                    <w:rPr>
                      <w:rFonts w:hint="default" w:ascii="Times New Roman" w:hAnsi="Times New Roman" w:eastAsia="宋体"/>
                      <w:color w:val="auto"/>
                      <w:szCs w:val="21"/>
                      <w:lang w:val="en-US" w:eastAsia="zh-CN" w:bidi="ar"/>
                    </w:rPr>
                  </w:pPr>
                  <w:r>
                    <w:rPr>
                      <w:rFonts w:hint="default" w:ascii="Times New Roman" w:hAnsi="Times New Roman" w:eastAsia="宋体"/>
                      <w:color w:val="auto"/>
                      <w:szCs w:val="21"/>
                      <w:lang w:val="en-US" w:eastAsia="zh-CN" w:bidi="ar"/>
                    </w:rPr>
                    <w:t>0.0</w:t>
                  </w:r>
                  <w:r>
                    <w:rPr>
                      <w:rFonts w:hint="eastAsia"/>
                      <w:color w:val="auto"/>
                      <w:szCs w:val="21"/>
                      <w:lang w:val="en-US" w:eastAsia="zh-CN" w:bidi="ar"/>
                    </w:rPr>
                    <w:t>35</w:t>
                  </w:r>
                </w:p>
              </w:tc>
              <w:tc>
                <w:tcPr>
                  <w:tcW w:w="466" w:type="pct"/>
                  <w:tcBorders>
                    <w:tl2br w:val="nil"/>
                    <w:tr2bl w:val="nil"/>
                  </w:tcBorders>
                  <w:vAlign w:val="center"/>
                </w:tcPr>
                <w:p>
                  <w:pPr>
                    <w:widowControl/>
                    <w:jc w:val="center"/>
                    <w:rPr>
                      <w:rFonts w:hint="default" w:ascii="Times New Roman" w:hAnsi="Times New Roman" w:eastAsia="宋体"/>
                      <w:color w:val="auto"/>
                      <w:kern w:val="0"/>
                      <w:szCs w:val="21"/>
                      <w:lang w:val="en-US" w:eastAsia="zh-CN"/>
                    </w:rPr>
                  </w:pPr>
                  <w:r>
                    <w:rPr>
                      <w:rFonts w:hint="eastAsia"/>
                      <w:color w:val="auto"/>
                      <w:kern w:val="0"/>
                      <w:szCs w:val="21"/>
                      <w:highlight w:val="none"/>
                      <w:lang w:val="en-US" w:eastAsia="zh-CN"/>
                    </w:rPr>
                    <w:t>2.56</w:t>
                  </w:r>
                </w:p>
              </w:tc>
              <w:tc>
                <w:tcPr>
                  <w:tcW w:w="513" w:type="pct"/>
                  <w:tcBorders>
                    <w:tl2br w:val="nil"/>
                    <w:tr2bl w:val="nil"/>
                  </w:tcBorders>
                  <w:vAlign w:val="center"/>
                </w:tcPr>
                <w:p>
                  <w:pPr>
                    <w:widowControl/>
                    <w:jc w:val="center"/>
                    <w:rPr>
                      <w:rFonts w:ascii="Times New Roman" w:hAnsi="Times New Roman" w:eastAsia="宋体"/>
                      <w:color w:val="auto"/>
                      <w:kern w:val="0"/>
                      <w:szCs w:val="21"/>
                    </w:rPr>
                  </w:pPr>
                  <w:r>
                    <w:rPr>
                      <w:rFonts w:hint="eastAsia" w:ascii="Times New Roman" w:hAnsi="Times New Roman" w:eastAsia="宋体"/>
                      <w:color w:val="auto"/>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pPr>
                    <w:pStyle w:val="27"/>
                    <w:adjustRightInd/>
                    <w:snapToGrid/>
                    <w:spacing w:before="24" w:after="24" w:line="360" w:lineRule="exact"/>
                    <w:jc w:val="center"/>
                    <w:rPr>
                      <w:rFonts w:hint="default" w:ascii="Times New Roman" w:hAnsi="Times New Roman" w:eastAsia="宋体"/>
                      <w:color w:val="auto"/>
                      <w:szCs w:val="21"/>
                      <w:lang w:val="en-US" w:eastAsia="zh-CN"/>
                    </w:rPr>
                  </w:pPr>
                  <w:r>
                    <w:rPr>
                      <w:rFonts w:hint="eastAsia" w:ascii="Times New Roman"/>
                      <w:color w:val="auto"/>
                      <w:szCs w:val="21"/>
                      <w:lang w:val="en-US" w:eastAsia="zh-CN"/>
                    </w:rPr>
                    <w:t>焊接车间</w:t>
                  </w:r>
                </w:p>
              </w:tc>
              <w:tc>
                <w:tcPr>
                  <w:tcW w:w="497" w:type="pct"/>
                  <w:tcBorders>
                    <w:tl2br w:val="nil"/>
                    <w:tr2bl w:val="nil"/>
                  </w:tcBorders>
                  <w:vAlign w:val="center"/>
                </w:tcPr>
                <w:p>
                  <w:pPr>
                    <w:pStyle w:val="27"/>
                    <w:adjustRightInd/>
                    <w:snapToGrid/>
                    <w:spacing w:before="24" w:after="24" w:line="360" w:lineRule="exact"/>
                    <w:jc w:val="center"/>
                    <w:rPr>
                      <w:rFonts w:hint="eastAsia" w:ascii="Times New Roman" w:hAnsi="Times New Roman" w:eastAsia="宋体"/>
                      <w:bCs/>
                      <w:iCs/>
                      <w:snapToGrid w:val="0"/>
                      <w:color w:val="auto"/>
                      <w:spacing w:val="-4"/>
                      <w:szCs w:val="21"/>
                      <w:lang w:val="en-US" w:eastAsia="zh-CN" w:bidi="en-US"/>
                    </w:rPr>
                  </w:pPr>
                  <w:r>
                    <w:rPr>
                      <w:rFonts w:hint="eastAsia" w:ascii="Times New Roman" w:hAnsi="Times New Roman" w:eastAsia="宋体"/>
                      <w:bCs/>
                      <w:iCs/>
                      <w:snapToGrid w:val="0"/>
                      <w:color w:val="auto"/>
                      <w:spacing w:val="-4"/>
                      <w:szCs w:val="21"/>
                      <w:lang w:val="en-US" w:eastAsia="zh-CN" w:bidi="en-US"/>
                    </w:rPr>
                    <w:t>颗粒物</w:t>
                  </w:r>
                </w:p>
              </w:tc>
              <w:tc>
                <w:tcPr>
                  <w:tcW w:w="542" w:type="pct"/>
                  <w:tcBorders>
                    <w:tl2br w:val="nil"/>
                    <w:tr2bl w:val="nil"/>
                  </w:tcBorders>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Cs w:val="21"/>
                    </w:rPr>
                    <w:t>3.0</w:t>
                  </w:r>
                </w:p>
              </w:tc>
              <w:tc>
                <w:tcPr>
                  <w:tcW w:w="341" w:type="pct"/>
                  <w:tcBorders>
                    <w:tl2br w:val="nil"/>
                    <w:tr2bl w:val="nil"/>
                  </w:tcBorders>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Cs w:val="21"/>
                    </w:rPr>
                    <w:t>470</w:t>
                  </w:r>
                </w:p>
              </w:tc>
              <w:tc>
                <w:tcPr>
                  <w:tcW w:w="430" w:type="pct"/>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Cs w:val="21"/>
                    </w:rPr>
                    <w:t>0.021</w:t>
                  </w:r>
                </w:p>
              </w:tc>
              <w:tc>
                <w:tcPr>
                  <w:tcW w:w="363" w:type="pct"/>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Cs w:val="21"/>
                    </w:rPr>
                    <w:t>1.85</w:t>
                  </w:r>
                </w:p>
              </w:tc>
              <w:tc>
                <w:tcPr>
                  <w:tcW w:w="372" w:type="pct"/>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Cs w:val="21"/>
                    </w:rPr>
                    <w:t>0.84</w:t>
                  </w:r>
                </w:p>
              </w:tc>
              <w:tc>
                <w:tcPr>
                  <w:tcW w:w="586" w:type="pct"/>
                  <w:tcBorders>
                    <w:tl2br w:val="nil"/>
                    <w:tr2bl w:val="nil"/>
                  </w:tcBorders>
                  <w:vAlign w:val="center"/>
                </w:tcPr>
                <w:p>
                  <w:pPr>
                    <w:widowControl/>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0.9</w:t>
                  </w:r>
                </w:p>
              </w:tc>
              <w:tc>
                <w:tcPr>
                  <w:tcW w:w="482" w:type="pct"/>
                  <w:tcBorders>
                    <w:tl2br w:val="nil"/>
                    <w:tr2bl w:val="nil"/>
                  </w:tcBorders>
                  <w:vAlign w:val="center"/>
                </w:tcPr>
                <w:p>
                  <w:pPr>
                    <w:jc w:val="center"/>
                    <w:rPr>
                      <w:rFonts w:hint="default" w:ascii="Times New Roman" w:hAnsi="Times New Roman" w:eastAsia="宋体"/>
                      <w:color w:val="auto"/>
                      <w:szCs w:val="21"/>
                      <w:lang w:val="en-US" w:eastAsia="zh-CN" w:bidi="ar"/>
                    </w:rPr>
                  </w:pPr>
                  <w:r>
                    <w:rPr>
                      <w:rFonts w:hint="eastAsia"/>
                      <w:color w:val="auto"/>
                      <w:szCs w:val="21"/>
                      <w:lang w:val="en-US" w:eastAsia="zh-CN" w:bidi="ar"/>
                    </w:rPr>
                    <w:t>0.07</w:t>
                  </w:r>
                </w:p>
              </w:tc>
              <w:tc>
                <w:tcPr>
                  <w:tcW w:w="466" w:type="pct"/>
                  <w:tcBorders>
                    <w:tl2br w:val="nil"/>
                    <w:tr2bl w:val="nil"/>
                  </w:tcBorders>
                  <w:vAlign w:val="center"/>
                </w:tcPr>
                <w:p>
                  <w:pPr>
                    <w:widowControl/>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5.821</w:t>
                  </w:r>
                </w:p>
              </w:tc>
              <w:tc>
                <w:tcPr>
                  <w:tcW w:w="513" w:type="pct"/>
                  <w:tcBorders>
                    <w:tl2br w:val="nil"/>
                    <w:tr2bl w:val="nil"/>
                  </w:tcBorders>
                  <w:vAlign w:val="center"/>
                </w:tcPr>
                <w:p>
                  <w:pPr>
                    <w:widowControl/>
                    <w:jc w:val="center"/>
                    <w:rPr>
                      <w:rFonts w:hint="eastAsia" w:ascii="Times New Roman" w:hAnsi="Times New Roman" w:eastAsia="宋体"/>
                      <w:color w:val="auto"/>
                      <w:kern w:val="0"/>
                      <w:szCs w:val="21"/>
                    </w:rPr>
                  </w:pPr>
                  <w:r>
                    <w:rPr>
                      <w:rFonts w:hint="eastAsia" w:ascii="Times New Roman" w:hAnsi="Times New Roman" w:eastAsia="宋体"/>
                      <w:color w:val="auto"/>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pPr>
                    <w:pStyle w:val="27"/>
                    <w:adjustRightInd/>
                    <w:snapToGrid/>
                    <w:spacing w:before="24" w:after="24" w:line="360" w:lineRule="exact"/>
                    <w:jc w:val="center"/>
                    <w:rPr>
                      <w:rFonts w:hint="default" w:ascii="Times New Roman" w:hAnsi="Times New Roman" w:eastAsia="宋体"/>
                      <w:color w:val="auto"/>
                      <w:szCs w:val="21"/>
                      <w:lang w:val="en-US" w:eastAsia="zh-CN"/>
                    </w:rPr>
                  </w:pPr>
                  <w:r>
                    <w:rPr>
                      <w:rFonts w:hint="eastAsia" w:ascii="Times New Roman"/>
                      <w:color w:val="auto"/>
                      <w:szCs w:val="21"/>
                      <w:lang w:val="en-US" w:eastAsia="zh-CN"/>
                    </w:rPr>
                    <w:t>机加工车间</w:t>
                  </w:r>
                </w:p>
              </w:tc>
              <w:tc>
                <w:tcPr>
                  <w:tcW w:w="497" w:type="pct"/>
                  <w:tcBorders>
                    <w:tl2br w:val="nil"/>
                    <w:tr2bl w:val="nil"/>
                  </w:tcBorders>
                  <w:vAlign w:val="center"/>
                </w:tcPr>
                <w:p>
                  <w:pPr>
                    <w:pStyle w:val="27"/>
                    <w:adjustRightInd/>
                    <w:snapToGrid/>
                    <w:spacing w:before="24" w:after="24" w:line="360" w:lineRule="exact"/>
                    <w:jc w:val="center"/>
                    <w:rPr>
                      <w:rFonts w:hint="default" w:ascii="Times New Roman" w:hAnsi="Times New Roman" w:eastAsia="宋体"/>
                      <w:bCs/>
                      <w:iCs/>
                      <w:snapToGrid w:val="0"/>
                      <w:color w:val="auto"/>
                      <w:spacing w:val="-4"/>
                      <w:szCs w:val="21"/>
                      <w:lang w:val="en-US" w:eastAsia="zh-CN" w:bidi="en-US"/>
                    </w:rPr>
                  </w:pPr>
                  <w:r>
                    <w:rPr>
                      <w:rFonts w:hint="eastAsia" w:ascii="Times New Roman"/>
                      <w:bCs/>
                      <w:iCs/>
                      <w:snapToGrid w:val="0"/>
                      <w:color w:val="auto"/>
                      <w:spacing w:val="-4"/>
                      <w:szCs w:val="21"/>
                      <w:lang w:val="en-US" w:eastAsia="zh-CN" w:bidi="en-US"/>
                    </w:rPr>
                    <w:t>非甲烷总烃</w:t>
                  </w:r>
                </w:p>
              </w:tc>
              <w:tc>
                <w:tcPr>
                  <w:tcW w:w="542" w:type="pct"/>
                  <w:tcBorders>
                    <w:tl2br w:val="nil"/>
                    <w:tr2bl w:val="nil"/>
                  </w:tcBorders>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Cs w:val="21"/>
                    </w:rPr>
                    <w:t>3.0</w:t>
                  </w:r>
                </w:p>
              </w:tc>
              <w:tc>
                <w:tcPr>
                  <w:tcW w:w="341" w:type="pct"/>
                  <w:tcBorders>
                    <w:tl2br w:val="nil"/>
                    <w:tr2bl w:val="nil"/>
                  </w:tcBorders>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Cs w:val="21"/>
                    </w:rPr>
                    <w:t>470</w:t>
                  </w:r>
                </w:p>
              </w:tc>
              <w:tc>
                <w:tcPr>
                  <w:tcW w:w="430" w:type="pct"/>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Cs w:val="21"/>
                    </w:rPr>
                    <w:t>0.021</w:t>
                  </w:r>
                </w:p>
              </w:tc>
              <w:tc>
                <w:tcPr>
                  <w:tcW w:w="363" w:type="pct"/>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Cs w:val="21"/>
                    </w:rPr>
                    <w:t>1.85</w:t>
                  </w:r>
                </w:p>
              </w:tc>
              <w:tc>
                <w:tcPr>
                  <w:tcW w:w="372" w:type="pct"/>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Cs w:val="21"/>
                    </w:rPr>
                    <w:t>0.84</w:t>
                  </w:r>
                </w:p>
              </w:tc>
              <w:tc>
                <w:tcPr>
                  <w:tcW w:w="586" w:type="pct"/>
                  <w:tcBorders>
                    <w:tl2br w:val="nil"/>
                    <w:tr2bl w:val="nil"/>
                  </w:tcBorders>
                  <w:vAlign w:val="center"/>
                </w:tcPr>
                <w:p>
                  <w:pPr>
                    <w:widowControl/>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2</w:t>
                  </w:r>
                </w:p>
              </w:tc>
              <w:tc>
                <w:tcPr>
                  <w:tcW w:w="482" w:type="pct"/>
                  <w:tcBorders>
                    <w:tl2br w:val="nil"/>
                    <w:tr2bl w:val="nil"/>
                  </w:tcBorders>
                  <w:vAlign w:val="center"/>
                </w:tcPr>
                <w:p>
                  <w:pPr>
                    <w:jc w:val="center"/>
                    <w:rPr>
                      <w:rFonts w:hint="default" w:ascii="Times New Roman" w:hAnsi="Times New Roman" w:eastAsia="宋体"/>
                      <w:color w:val="auto"/>
                      <w:szCs w:val="21"/>
                      <w:lang w:val="en-US" w:eastAsia="zh-CN" w:bidi="ar"/>
                    </w:rPr>
                  </w:pPr>
                  <w:r>
                    <w:rPr>
                      <w:rFonts w:hint="eastAsia"/>
                      <w:color w:val="auto"/>
                      <w:szCs w:val="21"/>
                      <w:lang w:val="en-US" w:eastAsia="zh-CN" w:bidi="ar"/>
                    </w:rPr>
                    <w:t>0.0012</w:t>
                  </w:r>
                </w:p>
              </w:tc>
              <w:tc>
                <w:tcPr>
                  <w:tcW w:w="466" w:type="pct"/>
                  <w:tcBorders>
                    <w:tl2br w:val="nil"/>
                    <w:tr2bl w:val="nil"/>
                  </w:tcBorders>
                  <w:vAlign w:val="center"/>
                </w:tcPr>
                <w:p>
                  <w:pPr>
                    <w:widowControl/>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0.018</w:t>
                  </w:r>
                </w:p>
              </w:tc>
              <w:tc>
                <w:tcPr>
                  <w:tcW w:w="513" w:type="pct"/>
                  <w:tcBorders>
                    <w:tl2br w:val="nil"/>
                    <w:tr2bl w:val="nil"/>
                  </w:tcBorders>
                  <w:vAlign w:val="center"/>
                </w:tcPr>
                <w:p>
                  <w:pPr>
                    <w:widowControl/>
                    <w:jc w:val="center"/>
                    <w:rPr>
                      <w:rFonts w:hint="eastAsia" w:ascii="Times New Roman" w:hAnsi="Times New Roman" w:eastAsia="宋体"/>
                      <w:color w:val="auto"/>
                      <w:kern w:val="0"/>
                      <w:szCs w:val="21"/>
                    </w:rPr>
                  </w:pPr>
                  <w:r>
                    <w:rPr>
                      <w:rFonts w:hint="eastAsia" w:ascii="Times New Roman" w:hAnsi="Times New Roman" w:eastAsia="宋体"/>
                      <w:color w:val="auto"/>
                      <w:kern w:val="0"/>
                      <w:szCs w:val="21"/>
                    </w:rPr>
                    <w:t>50</w:t>
                  </w:r>
                </w:p>
              </w:tc>
            </w:tr>
          </w:tbl>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B、卫生防护距离终值的确定</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p>
          <w:p>
            <w:pPr>
              <w:pStyle w:val="9"/>
              <w:spacing w:line="360" w:lineRule="auto"/>
              <w:ind w:firstLine="470" w:firstLineChars="196"/>
              <w:rPr>
                <w:rFonts w:hint="eastAsia" w:ascii="Times New Roman" w:hAnsi="Times New Roman" w:eastAsia="宋体"/>
                <w:color w:val="auto"/>
                <w:sz w:val="24"/>
              </w:rPr>
            </w:pPr>
            <w:r>
              <w:rPr>
                <w:rFonts w:hint="eastAsia" w:ascii="Times New Roman" w:hAnsi="Times New Roman"/>
                <w:color w:val="auto"/>
                <w:sz w:val="24"/>
                <w:lang w:val="en-US" w:eastAsia="zh-CN"/>
              </w:rPr>
              <w:t>现有项目</w:t>
            </w:r>
            <w:r>
              <w:rPr>
                <w:rFonts w:hint="eastAsia" w:ascii="Times New Roman" w:hAnsi="Times New Roman" w:eastAsia="宋体"/>
                <w:color w:val="auto"/>
                <w:sz w:val="24"/>
              </w:rPr>
              <w:t>以</w:t>
            </w:r>
            <w:r>
              <w:rPr>
                <w:rFonts w:hint="eastAsia" w:ascii="Times New Roman" w:hAnsi="Times New Roman"/>
                <w:color w:val="auto"/>
                <w:sz w:val="24"/>
                <w:lang w:val="en-US" w:eastAsia="zh-CN"/>
              </w:rPr>
              <w:t>焊接车间</w:t>
            </w:r>
            <w:r>
              <w:rPr>
                <w:rFonts w:hint="eastAsia" w:ascii="Times New Roman" w:hAnsi="Times New Roman" w:eastAsia="宋体"/>
                <w:color w:val="auto"/>
                <w:sz w:val="24"/>
              </w:rPr>
              <w:t>设置50m的卫生防护距离包络线</w:t>
            </w:r>
            <w:r>
              <w:rPr>
                <w:rFonts w:hint="eastAsia" w:ascii="Times New Roman" w:hAnsi="Times New Roman"/>
                <w:color w:val="auto"/>
                <w:sz w:val="24"/>
                <w:lang w:eastAsia="zh-CN"/>
              </w:rPr>
              <w:t>，</w:t>
            </w:r>
            <w:r>
              <w:rPr>
                <w:rFonts w:hint="eastAsia" w:ascii="Times New Roman" w:hAnsi="Times New Roman" w:eastAsia="宋体"/>
                <w:color w:val="auto"/>
                <w:sz w:val="24"/>
              </w:rPr>
              <w:t>根据上述计算，结合本项目及本项目涉及的现有项目区域情况，本项目</w:t>
            </w:r>
            <w:r>
              <w:rPr>
                <w:rFonts w:hint="eastAsia" w:ascii="Times New Roman" w:hAnsi="Times New Roman"/>
                <w:color w:val="auto"/>
                <w:sz w:val="24"/>
                <w:lang w:val="en-US" w:eastAsia="zh-CN"/>
              </w:rPr>
              <w:t>技改后</w:t>
            </w:r>
            <w:r>
              <w:rPr>
                <w:rFonts w:hint="eastAsia" w:ascii="Times New Roman" w:hAnsi="Times New Roman" w:eastAsia="宋体"/>
                <w:color w:val="auto"/>
                <w:sz w:val="24"/>
              </w:rPr>
              <w:t>分别以</w:t>
            </w:r>
            <w:r>
              <w:rPr>
                <w:rFonts w:hint="eastAsia" w:ascii="Times New Roman" w:hAnsi="Times New Roman"/>
                <w:color w:val="auto"/>
                <w:sz w:val="24"/>
                <w:lang w:val="en-US" w:eastAsia="zh-CN"/>
              </w:rPr>
              <w:t>机加工车间</w:t>
            </w:r>
            <w:r>
              <w:rPr>
                <w:rFonts w:hint="eastAsia" w:ascii="Times New Roman" w:hAnsi="Times New Roman"/>
                <w:color w:val="auto"/>
                <w:sz w:val="24"/>
                <w:lang w:eastAsia="zh-CN"/>
              </w:rPr>
              <w:t>、</w:t>
            </w:r>
            <w:r>
              <w:rPr>
                <w:rFonts w:hint="eastAsia" w:ascii="Times New Roman" w:hAnsi="Times New Roman"/>
                <w:color w:val="auto"/>
                <w:sz w:val="24"/>
                <w:lang w:val="en-US" w:eastAsia="zh-CN"/>
              </w:rPr>
              <w:t>焊接车间、喷漆房分别</w:t>
            </w:r>
            <w:r>
              <w:rPr>
                <w:rFonts w:hint="eastAsia" w:ascii="Times New Roman" w:hAnsi="Times New Roman" w:eastAsia="宋体"/>
                <w:color w:val="auto"/>
                <w:sz w:val="24"/>
              </w:rPr>
              <w:t>设置50m的卫生防护距离包络线，建设项目卫生防护距离包络线见附图2。经现场勘查，</w:t>
            </w:r>
            <w:r>
              <w:rPr>
                <w:rFonts w:hint="eastAsia" w:ascii="Times New Roman" w:hAnsi="Times New Roman"/>
                <w:color w:val="auto"/>
                <w:sz w:val="24"/>
                <w:lang w:val="en-US" w:eastAsia="zh-CN"/>
              </w:rPr>
              <w:t>机加工车间</w:t>
            </w:r>
            <w:r>
              <w:rPr>
                <w:rFonts w:hint="eastAsia" w:ascii="Times New Roman" w:hAnsi="Times New Roman" w:eastAsia="宋体"/>
                <w:color w:val="auto"/>
                <w:sz w:val="24"/>
              </w:rPr>
              <w:t>距离最近敏感点(</w:t>
            </w:r>
            <w:r>
              <w:rPr>
                <w:rFonts w:hint="eastAsia" w:ascii="Times New Roman" w:hAnsi="Times New Roman"/>
                <w:color w:val="auto"/>
                <w:sz w:val="24"/>
                <w:lang w:val="en-US" w:eastAsia="zh-CN"/>
              </w:rPr>
              <w:t>南侧下原居</w:t>
            </w:r>
            <w:r>
              <w:rPr>
                <w:rFonts w:hint="eastAsia" w:ascii="Times New Roman" w:hAnsi="Times New Roman" w:eastAsia="宋体"/>
                <w:color w:val="auto"/>
                <w:sz w:val="24"/>
              </w:rPr>
              <w:t>居民)约</w:t>
            </w:r>
            <w:r>
              <w:rPr>
                <w:rFonts w:hint="eastAsia" w:ascii="Times New Roman" w:hAnsi="Times New Roman"/>
                <w:color w:val="auto"/>
                <w:sz w:val="24"/>
                <w:lang w:val="en-US" w:eastAsia="zh-CN"/>
              </w:rPr>
              <w:t>62</w:t>
            </w:r>
            <w:r>
              <w:rPr>
                <w:rFonts w:hint="eastAsia" w:ascii="Times New Roman" w:hAnsi="Times New Roman" w:eastAsia="宋体"/>
                <w:color w:val="auto"/>
                <w:sz w:val="24"/>
              </w:rPr>
              <w:t>m，</w:t>
            </w:r>
            <w:r>
              <w:rPr>
                <w:rFonts w:hint="eastAsia" w:ascii="Times New Roman" w:hAnsi="Times New Roman"/>
                <w:color w:val="auto"/>
                <w:sz w:val="24"/>
                <w:lang w:val="en-US" w:eastAsia="zh-CN"/>
              </w:rPr>
              <w:t>喷漆房</w:t>
            </w:r>
            <w:r>
              <w:rPr>
                <w:rFonts w:hint="eastAsia" w:ascii="Times New Roman" w:hAnsi="Times New Roman" w:eastAsia="宋体"/>
                <w:color w:val="auto"/>
                <w:sz w:val="24"/>
              </w:rPr>
              <w:t>距离最近敏感点(</w:t>
            </w:r>
            <w:r>
              <w:rPr>
                <w:rFonts w:hint="eastAsia" w:ascii="Times New Roman" w:hAnsi="Times New Roman"/>
                <w:color w:val="auto"/>
                <w:sz w:val="24"/>
                <w:lang w:val="en-US" w:eastAsia="zh-CN"/>
              </w:rPr>
              <w:t>南侧下原居</w:t>
            </w:r>
            <w:r>
              <w:rPr>
                <w:rFonts w:hint="eastAsia" w:ascii="Times New Roman" w:hAnsi="Times New Roman" w:eastAsia="宋体"/>
                <w:color w:val="auto"/>
                <w:sz w:val="24"/>
              </w:rPr>
              <w:t>居民)约</w:t>
            </w:r>
            <w:r>
              <w:rPr>
                <w:rFonts w:hint="eastAsia" w:ascii="Times New Roman" w:hAnsi="Times New Roman"/>
                <w:color w:val="auto"/>
                <w:sz w:val="24"/>
                <w:lang w:val="en-US" w:eastAsia="zh-CN"/>
              </w:rPr>
              <w:t>105</w:t>
            </w:r>
            <w:r>
              <w:rPr>
                <w:rFonts w:hint="eastAsia" w:ascii="Times New Roman" w:hAnsi="Times New Roman" w:eastAsia="宋体"/>
                <w:color w:val="auto"/>
                <w:sz w:val="24"/>
              </w:rPr>
              <w:t>m，</w:t>
            </w:r>
            <w:r>
              <w:rPr>
                <w:rFonts w:hint="eastAsia" w:ascii="Times New Roman" w:hAnsi="Times New Roman"/>
                <w:color w:val="auto"/>
                <w:sz w:val="24"/>
                <w:lang w:val="en-US" w:eastAsia="zh-CN"/>
              </w:rPr>
              <w:t>焊接车间</w:t>
            </w:r>
            <w:r>
              <w:rPr>
                <w:rFonts w:hint="eastAsia" w:ascii="Times New Roman" w:hAnsi="Times New Roman" w:eastAsia="宋体"/>
                <w:color w:val="auto"/>
                <w:sz w:val="24"/>
              </w:rPr>
              <w:t>距离最近敏感点(</w:t>
            </w:r>
            <w:r>
              <w:rPr>
                <w:rFonts w:hint="eastAsia" w:ascii="Times New Roman" w:hAnsi="Times New Roman"/>
                <w:color w:val="auto"/>
                <w:sz w:val="24"/>
                <w:lang w:val="en-US" w:eastAsia="zh-CN"/>
              </w:rPr>
              <w:t>南侧下原居</w:t>
            </w:r>
            <w:r>
              <w:rPr>
                <w:rFonts w:hint="eastAsia" w:ascii="Times New Roman" w:hAnsi="Times New Roman" w:eastAsia="宋体"/>
                <w:color w:val="auto"/>
                <w:sz w:val="24"/>
              </w:rPr>
              <w:t>居民)约</w:t>
            </w:r>
            <w:r>
              <w:rPr>
                <w:rFonts w:hint="eastAsia" w:ascii="Times New Roman" w:hAnsi="Times New Roman"/>
                <w:color w:val="auto"/>
                <w:sz w:val="24"/>
                <w:lang w:val="en-US" w:eastAsia="zh-CN"/>
              </w:rPr>
              <w:t>91</w:t>
            </w:r>
            <w:r>
              <w:rPr>
                <w:rFonts w:hint="eastAsia" w:ascii="Times New Roman" w:hAnsi="Times New Roman" w:eastAsia="宋体"/>
                <w:color w:val="auto"/>
                <w:sz w:val="24"/>
              </w:rPr>
              <w:t>m，项目卫生防护距离包络线内无敏感目标，今后也不得新建居民，学校，医院等环境敏感目标，因此对周围的环境影响比较小。</w:t>
            </w:r>
          </w:p>
          <w:p>
            <w:pPr>
              <w:pStyle w:val="9"/>
              <w:spacing w:line="360" w:lineRule="auto"/>
              <w:ind w:firstLine="472" w:firstLineChars="196"/>
              <w:rPr>
                <w:rFonts w:ascii="Times New Roman" w:hAnsi="Times New Roman" w:eastAsia="宋体"/>
                <w:b/>
                <w:bCs/>
                <w:color w:val="auto"/>
                <w:sz w:val="24"/>
              </w:rPr>
            </w:pPr>
            <w:r>
              <w:rPr>
                <w:rFonts w:hint="eastAsia" w:ascii="Times New Roman" w:hAnsi="Times New Roman" w:eastAsia="宋体"/>
                <w:b/>
                <w:bCs/>
                <w:color w:val="auto"/>
                <w:sz w:val="24"/>
              </w:rPr>
              <w:t>（</w:t>
            </w:r>
            <w:r>
              <w:rPr>
                <w:rFonts w:hint="eastAsia" w:ascii="Times New Roman" w:hAnsi="Times New Roman" w:eastAsia="宋体"/>
                <w:b/>
                <w:bCs/>
                <w:color w:val="auto"/>
                <w:sz w:val="24"/>
                <w:lang w:val="en-US" w:eastAsia="zh-CN"/>
              </w:rPr>
              <w:t>7</w:t>
            </w:r>
            <w:r>
              <w:rPr>
                <w:rFonts w:hint="eastAsia" w:ascii="Times New Roman" w:hAnsi="Times New Roman" w:eastAsia="宋体"/>
                <w:b/>
                <w:bCs/>
                <w:color w:val="auto"/>
                <w:sz w:val="24"/>
              </w:rPr>
              <w:t>）异味影响分析</w:t>
            </w:r>
          </w:p>
          <w:p>
            <w:pPr>
              <w:adjustRightInd w:val="0"/>
              <w:snapToGrid w:val="0"/>
              <w:spacing w:line="360" w:lineRule="auto"/>
              <w:ind w:firstLine="480" w:firstLineChars="200"/>
              <w:rPr>
                <w:rFonts w:hint="eastAsia"/>
                <w:bCs/>
                <w:color w:val="auto"/>
                <w:spacing w:val="0"/>
                <w:kern w:val="0"/>
                <w:sz w:val="24"/>
                <w:szCs w:val="24"/>
              </w:rPr>
            </w:pPr>
            <w:r>
              <w:rPr>
                <w:rFonts w:hint="eastAsia"/>
                <w:bCs/>
                <w:color w:val="auto"/>
                <w:spacing w:val="0"/>
                <w:kern w:val="0"/>
                <w:sz w:val="24"/>
                <w:szCs w:val="24"/>
              </w:rPr>
              <w:t>a.恶臭强度等级</w:t>
            </w:r>
          </w:p>
          <w:p>
            <w:pPr>
              <w:adjustRightInd w:val="0"/>
              <w:snapToGrid w:val="0"/>
              <w:spacing w:line="360" w:lineRule="auto"/>
              <w:ind w:firstLine="480" w:firstLineChars="200"/>
              <w:rPr>
                <w:bCs/>
                <w:color w:val="auto"/>
                <w:spacing w:val="0"/>
                <w:kern w:val="0"/>
                <w:sz w:val="24"/>
                <w:szCs w:val="24"/>
              </w:rPr>
            </w:pPr>
            <w:r>
              <w:rPr>
                <w:rFonts w:hint="eastAsia"/>
                <w:bCs/>
                <w:color w:val="auto"/>
                <w:spacing w:val="0"/>
                <w:kern w:val="0"/>
                <w:sz w:val="24"/>
                <w:szCs w:val="24"/>
              </w:rPr>
              <w:t>臭气浓度与臭气强度是表征异味污染对人的嗅觉刺激程度的两种常用指标。臭气浓度是指用无臭的清洁空气稀释异味样品直至样品无味时所需的稀释倍数，我国《恶臭污染物排放标准》（GB14554-93）中对混合异味物质的臭气浓度排放阈值进行了限定；臭气强度是指异味气体在未经稀释的情况下对人体嗅觉器官的刺激程度，通常以数字的形式表示，可以简单、直观地反映异味污染的程度。因国家、地区的不同，臭气强度的分级方法也有所不同，美国纳得提出从“无气味”到臭气强度极强分为五级，具体分法见表4-</w:t>
            </w:r>
            <w:r>
              <w:rPr>
                <w:rFonts w:hint="eastAsia"/>
                <w:bCs/>
                <w:color w:val="auto"/>
                <w:spacing w:val="0"/>
                <w:kern w:val="0"/>
                <w:sz w:val="24"/>
                <w:szCs w:val="24"/>
                <w:lang w:val="en-US" w:eastAsia="zh-CN"/>
              </w:rPr>
              <w:t>13</w:t>
            </w:r>
            <w:r>
              <w:rPr>
                <w:bCs/>
                <w:color w:val="auto"/>
                <w:spacing w:val="0"/>
                <w:kern w:val="0"/>
                <w:sz w:val="24"/>
                <w:szCs w:val="24"/>
              </w:rPr>
              <w:t>。</w:t>
            </w:r>
          </w:p>
          <w:p>
            <w:pPr>
              <w:pStyle w:val="16"/>
              <w:spacing w:before="0" w:beforeAutospacing="0" w:after="0" w:afterAutospacing="0"/>
              <w:jc w:val="center"/>
              <w:rPr>
                <w:rFonts w:ascii="Times New Roman" w:hAnsi="Times New Roman"/>
                <w:color w:val="auto"/>
                <w:sz w:val="24"/>
                <w:szCs w:val="24"/>
              </w:rPr>
            </w:pPr>
            <w:r>
              <w:rPr>
                <w:rFonts w:ascii="Times New Roman" w:hAnsi="Times New Roman"/>
                <w:b/>
                <w:bCs/>
                <w:color w:val="auto"/>
                <w:sz w:val="24"/>
                <w:szCs w:val="24"/>
              </w:rPr>
              <w:t>表4-1</w:t>
            </w:r>
            <w:r>
              <w:rPr>
                <w:rFonts w:hint="eastAsia" w:ascii="Times New Roman" w:hAnsi="Times New Roman"/>
                <w:b/>
                <w:bCs/>
                <w:color w:val="auto"/>
                <w:sz w:val="24"/>
                <w:szCs w:val="24"/>
                <w:lang w:val="en-US" w:eastAsia="zh-CN"/>
              </w:rPr>
              <w:t>3</w:t>
            </w:r>
            <w:r>
              <w:rPr>
                <w:rFonts w:ascii="Times New Roman" w:hAnsi="Times New Roman"/>
                <w:b/>
                <w:bCs/>
                <w:color w:val="auto"/>
                <w:sz w:val="24"/>
                <w:szCs w:val="24"/>
              </w:rPr>
              <w:t xml:space="preserve"> 恶臭强度分级</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034"/>
              <w:gridCol w:w="2695"/>
              <w:gridCol w:w="33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1259" w:type="pct"/>
                  <w:tcBorders>
                    <w:tl2br w:val="nil"/>
                    <w:tr2bl w:val="nil"/>
                  </w:tcBorders>
                  <w:shd w:val="clear" w:color="auto" w:fill="FFFFFF"/>
                  <w:noWrap w:val="0"/>
                  <w:vAlign w:val="center"/>
                </w:tcPr>
                <w:p>
                  <w:pPr>
                    <w:adjustRightInd w:val="0"/>
                    <w:snapToGrid w:val="0"/>
                    <w:jc w:val="center"/>
                    <w:rPr>
                      <w:b/>
                      <w:color w:val="auto"/>
                      <w:szCs w:val="21"/>
                    </w:rPr>
                  </w:pPr>
                  <w:r>
                    <w:rPr>
                      <w:b/>
                      <w:color w:val="auto"/>
                      <w:szCs w:val="21"/>
                    </w:rPr>
                    <w:t>臭气强度分级</w:t>
                  </w:r>
                </w:p>
              </w:tc>
              <w:tc>
                <w:tcPr>
                  <w:tcW w:w="1668" w:type="pct"/>
                  <w:tcBorders>
                    <w:tl2br w:val="nil"/>
                    <w:tr2bl w:val="nil"/>
                  </w:tcBorders>
                  <w:shd w:val="clear" w:color="auto" w:fill="FFFFFF"/>
                  <w:noWrap w:val="0"/>
                  <w:vAlign w:val="center"/>
                </w:tcPr>
                <w:p>
                  <w:pPr>
                    <w:adjustRightInd w:val="0"/>
                    <w:snapToGrid w:val="0"/>
                    <w:jc w:val="center"/>
                    <w:rPr>
                      <w:b/>
                      <w:color w:val="auto"/>
                      <w:szCs w:val="21"/>
                    </w:rPr>
                  </w:pPr>
                  <w:r>
                    <w:rPr>
                      <w:b/>
                      <w:color w:val="auto"/>
                      <w:szCs w:val="21"/>
                    </w:rPr>
                    <w:t>臭气感觉强度</w:t>
                  </w:r>
                </w:p>
              </w:tc>
              <w:tc>
                <w:tcPr>
                  <w:tcW w:w="2072" w:type="pct"/>
                  <w:tcBorders>
                    <w:tl2br w:val="nil"/>
                    <w:tr2bl w:val="nil"/>
                  </w:tcBorders>
                  <w:shd w:val="clear" w:color="auto" w:fill="FFFFFF"/>
                  <w:noWrap w:val="0"/>
                  <w:vAlign w:val="center"/>
                </w:tcPr>
                <w:p>
                  <w:pPr>
                    <w:adjustRightInd w:val="0"/>
                    <w:snapToGrid w:val="0"/>
                    <w:jc w:val="center"/>
                    <w:rPr>
                      <w:b/>
                      <w:color w:val="auto"/>
                      <w:szCs w:val="21"/>
                    </w:rPr>
                  </w:pPr>
                  <w:r>
                    <w:rPr>
                      <w:b/>
                      <w:color w:val="auto"/>
                      <w:szCs w:val="21"/>
                    </w:rPr>
                    <w:t>污染程度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59" w:type="pct"/>
                  <w:tcBorders>
                    <w:tl2br w:val="nil"/>
                    <w:tr2bl w:val="nil"/>
                  </w:tcBorders>
                  <w:noWrap w:val="0"/>
                  <w:vAlign w:val="center"/>
                </w:tcPr>
                <w:p>
                  <w:pPr>
                    <w:adjustRightInd w:val="0"/>
                    <w:snapToGrid w:val="0"/>
                    <w:jc w:val="center"/>
                    <w:rPr>
                      <w:color w:val="auto"/>
                      <w:szCs w:val="21"/>
                    </w:rPr>
                  </w:pPr>
                  <w:r>
                    <w:rPr>
                      <w:color w:val="auto"/>
                      <w:szCs w:val="21"/>
                    </w:rPr>
                    <w:t>0</w:t>
                  </w:r>
                </w:p>
              </w:tc>
              <w:tc>
                <w:tcPr>
                  <w:tcW w:w="1668" w:type="pct"/>
                  <w:tcBorders>
                    <w:tl2br w:val="nil"/>
                    <w:tr2bl w:val="nil"/>
                  </w:tcBorders>
                  <w:noWrap w:val="0"/>
                  <w:vAlign w:val="center"/>
                </w:tcPr>
                <w:p>
                  <w:pPr>
                    <w:adjustRightInd w:val="0"/>
                    <w:snapToGrid w:val="0"/>
                    <w:jc w:val="center"/>
                    <w:rPr>
                      <w:color w:val="auto"/>
                      <w:szCs w:val="21"/>
                    </w:rPr>
                  </w:pPr>
                  <w:r>
                    <w:rPr>
                      <w:color w:val="auto"/>
                      <w:szCs w:val="21"/>
                    </w:rPr>
                    <w:t>无气味</w:t>
                  </w:r>
                </w:p>
              </w:tc>
              <w:tc>
                <w:tcPr>
                  <w:tcW w:w="2072" w:type="pct"/>
                  <w:tcBorders>
                    <w:tl2br w:val="nil"/>
                    <w:tr2bl w:val="nil"/>
                  </w:tcBorders>
                  <w:noWrap w:val="0"/>
                  <w:vAlign w:val="center"/>
                </w:tcPr>
                <w:p>
                  <w:pPr>
                    <w:adjustRightInd w:val="0"/>
                    <w:snapToGrid w:val="0"/>
                    <w:jc w:val="center"/>
                    <w:rPr>
                      <w:color w:val="auto"/>
                      <w:szCs w:val="21"/>
                    </w:rPr>
                  </w:pPr>
                  <w:r>
                    <w:rPr>
                      <w:color w:val="auto"/>
                      <w:szCs w:val="21"/>
                    </w:rPr>
                    <w:t>无污染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59" w:type="pct"/>
                  <w:tcBorders>
                    <w:tl2br w:val="nil"/>
                    <w:tr2bl w:val="nil"/>
                  </w:tcBorders>
                  <w:noWrap w:val="0"/>
                  <w:vAlign w:val="center"/>
                </w:tcPr>
                <w:p>
                  <w:pPr>
                    <w:adjustRightInd w:val="0"/>
                    <w:snapToGrid w:val="0"/>
                    <w:jc w:val="center"/>
                    <w:rPr>
                      <w:color w:val="auto"/>
                      <w:szCs w:val="21"/>
                    </w:rPr>
                  </w:pPr>
                  <w:r>
                    <w:rPr>
                      <w:color w:val="auto"/>
                      <w:szCs w:val="21"/>
                    </w:rPr>
                    <w:t>1</w:t>
                  </w:r>
                </w:p>
              </w:tc>
              <w:tc>
                <w:tcPr>
                  <w:tcW w:w="1668" w:type="pct"/>
                  <w:tcBorders>
                    <w:tl2br w:val="nil"/>
                    <w:tr2bl w:val="nil"/>
                  </w:tcBorders>
                  <w:noWrap w:val="0"/>
                  <w:vAlign w:val="center"/>
                </w:tcPr>
                <w:p>
                  <w:pPr>
                    <w:adjustRightInd w:val="0"/>
                    <w:snapToGrid w:val="0"/>
                    <w:jc w:val="center"/>
                    <w:rPr>
                      <w:color w:val="auto"/>
                      <w:szCs w:val="21"/>
                    </w:rPr>
                  </w:pPr>
                  <w:r>
                    <w:rPr>
                      <w:color w:val="auto"/>
                      <w:szCs w:val="21"/>
                    </w:rPr>
                    <w:t>轻微感到有气味</w:t>
                  </w:r>
                </w:p>
              </w:tc>
              <w:tc>
                <w:tcPr>
                  <w:tcW w:w="2072" w:type="pct"/>
                  <w:tcBorders>
                    <w:tl2br w:val="nil"/>
                    <w:tr2bl w:val="nil"/>
                  </w:tcBorders>
                  <w:noWrap w:val="0"/>
                  <w:vAlign w:val="center"/>
                </w:tcPr>
                <w:p>
                  <w:pPr>
                    <w:adjustRightInd w:val="0"/>
                    <w:snapToGrid w:val="0"/>
                    <w:jc w:val="center"/>
                    <w:rPr>
                      <w:color w:val="auto"/>
                      <w:szCs w:val="21"/>
                    </w:rPr>
                  </w:pPr>
                  <w:r>
                    <w:rPr>
                      <w:color w:val="auto"/>
                      <w:szCs w:val="21"/>
                    </w:rPr>
                    <w:t>轻度污染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59" w:type="pct"/>
                  <w:tcBorders>
                    <w:tl2br w:val="nil"/>
                    <w:tr2bl w:val="nil"/>
                  </w:tcBorders>
                  <w:noWrap w:val="0"/>
                  <w:vAlign w:val="center"/>
                </w:tcPr>
                <w:p>
                  <w:pPr>
                    <w:adjustRightInd w:val="0"/>
                    <w:snapToGrid w:val="0"/>
                    <w:jc w:val="center"/>
                    <w:rPr>
                      <w:color w:val="auto"/>
                      <w:szCs w:val="21"/>
                    </w:rPr>
                  </w:pPr>
                  <w:r>
                    <w:rPr>
                      <w:color w:val="auto"/>
                      <w:szCs w:val="21"/>
                    </w:rPr>
                    <w:t>2</w:t>
                  </w:r>
                </w:p>
              </w:tc>
              <w:tc>
                <w:tcPr>
                  <w:tcW w:w="1668" w:type="pct"/>
                  <w:tcBorders>
                    <w:tl2br w:val="nil"/>
                    <w:tr2bl w:val="nil"/>
                  </w:tcBorders>
                  <w:noWrap w:val="0"/>
                  <w:vAlign w:val="center"/>
                </w:tcPr>
                <w:p>
                  <w:pPr>
                    <w:adjustRightInd w:val="0"/>
                    <w:snapToGrid w:val="0"/>
                    <w:jc w:val="center"/>
                    <w:rPr>
                      <w:color w:val="auto"/>
                      <w:szCs w:val="21"/>
                    </w:rPr>
                  </w:pPr>
                  <w:r>
                    <w:rPr>
                      <w:color w:val="auto"/>
                      <w:szCs w:val="21"/>
                    </w:rPr>
                    <w:t>明显感到有气味</w:t>
                  </w:r>
                </w:p>
              </w:tc>
              <w:tc>
                <w:tcPr>
                  <w:tcW w:w="2072" w:type="pct"/>
                  <w:tcBorders>
                    <w:tl2br w:val="nil"/>
                    <w:tr2bl w:val="nil"/>
                  </w:tcBorders>
                  <w:noWrap w:val="0"/>
                  <w:vAlign w:val="center"/>
                </w:tcPr>
                <w:p>
                  <w:pPr>
                    <w:adjustRightInd w:val="0"/>
                    <w:snapToGrid w:val="0"/>
                    <w:jc w:val="center"/>
                    <w:rPr>
                      <w:color w:val="auto"/>
                      <w:szCs w:val="21"/>
                    </w:rPr>
                  </w:pPr>
                  <w:r>
                    <w:rPr>
                      <w:color w:val="auto"/>
                      <w:szCs w:val="21"/>
                    </w:rPr>
                    <w:t>中等污染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59" w:type="pct"/>
                  <w:tcBorders>
                    <w:tl2br w:val="nil"/>
                    <w:tr2bl w:val="nil"/>
                  </w:tcBorders>
                  <w:noWrap w:val="0"/>
                  <w:vAlign w:val="center"/>
                </w:tcPr>
                <w:p>
                  <w:pPr>
                    <w:adjustRightInd w:val="0"/>
                    <w:snapToGrid w:val="0"/>
                    <w:jc w:val="center"/>
                    <w:rPr>
                      <w:color w:val="auto"/>
                      <w:szCs w:val="21"/>
                    </w:rPr>
                  </w:pPr>
                  <w:r>
                    <w:rPr>
                      <w:color w:val="auto"/>
                      <w:szCs w:val="21"/>
                    </w:rPr>
                    <w:t>3</w:t>
                  </w:r>
                </w:p>
              </w:tc>
              <w:tc>
                <w:tcPr>
                  <w:tcW w:w="1668" w:type="pct"/>
                  <w:tcBorders>
                    <w:tl2br w:val="nil"/>
                    <w:tr2bl w:val="nil"/>
                  </w:tcBorders>
                  <w:noWrap w:val="0"/>
                  <w:vAlign w:val="center"/>
                </w:tcPr>
                <w:p>
                  <w:pPr>
                    <w:adjustRightInd w:val="0"/>
                    <w:snapToGrid w:val="0"/>
                    <w:jc w:val="center"/>
                    <w:rPr>
                      <w:color w:val="auto"/>
                      <w:szCs w:val="21"/>
                    </w:rPr>
                  </w:pPr>
                  <w:r>
                    <w:rPr>
                      <w:color w:val="auto"/>
                      <w:szCs w:val="21"/>
                    </w:rPr>
                    <w:t>感到有强烈气味</w:t>
                  </w:r>
                </w:p>
              </w:tc>
              <w:tc>
                <w:tcPr>
                  <w:tcW w:w="2072" w:type="pct"/>
                  <w:tcBorders>
                    <w:tl2br w:val="nil"/>
                    <w:tr2bl w:val="nil"/>
                  </w:tcBorders>
                  <w:noWrap w:val="0"/>
                  <w:vAlign w:val="center"/>
                </w:tcPr>
                <w:p>
                  <w:pPr>
                    <w:adjustRightInd w:val="0"/>
                    <w:snapToGrid w:val="0"/>
                    <w:jc w:val="center"/>
                    <w:rPr>
                      <w:color w:val="auto"/>
                      <w:szCs w:val="21"/>
                    </w:rPr>
                  </w:pPr>
                  <w:r>
                    <w:rPr>
                      <w:color w:val="auto"/>
                      <w:szCs w:val="21"/>
                    </w:rPr>
                    <w:t>重污染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59" w:type="pct"/>
                  <w:tcBorders>
                    <w:tl2br w:val="nil"/>
                    <w:tr2bl w:val="nil"/>
                  </w:tcBorders>
                  <w:noWrap w:val="0"/>
                  <w:vAlign w:val="center"/>
                </w:tcPr>
                <w:p>
                  <w:pPr>
                    <w:adjustRightInd w:val="0"/>
                    <w:snapToGrid w:val="0"/>
                    <w:jc w:val="center"/>
                    <w:rPr>
                      <w:color w:val="auto"/>
                      <w:szCs w:val="21"/>
                    </w:rPr>
                  </w:pPr>
                  <w:r>
                    <w:rPr>
                      <w:color w:val="auto"/>
                      <w:szCs w:val="21"/>
                    </w:rPr>
                    <w:t>4</w:t>
                  </w:r>
                </w:p>
              </w:tc>
              <w:tc>
                <w:tcPr>
                  <w:tcW w:w="1668" w:type="pct"/>
                  <w:tcBorders>
                    <w:tl2br w:val="nil"/>
                    <w:tr2bl w:val="nil"/>
                  </w:tcBorders>
                  <w:noWrap w:val="0"/>
                  <w:vAlign w:val="center"/>
                </w:tcPr>
                <w:p>
                  <w:pPr>
                    <w:adjustRightInd w:val="0"/>
                    <w:snapToGrid w:val="0"/>
                    <w:jc w:val="center"/>
                    <w:rPr>
                      <w:color w:val="auto"/>
                      <w:szCs w:val="21"/>
                    </w:rPr>
                  </w:pPr>
                  <w:r>
                    <w:rPr>
                      <w:color w:val="auto"/>
                      <w:szCs w:val="21"/>
                    </w:rPr>
                    <w:t>无法忍受的强臭味</w:t>
                  </w:r>
                </w:p>
              </w:tc>
              <w:tc>
                <w:tcPr>
                  <w:tcW w:w="2072" w:type="pct"/>
                  <w:tcBorders>
                    <w:tl2br w:val="nil"/>
                    <w:tr2bl w:val="nil"/>
                  </w:tcBorders>
                  <w:noWrap w:val="0"/>
                  <w:vAlign w:val="center"/>
                </w:tcPr>
                <w:p>
                  <w:pPr>
                    <w:adjustRightInd w:val="0"/>
                    <w:snapToGrid w:val="0"/>
                    <w:jc w:val="center"/>
                    <w:rPr>
                      <w:color w:val="auto"/>
                      <w:szCs w:val="21"/>
                    </w:rPr>
                  </w:pPr>
                  <w:r>
                    <w:rPr>
                      <w:color w:val="auto"/>
                      <w:szCs w:val="21"/>
                    </w:rPr>
                    <w:t>严重</w:t>
                  </w:r>
                </w:p>
              </w:tc>
            </w:tr>
          </w:tbl>
          <w:p>
            <w:pPr>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本项目主要异味物质二甲苯在最近的保护目标处的落地浓度见下表。与嗅阈值相比，各物质在保护目标处的落地浓度均低于嗅阈值，对周边影响较小。</w:t>
            </w:r>
          </w:p>
          <w:p>
            <w:pPr>
              <w:ind w:firstLine="482" w:firstLineChars="20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cs="Times New Roman"/>
                <w:b/>
                <w:bCs/>
                <w:color w:val="auto"/>
                <w:sz w:val="24"/>
                <w:szCs w:val="24"/>
              </w:rPr>
              <w:t>表4-1</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最近保护目标恶臭污染物落地浓度</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01"/>
              <w:gridCol w:w="2764"/>
              <w:gridCol w:w="2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55"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污染物名称</w:t>
                  </w:r>
                </w:p>
              </w:tc>
              <w:tc>
                <w:tcPr>
                  <w:tcW w:w="12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55"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最大落地浓度（mg/m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12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3.04×10</w:t>
                  </w:r>
                  <w:r>
                    <w:rPr>
                      <w:rFonts w:hint="eastAsia"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55"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占标率（%）</w:t>
                  </w:r>
                </w:p>
              </w:tc>
              <w:tc>
                <w:tcPr>
                  <w:tcW w:w="12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保护目标最大小时落地贡献浓度/（mg/m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1711"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南侧下原居委28组</w:t>
                  </w:r>
                </w:p>
              </w:tc>
              <w:tc>
                <w:tcPr>
                  <w:tcW w:w="12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2.2×10</w:t>
                  </w:r>
                  <w:r>
                    <w:rPr>
                      <w:rFonts w:hint="eastAsia"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55"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嗅阈值（mg/m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12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55"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结果</w:t>
                  </w:r>
                </w:p>
              </w:tc>
              <w:tc>
                <w:tcPr>
                  <w:tcW w:w="124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未超过</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由预测结果可知，各异味气体最大浓度均低于相关嗅阈值浓度，各保护目标处各异味气体浓度均低于相关嗅阈值浓度，因此，本项目产生的异味废气对周边环境影响较小。</w:t>
            </w:r>
          </w:p>
          <w:p>
            <w:pPr>
              <w:adjustRightInd w:val="0"/>
              <w:snapToGrid w:val="0"/>
              <w:spacing w:line="360" w:lineRule="auto"/>
              <w:ind w:firstLine="480" w:firstLineChars="200"/>
              <w:rPr>
                <w:rFonts w:hint="eastAsia"/>
                <w:bCs/>
                <w:color w:val="auto"/>
                <w:spacing w:val="0"/>
                <w:sz w:val="24"/>
                <w:szCs w:val="24"/>
              </w:rPr>
            </w:pPr>
            <w:r>
              <w:rPr>
                <w:rFonts w:hint="eastAsia"/>
                <w:bCs/>
                <w:color w:val="auto"/>
                <w:spacing w:val="0"/>
                <w:sz w:val="24"/>
                <w:szCs w:val="24"/>
              </w:rPr>
              <w:t>b.恶臭污染的特点</w:t>
            </w:r>
          </w:p>
          <w:p>
            <w:pPr>
              <w:adjustRightInd w:val="0"/>
              <w:snapToGrid w:val="0"/>
              <w:spacing w:line="360" w:lineRule="auto"/>
              <w:ind w:firstLine="480" w:firstLineChars="200"/>
              <w:rPr>
                <w:rFonts w:hint="eastAsia"/>
                <w:bCs/>
                <w:color w:val="auto"/>
                <w:spacing w:val="0"/>
                <w:sz w:val="24"/>
                <w:szCs w:val="24"/>
              </w:rPr>
            </w:pPr>
            <w:r>
              <w:rPr>
                <w:rFonts w:hint="eastAsia"/>
                <w:bCs/>
                <w:color w:val="auto"/>
                <w:spacing w:val="0"/>
                <w:sz w:val="24"/>
                <w:szCs w:val="24"/>
              </w:rPr>
              <w:t>恶臭是感觉性公害，判断恶臭对人们的影响，主要是以给人们带来不舒服感觉的影响为中心进行的，是一种心理上的反应，故主观因素很强。然而，人们的嗅觉鉴别能力要比其他感觉能力强，因此受影响者的主观感觉是评价恶臭污染程度的主要依据；</w:t>
            </w:r>
          </w:p>
          <w:p>
            <w:pPr>
              <w:adjustRightInd w:val="0"/>
              <w:snapToGrid w:val="0"/>
              <w:spacing w:line="360" w:lineRule="auto"/>
              <w:ind w:firstLine="480" w:firstLineChars="200"/>
              <w:rPr>
                <w:rFonts w:hint="eastAsia"/>
                <w:bCs/>
                <w:color w:val="auto"/>
                <w:spacing w:val="0"/>
                <w:sz w:val="24"/>
                <w:szCs w:val="24"/>
              </w:rPr>
            </w:pPr>
            <w:r>
              <w:rPr>
                <w:rFonts w:hint="eastAsia"/>
                <w:bCs/>
                <w:color w:val="auto"/>
                <w:spacing w:val="0"/>
                <w:sz w:val="24"/>
                <w:szCs w:val="24"/>
              </w:rPr>
              <w:t>恶臭通常是由多种成分气体形成的，各种成分气体的阈值或最小检知浓度不相同，在浓度较低时，一般不易察觉，但是如果恶臭一旦达到阈值以后，大多会立即发生强烈的恶臭反应；</w:t>
            </w:r>
          </w:p>
          <w:p>
            <w:pPr>
              <w:adjustRightInd w:val="0"/>
              <w:snapToGrid w:val="0"/>
              <w:spacing w:line="360" w:lineRule="auto"/>
              <w:ind w:firstLine="480" w:firstLineChars="200"/>
              <w:rPr>
                <w:rFonts w:hint="eastAsia"/>
                <w:bCs/>
                <w:color w:val="auto"/>
                <w:spacing w:val="0"/>
                <w:sz w:val="24"/>
                <w:szCs w:val="24"/>
              </w:rPr>
            </w:pPr>
            <w:r>
              <w:rPr>
                <w:rFonts w:hint="eastAsia"/>
                <w:bCs/>
                <w:color w:val="auto"/>
                <w:spacing w:val="0"/>
                <w:sz w:val="24"/>
                <w:szCs w:val="24"/>
              </w:rPr>
              <w:t>人们对恶臭的厌恶感与恶臭气体成分的性质、强度及浓度有关，并且包含着周边环境、气象条件和个人条件（身体条件和精神状况等）等因素在内。恶臭成分大部分被去除后，在人的嗅觉中并不会感到相应程度的降低或减轻。因此，对于防治恶臭污染而言，受影响者并不是要求减轻或降低恶臭气味，而是要求必须没有恶臭气味；</w:t>
            </w:r>
          </w:p>
          <w:p>
            <w:pPr>
              <w:adjustRightInd w:val="0"/>
              <w:snapToGrid w:val="0"/>
              <w:spacing w:line="360" w:lineRule="auto"/>
              <w:ind w:firstLine="480" w:firstLineChars="200"/>
              <w:rPr>
                <w:rFonts w:hint="eastAsia"/>
                <w:bCs/>
                <w:color w:val="auto"/>
                <w:spacing w:val="0"/>
                <w:sz w:val="24"/>
                <w:szCs w:val="24"/>
              </w:rPr>
            </w:pPr>
            <w:r>
              <w:rPr>
                <w:rFonts w:hint="eastAsia"/>
                <w:bCs/>
                <w:color w:val="auto"/>
                <w:spacing w:val="0"/>
                <w:sz w:val="24"/>
                <w:szCs w:val="24"/>
              </w:rPr>
              <w:t>受到恶臭污染影响的人一般立即离开，到清洁空气环境内，积极换气就可以解除受到污染影响。</w:t>
            </w:r>
          </w:p>
          <w:p>
            <w:pPr>
              <w:adjustRightInd w:val="0"/>
              <w:snapToGrid w:val="0"/>
              <w:spacing w:line="360" w:lineRule="auto"/>
              <w:ind w:firstLine="480" w:firstLineChars="200"/>
              <w:rPr>
                <w:rFonts w:hint="eastAsia"/>
                <w:bCs/>
                <w:color w:val="auto"/>
                <w:spacing w:val="0"/>
                <w:sz w:val="24"/>
                <w:szCs w:val="24"/>
              </w:rPr>
            </w:pPr>
            <w:r>
              <w:rPr>
                <w:rFonts w:hint="eastAsia"/>
                <w:bCs/>
                <w:color w:val="auto"/>
                <w:spacing w:val="0"/>
                <w:sz w:val="24"/>
                <w:szCs w:val="24"/>
              </w:rPr>
              <w:t>c.恶臭影响分析</w:t>
            </w:r>
          </w:p>
          <w:p>
            <w:pPr>
              <w:adjustRightInd w:val="0"/>
              <w:spacing w:line="360" w:lineRule="auto"/>
              <w:ind w:firstLine="480" w:firstLineChars="200"/>
              <w:rPr>
                <w:rFonts w:hint="eastAsia" w:ascii="Times New Roman" w:hAnsi="Times New Roman" w:eastAsia="宋体"/>
                <w:color w:val="auto"/>
                <w:sz w:val="24"/>
              </w:rPr>
            </w:pPr>
            <w:r>
              <w:rPr>
                <w:rFonts w:hint="eastAsia"/>
                <w:bCs/>
                <w:color w:val="auto"/>
                <w:spacing w:val="0"/>
                <w:sz w:val="24"/>
                <w:szCs w:val="24"/>
              </w:rPr>
              <w:t>恶臭物质在空气中浓度小于嗅觉阈值时，感觉不到臭味；空气中浓度等于嗅觉阈值时，勉强可感到臭味。本项目在</w:t>
            </w:r>
            <w:r>
              <w:rPr>
                <w:rFonts w:hint="eastAsia"/>
                <w:bCs/>
                <w:color w:val="auto"/>
                <w:spacing w:val="0"/>
                <w:sz w:val="24"/>
                <w:szCs w:val="24"/>
                <w:lang w:val="en-US" w:eastAsia="zh-CN"/>
              </w:rPr>
              <w:t>喷漆晾干</w:t>
            </w:r>
            <w:r>
              <w:rPr>
                <w:rFonts w:hint="eastAsia"/>
                <w:bCs/>
                <w:color w:val="auto"/>
                <w:spacing w:val="0"/>
                <w:sz w:val="24"/>
                <w:szCs w:val="24"/>
              </w:rPr>
              <w:t>处理过程会产生少量异味，主要成分以非甲烷总烃计。恶臭物质逸出受到温度、原料量等多种因素影响，因此在落实各项污染防治措施的情况下，产生的臭气浓度在可控制范围内，对周围环境及敏感目标影响较小</w:t>
            </w:r>
            <w:r>
              <w:rPr>
                <w:bCs/>
                <w:color w:val="auto"/>
                <w:spacing w:val="0"/>
                <w:sz w:val="24"/>
                <w:szCs w:val="24"/>
              </w:rPr>
              <w:t>。</w:t>
            </w:r>
          </w:p>
          <w:p>
            <w:pPr>
              <w:pStyle w:val="9"/>
              <w:spacing w:line="360" w:lineRule="auto"/>
              <w:ind w:firstLine="472" w:firstLineChars="196"/>
              <w:rPr>
                <w:rFonts w:ascii="Times New Roman" w:hAnsi="Times New Roman" w:eastAsia="宋体"/>
                <w:b/>
                <w:bCs/>
                <w:color w:val="auto"/>
                <w:sz w:val="24"/>
              </w:rPr>
            </w:pPr>
            <w:r>
              <w:rPr>
                <w:rFonts w:hint="eastAsia" w:ascii="Times New Roman" w:hAnsi="Times New Roman" w:eastAsia="宋体"/>
                <w:b/>
                <w:bCs/>
                <w:color w:val="auto"/>
                <w:sz w:val="24"/>
              </w:rPr>
              <w:t>（</w:t>
            </w:r>
            <w:r>
              <w:rPr>
                <w:rFonts w:hint="eastAsia" w:ascii="Times New Roman" w:hAnsi="Times New Roman" w:eastAsia="宋体"/>
                <w:b/>
                <w:bCs/>
                <w:color w:val="auto"/>
                <w:sz w:val="24"/>
                <w:lang w:val="en-US" w:eastAsia="zh-CN"/>
              </w:rPr>
              <w:t>7</w:t>
            </w:r>
            <w:r>
              <w:rPr>
                <w:rFonts w:hint="eastAsia" w:ascii="Times New Roman" w:hAnsi="Times New Roman" w:eastAsia="宋体"/>
                <w:b/>
                <w:bCs/>
                <w:color w:val="auto"/>
                <w:sz w:val="24"/>
              </w:rPr>
              <w:t>）大气环境影响分析结论</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建设项目位于</w:t>
            </w:r>
            <w:r>
              <w:rPr>
                <w:rFonts w:hint="eastAsia" w:ascii="Times New Roman" w:hAnsi="Times New Roman" w:eastAsia="宋体"/>
                <w:color w:val="auto"/>
                <w:sz w:val="24"/>
                <w:lang w:eastAsia="zh-CN"/>
              </w:rPr>
              <w:t>如皋市下原镇兴原路58-7号</w:t>
            </w:r>
            <w:r>
              <w:rPr>
                <w:rFonts w:hint="eastAsia" w:ascii="Times New Roman" w:hAnsi="Times New Roman" w:eastAsia="宋体"/>
                <w:color w:val="auto"/>
                <w:sz w:val="24"/>
              </w:rPr>
              <w:t>，</w:t>
            </w:r>
            <w:r>
              <w:rPr>
                <w:rFonts w:ascii="Times New Roman" w:hAnsi="Times New Roman" w:eastAsia="宋体"/>
                <w:color w:val="auto"/>
                <w:sz w:val="24"/>
              </w:rPr>
              <w:t>项目</w:t>
            </w:r>
            <w:r>
              <w:rPr>
                <w:rFonts w:hint="eastAsia" w:ascii="Times New Roman" w:hAnsi="Times New Roman" w:eastAsia="宋体"/>
                <w:color w:val="auto"/>
                <w:sz w:val="24"/>
              </w:rPr>
              <w:t>所在</w:t>
            </w:r>
            <w:r>
              <w:rPr>
                <w:rFonts w:ascii="Times New Roman" w:hAnsi="Times New Roman" w:eastAsia="宋体"/>
                <w:color w:val="auto"/>
                <w:sz w:val="24"/>
              </w:rPr>
              <w:t>区域属于</w:t>
            </w:r>
            <w:r>
              <w:rPr>
                <w:rFonts w:hint="eastAsia" w:ascii="Times New Roman" w:hAnsi="Times New Roman" w:eastAsia="宋体"/>
                <w:color w:val="auto"/>
                <w:sz w:val="24"/>
              </w:rPr>
              <w:t>环境空气不</w:t>
            </w:r>
            <w:r>
              <w:rPr>
                <w:rFonts w:ascii="Times New Roman" w:hAnsi="Times New Roman" w:eastAsia="宋体"/>
                <w:color w:val="auto"/>
                <w:sz w:val="24"/>
              </w:rPr>
              <w:t>达标区</w:t>
            </w:r>
            <w:r>
              <w:rPr>
                <w:rFonts w:hint="eastAsia" w:ascii="Times New Roman" w:hAnsi="Times New Roman" w:eastAsia="宋体"/>
                <w:color w:val="auto"/>
                <w:sz w:val="24"/>
              </w:rPr>
              <w:t>，本项目周边500m范围内有居民</w:t>
            </w:r>
            <w:r>
              <w:rPr>
                <w:rFonts w:hint="eastAsia" w:ascii="Times New Roman" w:hAnsi="Times New Roman" w:eastAsia="宋体"/>
                <w:color w:val="auto"/>
                <w:sz w:val="24"/>
                <w:highlight w:val="none"/>
                <w:lang w:val="en-US" w:eastAsia="zh-CN"/>
              </w:rPr>
              <w:t>401</w:t>
            </w:r>
            <w:r>
              <w:rPr>
                <w:rFonts w:hint="eastAsia" w:ascii="Times New Roman" w:hAnsi="Times New Roman" w:eastAsia="宋体"/>
                <w:color w:val="auto"/>
                <w:sz w:val="24"/>
              </w:rPr>
              <w:t>户</w:t>
            </w:r>
            <w:r>
              <w:rPr>
                <w:rFonts w:ascii="Times New Roman" w:hAnsi="Times New Roman" w:eastAsia="宋体"/>
                <w:color w:val="auto"/>
                <w:sz w:val="24"/>
              </w:rPr>
              <w:t>。</w:t>
            </w:r>
            <w:r>
              <w:rPr>
                <w:rFonts w:hint="eastAsia" w:ascii="Times New Roman" w:hAnsi="Times New Roman" w:eastAsia="宋体"/>
                <w:color w:val="auto"/>
                <w:sz w:val="24"/>
                <w:lang w:val="en-US" w:eastAsia="zh-CN"/>
              </w:rPr>
              <w:t>喷漆晾干废气</w:t>
            </w:r>
            <w:r>
              <w:rPr>
                <w:rFonts w:hint="eastAsia" w:ascii="Times New Roman" w:hAnsi="Times New Roman" w:eastAsia="宋体"/>
                <w:color w:val="auto"/>
                <w:sz w:val="24"/>
              </w:rPr>
              <w:t>经收集后由</w:t>
            </w:r>
            <w:r>
              <w:rPr>
                <w:rFonts w:hint="eastAsia" w:ascii="Times New Roman" w:hAnsi="Times New Roman" w:eastAsia="宋体"/>
                <w:color w:val="auto"/>
                <w:sz w:val="24"/>
                <w:lang w:eastAsia="zh-CN"/>
              </w:rPr>
              <w:t>多级过滤器</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三级活性炭吸附装置</w:t>
            </w:r>
            <w:r>
              <w:rPr>
                <w:rFonts w:hint="eastAsia" w:ascii="Times New Roman" w:hAnsi="Times New Roman" w:eastAsia="宋体"/>
                <w:color w:val="auto"/>
                <w:sz w:val="24"/>
              </w:rPr>
              <w:t>处理后通过15 m排气筒（DA001）排放。</w:t>
            </w:r>
            <w:r>
              <w:rPr>
                <w:rFonts w:ascii="Times New Roman" w:hAnsi="Times New Roman" w:eastAsia="宋体"/>
                <w:bCs/>
                <w:color w:val="auto"/>
                <w:spacing w:val="-10"/>
                <w:sz w:val="24"/>
              </w:rPr>
              <w:t>以上各类污染物均能达到相应的排放标准且排放量较小，不会改变区域大气环境现状，对周围环境影响较小</w:t>
            </w:r>
            <w:r>
              <w:rPr>
                <w:rFonts w:hint="eastAsia" w:ascii="Times New Roman" w:hAnsi="Times New Roman" w:eastAsia="宋体"/>
                <w:bCs/>
                <w:color w:val="auto"/>
                <w:spacing w:val="-10"/>
                <w:sz w:val="24"/>
              </w:rPr>
              <w:t>。</w:t>
            </w:r>
          </w:p>
          <w:p>
            <w:pPr>
              <w:pStyle w:val="9"/>
              <w:spacing w:line="360" w:lineRule="auto"/>
              <w:ind w:firstLine="440" w:firstLineChars="200"/>
              <w:rPr>
                <w:rFonts w:ascii="Times New Roman" w:hAnsi="Times New Roman" w:eastAsia="宋体"/>
                <w:b/>
                <w:color w:val="auto"/>
                <w:sz w:val="24"/>
              </w:rPr>
            </w:pPr>
            <w:r>
              <w:rPr>
                <w:rFonts w:ascii="Times New Roman" w:hAnsi="Times New Roman" w:eastAsia="宋体"/>
                <w:bCs/>
                <w:color w:val="auto"/>
                <w:spacing w:val="-10"/>
                <w:sz w:val="24"/>
              </w:rPr>
              <w:t>因此本次评价认为：本项目大气环境影响可以接受。</w:t>
            </w:r>
          </w:p>
          <w:p>
            <w:pPr>
              <w:spacing w:line="360" w:lineRule="auto"/>
              <w:ind w:firstLine="482" w:firstLineChars="200"/>
              <w:rPr>
                <w:rFonts w:ascii="Times New Roman" w:hAnsi="Times New Roman" w:eastAsia="宋体"/>
                <w:b/>
                <w:color w:val="auto"/>
                <w:sz w:val="24"/>
              </w:rPr>
            </w:pPr>
            <w:r>
              <w:rPr>
                <w:rFonts w:hint="eastAsia" w:ascii="Times New Roman" w:hAnsi="Times New Roman" w:eastAsia="宋体"/>
                <w:b/>
                <w:bCs/>
                <w:color w:val="auto"/>
                <w:sz w:val="24"/>
              </w:rPr>
              <w:t>（二）</w:t>
            </w:r>
            <w:r>
              <w:rPr>
                <w:rFonts w:hint="eastAsia" w:ascii="Times New Roman" w:hAnsi="Times New Roman" w:eastAsia="宋体"/>
                <w:b/>
                <w:color w:val="auto"/>
                <w:sz w:val="24"/>
              </w:rPr>
              <w:t>废水</w:t>
            </w:r>
          </w:p>
          <w:p>
            <w:pPr>
              <w:widowControl/>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（1）产排污环节</w:t>
            </w:r>
          </w:p>
          <w:p>
            <w:pPr>
              <w:widowControl/>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根据本项目水平衡分析，本项目废水主要为员工生活污水。</w:t>
            </w:r>
          </w:p>
          <w:p>
            <w:pPr>
              <w:widowControl/>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（2）</w:t>
            </w:r>
            <w:r>
              <w:rPr>
                <w:rFonts w:ascii="Times New Roman" w:hAnsi="Times New Roman" w:eastAsia="宋体"/>
                <w:color w:val="auto"/>
                <w:sz w:val="24"/>
              </w:rPr>
              <w:t>污染物产生及排放情况</w:t>
            </w:r>
          </w:p>
          <w:p>
            <w:pPr>
              <w:jc w:val="center"/>
              <w:rPr>
                <w:rFonts w:ascii="Times New Roman" w:hAnsi="Times New Roman" w:eastAsia="宋体"/>
                <w:b/>
                <w:color w:val="auto"/>
                <w:szCs w:val="21"/>
              </w:rPr>
            </w:pPr>
            <w:r>
              <w:rPr>
                <w:rFonts w:ascii="Times New Roman" w:hAnsi="Times New Roman" w:eastAsia="宋体"/>
                <w:b/>
                <w:color w:val="auto"/>
                <w:szCs w:val="21"/>
              </w:rPr>
              <w:t>表4-1</w:t>
            </w:r>
            <w:r>
              <w:rPr>
                <w:rFonts w:hint="eastAsia"/>
                <w:b/>
                <w:color w:val="auto"/>
                <w:szCs w:val="21"/>
                <w:lang w:val="en-US" w:eastAsia="zh-CN"/>
              </w:rPr>
              <w:t>5</w:t>
            </w:r>
            <w:r>
              <w:rPr>
                <w:rFonts w:ascii="Times New Roman" w:hAnsi="Times New Roman" w:eastAsia="宋体"/>
                <w:b/>
                <w:color w:val="auto"/>
                <w:szCs w:val="21"/>
              </w:rPr>
              <w:t xml:space="preserve">  本项目水污染物产生及排放状况</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08"/>
              <w:gridCol w:w="806"/>
              <w:gridCol w:w="700"/>
              <w:gridCol w:w="1108"/>
              <w:gridCol w:w="833"/>
              <w:gridCol w:w="905"/>
              <w:gridCol w:w="1034"/>
              <w:gridCol w:w="700"/>
              <w:gridCol w:w="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污染源</w:t>
                  </w:r>
                </w:p>
              </w:tc>
              <w:tc>
                <w:tcPr>
                  <w:tcW w:w="438"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废水量m</w:t>
                  </w:r>
                  <w:r>
                    <w:rPr>
                      <w:rFonts w:ascii="Times New Roman" w:hAnsi="Times New Roman" w:eastAsia="宋体"/>
                      <w:b/>
                      <w:color w:val="auto"/>
                      <w:kern w:val="0"/>
                      <w:szCs w:val="21"/>
                      <w:vertAlign w:val="superscript"/>
                    </w:rPr>
                    <w:t>3</w:t>
                  </w:r>
                  <w:r>
                    <w:rPr>
                      <w:rFonts w:ascii="Times New Roman" w:hAnsi="Times New Roman" w:eastAsia="宋体"/>
                      <w:b/>
                      <w:color w:val="auto"/>
                      <w:kern w:val="0"/>
                      <w:szCs w:val="21"/>
                    </w:rPr>
                    <w:t>/a</w:t>
                  </w:r>
                </w:p>
              </w:tc>
              <w:tc>
                <w:tcPr>
                  <w:tcW w:w="499"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污染物名称</w:t>
                  </w:r>
                </w:p>
              </w:tc>
              <w:tc>
                <w:tcPr>
                  <w:tcW w:w="1120" w:type="pct"/>
                  <w:gridSpan w:val="2"/>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污染物产生情况</w:t>
                  </w:r>
                </w:p>
              </w:tc>
              <w:tc>
                <w:tcPr>
                  <w:tcW w:w="516"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治理</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措施</w:t>
                  </w:r>
                </w:p>
              </w:tc>
              <w:tc>
                <w:tcPr>
                  <w:tcW w:w="1201" w:type="pct"/>
                  <w:gridSpan w:val="2"/>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污染物排放情况</w:t>
                  </w:r>
                </w:p>
              </w:tc>
              <w:tc>
                <w:tcPr>
                  <w:tcW w:w="433"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标准浓度限值mg/L</w:t>
                  </w:r>
                </w:p>
              </w:tc>
              <w:tc>
                <w:tcPr>
                  <w:tcW w:w="319"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排放</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pStyle w:val="34"/>
                    <w:rPr>
                      <w:rFonts w:ascii="Times New Roman" w:hAnsi="Times New Roman" w:eastAsia="宋体"/>
                      <w:b/>
                      <w:color w:val="auto"/>
                      <w:kern w:val="0"/>
                      <w:szCs w:val="21"/>
                      <w:lang w:eastAsia="zh-CN"/>
                    </w:rPr>
                  </w:pPr>
                </w:p>
              </w:tc>
              <w:tc>
                <w:tcPr>
                  <w:tcW w:w="438" w:type="pct"/>
                  <w:vMerge w:val="continue"/>
                  <w:tcBorders>
                    <w:tl2br w:val="nil"/>
                    <w:tr2bl w:val="nil"/>
                  </w:tcBorders>
                  <w:vAlign w:val="center"/>
                </w:tcPr>
                <w:p>
                  <w:pPr>
                    <w:pStyle w:val="34"/>
                    <w:rPr>
                      <w:rFonts w:ascii="Times New Roman" w:hAnsi="Times New Roman" w:eastAsia="宋体"/>
                      <w:b/>
                      <w:color w:val="auto"/>
                      <w:kern w:val="0"/>
                      <w:szCs w:val="21"/>
                      <w:lang w:eastAsia="zh-CN"/>
                    </w:rPr>
                  </w:pPr>
                </w:p>
              </w:tc>
              <w:tc>
                <w:tcPr>
                  <w:tcW w:w="499" w:type="pct"/>
                  <w:vMerge w:val="continue"/>
                  <w:tcBorders>
                    <w:tl2br w:val="nil"/>
                    <w:tr2bl w:val="nil"/>
                  </w:tcBorders>
                  <w:vAlign w:val="center"/>
                </w:tcPr>
                <w:p>
                  <w:pPr>
                    <w:pStyle w:val="34"/>
                    <w:rPr>
                      <w:rFonts w:ascii="Times New Roman" w:hAnsi="Times New Roman" w:eastAsia="宋体"/>
                      <w:b/>
                      <w:color w:val="auto"/>
                      <w:kern w:val="0"/>
                      <w:szCs w:val="21"/>
                      <w:lang w:eastAsia="zh-CN"/>
                    </w:rPr>
                  </w:pPr>
                </w:p>
              </w:tc>
              <w:tc>
                <w:tcPr>
                  <w:tcW w:w="433"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浓度</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mg/L</w:t>
                  </w:r>
                </w:p>
              </w:tc>
              <w:tc>
                <w:tcPr>
                  <w:tcW w:w="686"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产生量</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（t/a）</w:t>
                  </w:r>
                </w:p>
              </w:tc>
              <w:tc>
                <w:tcPr>
                  <w:tcW w:w="516" w:type="pct"/>
                  <w:vMerge w:val="continue"/>
                  <w:tcBorders>
                    <w:tl2br w:val="nil"/>
                    <w:tr2bl w:val="nil"/>
                  </w:tcBorders>
                  <w:vAlign w:val="center"/>
                </w:tcPr>
                <w:p>
                  <w:pPr>
                    <w:jc w:val="center"/>
                    <w:rPr>
                      <w:rFonts w:ascii="Times New Roman" w:hAnsi="Times New Roman" w:eastAsia="宋体"/>
                      <w:color w:val="auto"/>
                      <w:kern w:val="0"/>
                      <w:szCs w:val="21"/>
                    </w:rPr>
                  </w:pPr>
                </w:p>
              </w:tc>
              <w:tc>
                <w:tcPr>
                  <w:tcW w:w="560"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浓度(mg/L)</w:t>
                  </w:r>
                </w:p>
              </w:tc>
              <w:tc>
                <w:tcPr>
                  <w:tcW w:w="640"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接管量（t/a）</w:t>
                  </w:r>
                </w:p>
              </w:tc>
              <w:tc>
                <w:tcPr>
                  <w:tcW w:w="433" w:type="pct"/>
                  <w:vMerge w:val="continue"/>
                  <w:tcBorders>
                    <w:tl2br w:val="nil"/>
                    <w:tr2bl w:val="nil"/>
                  </w:tcBorders>
                  <w:vAlign w:val="center"/>
                </w:tcPr>
                <w:p>
                  <w:pPr>
                    <w:jc w:val="center"/>
                    <w:rPr>
                      <w:rFonts w:ascii="Times New Roman" w:hAnsi="Times New Roman" w:eastAsia="宋体"/>
                      <w:color w:val="auto"/>
                      <w:kern w:val="0"/>
                      <w:szCs w:val="21"/>
                    </w:rPr>
                  </w:pPr>
                </w:p>
              </w:tc>
              <w:tc>
                <w:tcPr>
                  <w:tcW w:w="319" w:type="pct"/>
                  <w:vMerge w:val="continue"/>
                  <w:tcBorders>
                    <w:tl2br w:val="nil"/>
                    <w:tr2bl w:val="nil"/>
                  </w:tcBorders>
                  <w:vAlign w:val="center"/>
                </w:tcPr>
                <w:p>
                  <w:pPr>
                    <w:jc w:val="center"/>
                    <w:textAlignment w:val="baseline"/>
                    <w:rPr>
                      <w:rFonts w:ascii="Times New Roman" w:hAnsi="Times New Roman" w:eastAsia="宋体"/>
                      <w:b/>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tcBorders>
                    <w:tl2br w:val="nil"/>
                    <w:tr2bl w:val="nil"/>
                  </w:tcBorders>
                  <w:vAlign w:val="center"/>
                </w:tcPr>
                <w:p>
                  <w:pPr>
                    <w:jc w:val="center"/>
                    <w:rPr>
                      <w:rFonts w:ascii="Times New Roman" w:hAnsi="Times New Roman" w:eastAsia="宋体"/>
                      <w:color w:val="auto"/>
                      <w:kern w:val="0"/>
                      <w:szCs w:val="21"/>
                    </w:rPr>
                  </w:pPr>
                  <w:r>
                    <w:rPr>
                      <w:rFonts w:hint="eastAsia" w:ascii="Times New Roman" w:hAnsi="Times New Roman" w:eastAsia="宋体"/>
                      <w:color w:val="auto"/>
                      <w:szCs w:val="21"/>
                    </w:rPr>
                    <w:t>生活污水</w:t>
                  </w:r>
                </w:p>
              </w:tc>
              <w:tc>
                <w:tcPr>
                  <w:tcW w:w="438" w:type="pct"/>
                  <w:vMerge w:val="restart"/>
                  <w:tcBorders>
                    <w:tl2br w:val="nil"/>
                    <w:tr2bl w:val="nil"/>
                  </w:tcBorders>
                  <w:vAlign w:val="center"/>
                </w:tcPr>
                <w:p>
                  <w:pPr>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120</w:t>
                  </w:r>
                </w:p>
              </w:tc>
              <w:tc>
                <w:tcPr>
                  <w:tcW w:w="499" w:type="pct"/>
                  <w:tcBorders>
                    <w:tl2br w:val="nil"/>
                    <w:tr2bl w:val="nil"/>
                  </w:tcBorders>
                  <w:vAlign w:val="center"/>
                </w:tcPr>
                <w:p>
                  <w:pPr>
                    <w:pStyle w:val="9"/>
                    <w:jc w:val="center"/>
                    <w:rPr>
                      <w:rFonts w:ascii="Times New Roman" w:hAnsi="Times New Roman" w:eastAsia="宋体"/>
                      <w:color w:val="auto"/>
                      <w:kern w:val="0"/>
                      <w:szCs w:val="21"/>
                    </w:rPr>
                  </w:pPr>
                  <w:r>
                    <w:rPr>
                      <w:rFonts w:ascii="Times New Roman" w:hAnsi="Times New Roman" w:eastAsia="宋体"/>
                      <w:color w:val="auto"/>
                      <w:szCs w:val="21"/>
                    </w:rPr>
                    <w:t>COD</w:t>
                  </w:r>
                </w:p>
              </w:tc>
              <w:tc>
                <w:tcPr>
                  <w:tcW w:w="433" w:type="pct"/>
                  <w:tcBorders>
                    <w:tl2br w:val="nil"/>
                    <w:tr2bl w:val="nil"/>
                  </w:tcBorders>
                  <w:vAlign w:val="center"/>
                </w:tcPr>
                <w:p>
                  <w:pPr>
                    <w:pStyle w:val="33"/>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lang w:val="en-US" w:eastAsia="zh-CN"/>
                    </w:rPr>
                    <w:t>340</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0.0408</w:t>
                  </w:r>
                </w:p>
              </w:tc>
              <w:tc>
                <w:tcPr>
                  <w:tcW w:w="516" w:type="pct"/>
                  <w:vMerge w:val="restar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化粪池</w:t>
                  </w: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204</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0.024</w:t>
                  </w:r>
                  <w:r>
                    <w:rPr>
                      <w:rFonts w:hint="eastAsia" w:ascii="Times New Roman" w:hAnsi="Times New Roman" w:eastAsia="宋体" w:cs="Times New Roman"/>
                      <w:i w:val="0"/>
                      <w:iCs w:val="0"/>
                      <w:color w:val="auto"/>
                      <w:kern w:val="0"/>
                      <w:sz w:val="21"/>
                      <w:szCs w:val="21"/>
                      <w:u w:val="none"/>
                      <w:lang w:val="en-US" w:eastAsia="zh-CN" w:bidi="ar"/>
                    </w:rPr>
                    <w:t>5</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500</w:t>
                  </w:r>
                </w:p>
              </w:tc>
              <w:tc>
                <w:tcPr>
                  <w:tcW w:w="319" w:type="pct"/>
                  <w:vMerge w:val="restart"/>
                  <w:tcBorders>
                    <w:tl2br w:val="nil"/>
                    <w:tr2bl w:val="nil"/>
                  </w:tcBorders>
                  <w:vAlign w:val="center"/>
                </w:tcPr>
                <w:p>
                  <w:pPr>
                    <w:jc w:val="center"/>
                    <w:rPr>
                      <w:rFonts w:hint="eastAsia" w:ascii="Times New Roman" w:hAnsi="Times New Roman" w:eastAsia="宋体"/>
                      <w:color w:val="auto"/>
                      <w:kern w:val="0"/>
                      <w:szCs w:val="21"/>
                      <w:lang w:eastAsia="zh-CN"/>
                    </w:rPr>
                  </w:pPr>
                  <w:r>
                    <w:rPr>
                      <w:rFonts w:hint="eastAsia" w:ascii="Times New Roman" w:hAnsi="Times New Roman" w:eastAsia="宋体"/>
                      <w:color w:val="auto"/>
                      <w:szCs w:val="21"/>
                      <w:lang w:eastAsia="zh-CN"/>
                    </w:rPr>
                    <w:t>如皋市下原镇污水处理厂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hint="eastAsia" w:ascii="Times New Roman" w:hAnsi="Times New Roman" w:eastAsia="宋体"/>
                      <w:color w:val="auto"/>
                      <w:szCs w:val="21"/>
                    </w:rPr>
                    <w:t>SS</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rPr>
                    <w:t>250</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100</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400</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ascii="Times New Roman" w:hAnsi="Times New Roman" w:eastAsia="宋体"/>
                      <w:color w:val="auto"/>
                      <w:szCs w:val="21"/>
                    </w:rPr>
                    <w:t>NH</w:t>
                  </w:r>
                  <w:r>
                    <w:rPr>
                      <w:rFonts w:ascii="Times New Roman" w:hAnsi="Times New Roman" w:eastAsia="宋体"/>
                      <w:color w:val="auto"/>
                      <w:szCs w:val="21"/>
                      <w:vertAlign w:val="subscript"/>
                    </w:rPr>
                    <w:t>3</w:t>
                  </w:r>
                  <w:r>
                    <w:rPr>
                      <w:rFonts w:ascii="Times New Roman" w:hAnsi="Times New Roman" w:eastAsia="宋体"/>
                      <w:color w:val="auto"/>
                      <w:szCs w:val="21"/>
                    </w:rPr>
                    <w:t>-N</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lang w:val="en-US" w:eastAsia="zh-CN"/>
                    </w:rPr>
                    <w:t>32.6</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0.0039</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29.3</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45</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hint="eastAsia" w:ascii="Times New Roman" w:hAnsi="Times New Roman" w:eastAsia="宋体"/>
                      <w:color w:val="auto"/>
                      <w:szCs w:val="21"/>
                    </w:rPr>
                    <w:t>TP</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rPr>
                    <w:t>4</w:t>
                  </w:r>
                  <w:r>
                    <w:rPr>
                      <w:rFonts w:hint="eastAsia" w:ascii="Times New Roman" w:hAnsi="Times New Roman"/>
                      <w:color w:val="auto"/>
                      <w:sz w:val="21"/>
                      <w:lang w:val="en-US" w:eastAsia="zh-CN"/>
                    </w:rPr>
                    <w:t>.27</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3.42</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8</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ascii="Times New Roman" w:hAnsi="Times New Roman" w:eastAsia="宋体"/>
                      <w:color w:val="auto"/>
                      <w:szCs w:val="21"/>
                    </w:rPr>
                    <w:t>TN</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eastAsia="宋体"/>
                      <w:color w:val="auto"/>
                      <w:sz w:val="21"/>
                      <w:lang w:val="en-US" w:eastAsia="zh-CN"/>
                    </w:rPr>
                    <w:t>44.8</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0.005</w:t>
                  </w:r>
                  <w:r>
                    <w:rPr>
                      <w:rFonts w:hint="eastAsia" w:ascii="Times New Roman" w:hAnsi="Times New Roman" w:eastAsia="宋体" w:cs="Times New Roman"/>
                      <w:i w:val="0"/>
                      <w:iCs w:val="0"/>
                      <w:color w:val="auto"/>
                      <w:kern w:val="0"/>
                      <w:sz w:val="21"/>
                      <w:szCs w:val="21"/>
                      <w:u w:val="none"/>
                      <w:lang w:val="en-US" w:eastAsia="zh-CN" w:bidi="ar"/>
                    </w:rPr>
                    <w:t>4</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40.3</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0.0048</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70</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bl>
          <w:p>
            <w:pPr>
              <w:jc w:val="center"/>
              <w:rPr>
                <w:rFonts w:ascii="Times New Roman" w:hAnsi="Times New Roman" w:eastAsia="宋体"/>
                <w:b/>
                <w:color w:val="auto"/>
                <w:szCs w:val="21"/>
              </w:rPr>
            </w:pPr>
            <w:r>
              <w:rPr>
                <w:rFonts w:ascii="Times New Roman" w:hAnsi="Times New Roman" w:eastAsia="宋体"/>
                <w:b/>
                <w:color w:val="auto"/>
                <w:szCs w:val="21"/>
              </w:rPr>
              <w:t>表4-1</w:t>
            </w:r>
            <w:r>
              <w:rPr>
                <w:rFonts w:hint="eastAsia"/>
                <w:b/>
                <w:color w:val="auto"/>
                <w:szCs w:val="21"/>
                <w:lang w:val="en-US" w:eastAsia="zh-CN"/>
              </w:rPr>
              <w:t>6</w:t>
            </w:r>
            <w:r>
              <w:rPr>
                <w:rFonts w:ascii="Times New Roman" w:hAnsi="Times New Roman" w:eastAsia="宋体"/>
                <w:b/>
                <w:color w:val="auto"/>
                <w:szCs w:val="21"/>
              </w:rPr>
              <w:t xml:space="preserve">  </w:t>
            </w:r>
            <w:r>
              <w:rPr>
                <w:rFonts w:hint="eastAsia" w:ascii="Times New Roman" w:hAnsi="Times New Roman" w:eastAsia="宋体"/>
                <w:b/>
                <w:color w:val="auto"/>
                <w:szCs w:val="21"/>
                <w:lang w:val="en-US" w:eastAsia="zh-CN"/>
              </w:rPr>
              <w:t>技改后全厂</w:t>
            </w:r>
            <w:r>
              <w:rPr>
                <w:rFonts w:ascii="Times New Roman" w:hAnsi="Times New Roman" w:eastAsia="宋体"/>
                <w:b/>
                <w:color w:val="auto"/>
                <w:szCs w:val="21"/>
              </w:rPr>
              <w:t>水污染物产生及排放状况</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08"/>
              <w:gridCol w:w="806"/>
              <w:gridCol w:w="700"/>
              <w:gridCol w:w="1108"/>
              <w:gridCol w:w="833"/>
              <w:gridCol w:w="905"/>
              <w:gridCol w:w="1034"/>
              <w:gridCol w:w="700"/>
              <w:gridCol w:w="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污染源</w:t>
                  </w:r>
                </w:p>
              </w:tc>
              <w:tc>
                <w:tcPr>
                  <w:tcW w:w="438"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废水量m</w:t>
                  </w:r>
                  <w:r>
                    <w:rPr>
                      <w:rFonts w:ascii="Times New Roman" w:hAnsi="Times New Roman" w:eastAsia="宋体"/>
                      <w:b/>
                      <w:color w:val="auto"/>
                      <w:kern w:val="0"/>
                      <w:szCs w:val="21"/>
                      <w:vertAlign w:val="superscript"/>
                    </w:rPr>
                    <w:t>3</w:t>
                  </w:r>
                  <w:r>
                    <w:rPr>
                      <w:rFonts w:ascii="Times New Roman" w:hAnsi="Times New Roman" w:eastAsia="宋体"/>
                      <w:b/>
                      <w:color w:val="auto"/>
                      <w:kern w:val="0"/>
                      <w:szCs w:val="21"/>
                    </w:rPr>
                    <w:t>/a</w:t>
                  </w:r>
                </w:p>
              </w:tc>
              <w:tc>
                <w:tcPr>
                  <w:tcW w:w="499"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污染物名称</w:t>
                  </w:r>
                </w:p>
              </w:tc>
              <w:tc>
                <w:tcPr>
                  <w:tcW w:w="1120" w:type="pct"/>
                  <w:gridSpan w:val="2"/>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污染物产生情况</w:t>
                  </w:r>
                </w:p>
              </w:tc>
              <w:tc>
                <w:tcPr>
                  <w:tcW w:w="516"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治理</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措施</w:t>
                  </w:r>
                </w:p>
              </w:tc>
              <w:tc>
                <w:tcPr>
                  <w:tcW w:w="1201" w:type="pct"/>
                  <w:gridSpan w:val="2"/>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污染物排放情况</w:t>
                  </w:r>
                </w:p>
              </w:tc>
              <w:tc>
                <w:tcPr>
                  <w:tcW w:w="433"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标准浓度限值mg/L</w:t>
                  </w:r>
                </w:p>
              </w:tc>
              <w:tc>
                <w:tcPr>
                  <w:tcW w:w="319" w:type="pct"/>
                  <w:vMerge w:val="restar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排放</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pStyle w:val="34"/>
                    <w:rPr>
                      <w:rFonts w:ascii="Times New Roman" w:hAnsi="Times New Roman" w:eastAsia="宋体"/>
                      <w:b/>
                      <w:color w:val="auto"/>
                      <w:kern w:val="0"/>
                      <w:szCs w:val="21"/>
                      <w:lang w:eastAsia="zh-CN"/>
                    </w:rPr>
                  </w:pPr>
                </w:p>
              </w:tc>
              <w:tc>
                <w:tcPr>
                  <w:tcW w:w="438" w:type="pct"/>
                  <w:vMerge w:val="continue"/>
                  <w:tcBorders>
                    <w:tl2br w:val="nil"/>
                    <w:tr2bl w:val="nil"/>
                  </w:tcBorders>
                  <w:vAlign w:val="center"/>
                </w:tcPr>
                <w:p>
                  <w:pPr>
                    <w:pStyle w:val="34"/>
                    <w:rPr>
                      <w:rFonts w:ascii="Times New Roman" w:hAnsi="Times New Roman" w:eastAsia="宋体"/>
                      <w:b/>
                      <w:color w:val="auto"/>
                      <w:kern w:val="0"/>
                      <w:szCs w:val="21"/>
                      <w:lang w:eastAsia="zh-CN"/>
                    </w:rPr>
                  </w:pPr>
                </w:p>
              </w:tc>
              <w:tc>
                <w:tcPr>
                  <w:tcW w:w="499" w:type="pct"/>
                  <w:vMerge w:val="continue"/>
                  <w:tcBorders>
                    <w:tl2br w:val="nil"/>
                    <w:tr2bl w:val="nil"/>
                  </w:tcBorders>
                  <w:vAlign w:val="center"/>
                </w:tcPr>
                <w:p>
                  <w:pPr>
                    <w:pStyle w:val="34"/>
                    <w:rPr>
                      <w:rFonts w:ascii="Times New Roman" w:hAnsi="Times New Roman" w:eastAsia="宋体"/>
                      <w:b/>
                      <w:color w:val="auto"/>
                      <w:kern w:val="0"/>
                      <w:szCs w:val="21"/>
                      <w:lang w:eastAsia="zh-CN"/>
                    </w:rPr>
                  </w:pPr>
                </w:p>
              </w:tc>
              <w:tc>
                <w:tcPr>
                  <w:tcW w:w="433"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浓度</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mg/L</w:t>
                  </w:r>
                </w:p>
              </w:tc>
              <w:tc>
                <w:tcPr>
                  <w:tcW w:w="686"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产生量</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（t/a）</w:t>
                  </w:r>
                </w:p>
              </w:tc>
              <w:tc>
                <w:tcPr>
                  <w:tcW w:w="516" w:type="pct"/>
                  <w:vMerge w:val="continue"/>
                  <w:tcBorders>
                    <w:tl2br w:val="nil"/>
                    <w:tr2bl w:val="nil"/>
                  </w:tcBorders>
                  <w:vAlign w:val="center"/>
                </w:tcPr>
                <w:p>
                  <w:pPr>
                    <w:jc w:val="center"/>
                    <w:rPr>
                      <w:rFonts w:ascii="Times New Roman" w:hAnsi="Times New Roman" w:eastAsia="宋体"/>
                      <w:color w:val="auto"/>
                      <w:kern w:val="0"/>
                      <w:szCs w:val="21"/>
                    </w:rPr>
                  </w:pPr>
                </w:p>
              </w:tc>
              <w:tc>
                <w:tcPr>
                  <w:tcW w:w="560"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浓度(mg/L)</w:t>
                  </w:r>
                </w:p>
              </w:tc>
              <w:tc>
                <w:tcPr>
                  <w:tcW w:w="640"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接管量（t/a）</w:t>
                  </w:r>
                </w:p>
              </w:tc>
              <w:tc>
                <w:tcPr>
                  <w:tcW w:w="433" w:type="pct"/>
                  <w:vMerge w:val="continue"/>
                  <w:tcBorders>
                    <w:tl2br w:val="nil"/>
                    <w:tr2bl w:val="nil"/>
                  </w:tcBorders>
                  <w:vAlign w:val="center"/>
                </w:tcPr>
                <w:p>
                  <w:pPr>
                    <w:jc w:val="center"/>
                    <w:rPr>
                      <w:rFonts w:ascii="Times New Roman" w:hAnsi="Times New Roman" w:eastAsia="宋体"/>
                      <w:color w:val="auto"/>
                      <w:kern w:val="0"/>
                      <w:szCs w:val="21"/>
                    </w:rPr>
                  </w:pPr>
                </w:p>
              </w:tc>
              <w:tc>
                <w:tcPr>
                  <w:tcW w:w="319" w:type="pct"/>
                  <w:vMerge w:val="continue"/>
                  <w:tcBorders>
                    <w:tl2br w:val="nil"/>
                    <w:tr2bl w:val="nil"/>
                  </w:tcBorders>
                  <w:vAlign w:val="center"/>
                </w:tcPr>
                <w:p>
                  <w:pPr>
                    <w:jc w:val="center"/>
                    <w:textAlignment w:val="baseline"/>
                    <w:rPr>
                      <w:rFonts w:ascii="Times New Roman" w:hAnsi="Times New Roman" w:eastAsia="宋体"/>
                      <w:b/>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tcBorders>
                    <w:tl2br w:val="nil"/>
                    <w:tr2bl w:val="nil"/>
                  </w:tcBorders>
                  <w:vAlign w:val="center"/>
                </w:tcPr>
                <w:p>
                  <w:pPr>
                    <w:jc w:val="center"/>
                    <w:rPr>
                      <w:rFonts w:ascii="Times New Roman" w:hAnsi="Times New Roman" w:eastAsia="宋体"/>
                      <w:color w:val="auto"/>
                      <w:kern w:val="0"/>
                      <w:szCs w:val="21"/>
                    </w:rPr>
                  </w:pPr>
                  <w:r>
                    <w:rPr>
                      <w:rFonts w:hint="eastAsia" w:ascii="Times New Roman" w:hAnsi="Times New Roman" w:eastAsia="宋体"/>
                      <w:color w:val="auto"/>
                      <w:szCs w:val="21"/>
                    </w:rPr>
                    <w:t>生活污水</w:t>
                  </w:r>
                </w:p>
              </w:tc>
              <w:tc>
                <w:tcPr>
                  <w:tcW w:w="438" w:type="pct"/>
                  <w:vMerge w:val="restart"/>
                  <w:tcBorders>
                    <w:tl2br w:val="nil"/>
                    <w:tr2bl w:val="nil"/>
                  </w:tcBorders>
                  <w:vAlign w:val="center"/>
                </w:tcPr>
                <w:p>
                  <w:pPr>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851</w:t>
                  </w:r>
                </w:p>
              </w:tc>
              <w:tc>
                <w:tcPr>
                  <w:tcW w:w="499" w:type="pct"/>
                  <w:tcBorders>
                    <w:tl2br w:val="nil"/>
                    <w:tr2bl w:val="nil"/>
                  </w:tcBorders>
                  <w:vAlign w:val="center"/>
                </w:tcPr>
                <w:p>
                  <w:pPr>
                    <w:pStyle w:val="9"/>
                    <w:jc w:val="center"/>
                    <w:rPr>
                      <w:rFonts w:ascii="Times New Roman" w:hAnsi="Times New Roman" w:eastAsia="宋体"/>
                      <w:color w:val="auto"/>
                      <w:kern w:val="0"/>
                      <w:szCs w:val="21"/>
                    </w:rPr>
                  </w:pPr>
                  <w:r>
                    <w:rPr>
                      <w:rFonts w:ascii="Times New Roman" w:hAnsi="Times New Roman" w:eastAsia="宋体"/>
                      <w:color w:val="auto"/>
                      <w:szCs w:val="21"/>
                    </w:rPr>
                    <w:t>COD</w:t>
                  </w:r>
                </w:p>
              </w:tc>
              <w:tc>
                <w:tcPr>
                  <w:tcW w:w="433" w:type="pct"/>
                  <w:tcBorders>
                    <w:tl2br w:val="nil"/>
                    <w:tr2bl w:val="nil"/>
                  </w:tcBorders>
                  <w:vAlign w:val="center"/>
                </w:tcPr>
                <w:p>
                  <w:pPr>
                    <w:pStyle w:val="33"/>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lang w:val="en-US" w:eastAsia="zh-CN"/>
                    </w:rPr>
                    <w:t>340</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0.2893</w:t>
                  </w:r>
                </w:p>
              </w:tc>
              <w:tc>
                <w:tcPr>
                  <w:tcW w:w="516" w:type="pct"/>
                  <w:vMerge w:val="restart"/>
                  <w:tcBorders>
                    <w:tl2br w:val="nil"/>
                    <w:tr2bl w:val="nil"/>
                  </w:tcBorders>
                  <w:vAlign w:val="center"/>
                </w:tcPr>
                <w:p>
                  <w:pPr>
                    <w:pStyle w:val="33"/>
                    <w:rPr>
                      <w:rFonts w:ascii="Times New Roman" w:hAnsi="Times New Roman" w:eastAsia="宋体"/>
                      <w:color w:val="auto"/>
                    </w:rPr>
                  </w:pPr>
                  <w:r>
                    <w:rPr>
                      <w:rFonts w:hint="eastAsia" w:ascii="Times New Roman" w:hAnsi="Times New Roman" w:eastAsia="宋体"/>
                      <w:color w:val="auto"/>
                    </w:rPr>
                    <w:t>化粪池</w:t>
                  </w: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204</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0.1736</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500</w:t>
                  </w:r>
                </w:p>
              </w:tc>
              <w:tc>
                <w:tcPr>
                  <w:tcW w:w="319" w:type="pct"/>
                  <w:vMerge w:val="restart"/>
                  <w:tcBorders>
                    <w:tl2br w:val="nil"/>
                    <w:tr2bl w:val="nil"/>
                  </w:tcBorders>
                  <w:vAlign w:val="center"/>
                </w:tcPr>
                <w:p>
                  <w:pPr>
                    <w:jc w:val="center"/>
                    <w:rPr>
                      <w:rFonts w:hint="eastAsia" w:ascii="Times New Roman" w:hAnsi="Times New Roman" w:eastAsia="宋体"/>
                      <w:color w:val="auto"/>
                      <w:kern w:val="0"/>
                      <w:szCs w:val="21"/>
                      <w:lang w:eastAsia="zh-CN"/>
                    </w:rPr>
                  </w:pPr>
                  <w:r>
                    <w:rPr>
                      <w:rFonts w:hint="eastAsia" w:ascii="Times New Roman" w:hAnsi="Times New Roman" w:eastAsia="宋体"/>
                      <w:color w:val="auto"/>
                      <w:szCs w:val="21"/>
                      <w:lang w:eastAsia="zh-CN"/>
                    </w:rPr>
                    <w:t>如皋市下原镇污水处理厂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hint="eastAsia" w:ascii="Times New Roman" w:hAnsi="Times New Roman" w:eastAsia="宋体"/>
                      <w:color w:val="auto"/>
                      <w:szCs w:val="21"/>
                    </w:rPr>
                    <w:t>SS</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rPr>
                    <w:t>250</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0.2127</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100</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0.0851</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400</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ascii="Times New Roman" w:hAnsi="Times New Roman" w:eastAsia="宋体"/>
                      <w:color w:val="auto"/>
                      <w:szCs w:val="21"/>
                    </w:rPr>
                    <w:t>NH</w:t>
                  </w:r>
                  <w:r>
                    <w:rPr>
                      <w:rFonts w:ascii="Times New Roman" w:hAnsi="Times New Roman" w:eastAsia="宋体"/>
                      <w:color w:val="auto"/>
                      <w:szCs w:val="21"/>
                      <w:vertAlign w:val="subscript"/>
                    </w:rPr>
                    <w:t>3</w:t>
                  </w:r>
                  <w:r>
                    <w:rPr>
                      <w:rFonts w:ascii="Times New Roman" w:hAnsi="Times New Roman" w:eastAsia="宋体"/>
                      <w:color w:val="auto"/>
                      <w:szCs w:val="21"/>
                    </w:rPr>
                    <w:t>-N</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lang w:val="en-US" w:eastAsia="zh-CN"/>
                    </w:rPr>
                    <w:t>32.6</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0.0277</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29.3</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0.0249</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45</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hint="eastAsia" w:ascii="Times New Roman" w:hAnsi="Times New Roman" w:eastAsia="宋体"/>
                      <w:color w:val="auto"/>
                      <w:szCs w:val="21"/>
                    </w:rPr>
                    <w:t>TP</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color w:val="auto"/>
                      <w:sz w:val="21"/>
                    </w:rPr>
                    <w:t>4</w:t>
                  </w:r>
                  <w:r>
                    <w:rPr>
                      <w:rFonts w:hint="eastAsia" w:ascii="Times New Roman" w:hAnsi="Times New Roman"/>
                      <w:color w:val="auto"/>
                      <w:sz w:val="21"/>
                      <w:lang w:val="en-US" w:eastAsia="zh-CN"/>
                    </w:rPr>
                    <w:t>.27</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0.0036</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3.42</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0.0029</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8</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8"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99" w:type="pct"/>
                  <w:tcBorders>
                    <w:tl2br w:val="nil"/>
                    <w:tr2bl w:val="nil"/>
                  </w:tcBorders>
                  <w:vAlign w:val="center"/>
                </w:tcPr>
                <w:p>
                  <w:pPr>
                    <w:pStyle w:val="9"/>
                    <w:jc w:val="center"/>
                    <w:rPr>
                      <w:rFonts w:ascii="Times New Roman" w:hAnsi="Times New Roman" w:eastAsia="宋体"/>
                      <w:color w:val="auto"/>
                      <w:szCs w:val="21"/>
                    </w:rPr>
                  </w:pPr>
                  <w:r>
                    <w:rPr>
                      <w:rFonts w:ascii="Times New Roman" w:hAnsi="Times New Roman" w:eastAsia="宋体"/>
                      <w:color w:val="auto"/>
                      <w:szCs w:val="21"/>
                    </w:rPr>
                    <w:t>TN</w:t>
                  </w:r>
                </w:p>
              </w:tc>
              <w:tc>
                <w:tcPr>
                  <w:tcW w:w="433" w:type="pct"/>
                  <w:tcBorders>
                    <w:tl2br w:val="nil"/>
                    <w:tr2bl w:val="nil"/>
                  </w:tcBorders>
                  <w:vAlign w:val="center"/>
                </w:tcPr>
                <w:p>
                  <w:pPr>
                    <w:pStyle w:val="33"/>
                    <w:spacing w:line="320" w:lineRule="exact"/>
                    <w:ind w:firstLine="0" w:firstLineChars="0"/>
                    <w:rPr>
                      <w:rFonts w:hint="default" w:ascii="Times New Roman" w:hAnsi="Times New Roman" w:eastAsia="宋体" w:cs="Times New Roman"/>
                      <w:color w:val="auto"/>
                      <w:kern w:val="0"/>
                      <w:sz w:val="21"/>
                      <w:szCs w:val="21"/>
                      <w:lang w:val="en-US" w:eastAsia="zh-CN" w:bidi="en-US"/>
                    </w:rPr>
                  </w:pPr>
                  <w:r>
                    <w:rPr>
                      <w:rFonts w:hint="eastAsia" w:ascii="Times New Roman" w:hAnsi="Times New Roman" w:eastAsia="宋体"/>
                      <w:color w:val="auto"/>
                      <w:sz w:val="21"/>
                      <w:lang w:val="en-US" w:eastAsia="zh-CN"/>
                    </w:rPr>
                    <w:t>44.8</w:t>
                  </w:r>
                </w:p>
              </w:tc>
              <w:tc>
                <w:tcPr>
                  <w:tcW w:w="110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0.0381</w:t>
                  </w:r>
                </w:p>
              </w:tc>
              <w:tc>
                <w:tcPr>
                  <w:tcW w:w="516" w:type="pct"/>
                  <w:vMerge w:val="continue"/>
                  <w:tcBorders>
                    <w:tl2br w:val="nil"/>
                    <w:tr2bl w:val="nil"/>
                  </w:tcBorders>
                  <w:vAlign w:val="center"/>
                </w:tcPr>
                <w:p>
                  <w:pPr>
                    <w:pStyle w:val="33"/>
                    <w:rPr>
                      <w:rFonts w:ascii="Times New Roman" w:hAnsi="Times New Roman" w:eastAsia="宋体"/>
                      <w:color w:val="auto"/>
                    </w:rPr>
                  </w:pPr>
                </w:p>
              </w:tc>
              <w:tc>
                <w:tcPr>
                  <w:tcW w:w="560"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40.3</w:t>
                  </w:r>
                </w:p>
              </w:tc>
              <w:tc>
                <w:tcPr>
                  <w:tcW w:w="103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olor w:val="auto"/>
                      <w:szCs w:val="21"/>
                    </w:rPr>
                  </w:pPr>
                  <w:r>
                    <w:rPr>
                      <w:rFonts w:hint="default" w:ascii="Times New Roman" w:hAnsi="Times New Roman" w:eastAsia="宋体" w:cs="Times New Roman"/>
                      <w:i w:val="0"/>
                      <w:iCs w:val="0"/>
                      <w:color w:val="auto"/>
                      <w:kern w:val="0"/>
                      <w:sz w:val="21"/>
                      <w:szCs w:val="21"/>
                      <w:u w:val="none"/>
                      <w:lang w:val="en-US" w:eastAsia="zh-CN" w:bidi="ar"/>
                    </w:rPr>
                    <w:t>0.034</w:t>
                  </w:r>
                  <w:r>
                    <w:rPr>
                      <w:rFonts w:hint="eastAsia" w:ascii="Times New Roman" w:hAnsi="Times New Roman" w:eastAsia="宋体" w:cs="Times New Roman"/>
                      <w:i w:val="0"/>
                      <w:iCs w:val="0"/>
                      <w:color w:val="auto"/>
                      <w:kern w:val="0"/>
                      <w:sz w:val="21"/>
                      <w:szCs w:val="21"/>
                      <w:u w:val="none"/>
                      <w:lang w:val="en-US" w:eastAsia="zh-CN" w:bidi="ar"/>
                    </w:rPr>
                    <w:t>3</w:t>
                  </w:r>
                </w:p>
              </w:tc>
              <w:tc>
                <w:tcPr>
                  <w:tcW w:w="433" w:type="pct"/>
                  <w:tcBorders>
                    <w:tl2br w:val="nil"/>
                    <w:tr2bl w:val="nil"/>
                  </w:tcBorders>
                  <w:vAlign w:val="center"/>
                </w:tcPr>
                <w:p>
                  <w:pPr>
                    <w:pStyle w:val="16"/>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eastAsia="宋体"/>
                      <w:color w:val="auto"/>
                      <w:sz w:val="21"/>
                      <w:szCs w:val="21"/>
                    </w:rPr>
                  </w:pPr>
                  <w:r>
                    <w:rPr>
                      <w:rFonts w:ascii="Times New Roman" w:hAnsi="Times New Roman" w:eastAsia="宋体"/>
                      <w:color w:val="auto"/>
                      <w:sz w:val="21"/>
                      <w:szCs w:val="21"/>
                      <w:lang w:bidi="ar"/>
                    </w:rPr>
                    <w:t>70</w:t>
                  </w:r>
                </w:p>
              </w:tc>
              <w:tc>
                <w:tcPr>
                  <w:tcW w:w="319" w:type="pct"/>
                  <w:vMerge w:val="continue"/>
                  <w:tcBorders>
                    <w:tl2br w:val="nil"/>
                    <w:tr2bl w:val="nil"/>
                  </w:tcBorders>
                  <w:vAlign w:val="center"/>
                </w:tcPr>
                <w:p>
                  <w:pPr>
                    <w:jc w:val="center"/>
                    <w:rPr>
                      <w:rFonts w:ascii="Times New Roman" w:hAnsi="Times New Roman" w:eastAsia="宋体"/>
                      <w:color w:val="auto"/>
                      <w:kern w:val="0"/>
                      <w:szCs w:val="21"/>
                    </w:rPr>
                  </w:pPr>
                </w:p>
              </w:tc>
            </w:tr>
          </w:tbl>
          <w:p>
            <w:pPr>
              <w:widowControl/>
              <w:numPr>
                <w:ilvl w:val="0"/>
                <w:numId w:val="0"/>
              </w:numPr>
              <w:spacing w:line="360"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s="Times New Roman"/>
                <w:b w:val="0"/>
                <w:bCs w:val="0"/>
                <w:color w:val="auto"/>
                <w:kern w:val="2"/>
                <w:sz w:val="24"/>
                <w:szCs w:val="24"/>
                <w:lang w:val="en-US" w:eastAsia="zh-CN" w:bidi="ar-SA"/>
              </w:rPr>
              <w:t>本项目化粪池处理效率参考《村镇生活污染防治最佳可行技术指南(试行)》(HJ-BAT9):“COD：40%-50%，SS：60%-70%，TN：不大于10%，TP：不大于20%”。因此，本项目化粪池对COD处理效率取40%，对SS处理效率取 60%，对NH</w:t>
            </w:r>
            <w:r>
              <w:rPr>
                <w:rFonts w:hint="eastAsia" w:ascii="Times New Roman" w:hAnsi="Times New Roman" w:eastAsia="宋体" w:cs="Times New Roman"/>
                <w:b w:val="0"/>
                <w:bCs w:val="0"/>
                <w:color w:val="auto"/>
                <w:kern w:val="2"/>
                <w:sz w:val="24"/>
                <w:szCs w:val="24"/>
                <w:vertAlign w:val="sub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-N 处理效率取10%，对TP 处理效率取20%，对TN处理效率取 10%。</w:t>
            </w:r>
          </w:p>
          <w:p>
            <w:pPr>
              <w:widowControl/>
              <w:numPr>
                <w:ilvl w:val="0"/>
                <w:numId w:val="0"/>
              </w:num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排放口基本情况</w:t>
            </w:r>
          </w:p>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表4-</w:t>
            </w:r>
            <w:r>
              <w:rPr>
                <w:rFonts w:hint="eastAsia" w:ascii="Times New Roman" w:hAnsi="Times New Roman" w:eastAsia="宋体"/>
                <w:b/>
                <w:bCs/>
                <w:color w:val="auto"/>
                <w:szCs w:val="21"/>
              </w:rPr>
              <w:t>1</w:t>
            </w:r>
            <w:r>
              <w:rPr>
                <w:rFonts w:hint="eastAsia"/>
                <w:b/>
                <w:bCs/>
                <w:color w:val="auto"/>
                <w:szCs w:val="21"/>
                <w:lang w:val="en-US" w:eastAsia="zh-CN"/>
              </w:rPr>
              <w:t>7</w:t>
            </w:r>
            <w:r>
              <w:rPr>
                <w:rFonts w:ascii="Times New Roman" w:hAnsi="Times New Roman" w:eastAsia="宋体"/>
                <w:b/>
                <w:bCs/>
                <w:color w:val="auto"/>
                <w:szCs w:val="21"/>
              </w:rPr>
              <w:t xml:space="preserve"> 废水类别、污染物及污染治理设施信息表</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4"/>
              <w:gridCol w:w="569"/>
              <w:gridCol w:w="1178"/>
              <w:gridCol w:w="707"/>
              <w:gridCol w:w="652"/>
              <w:gridCol w:w="856"/>
              <w:gridCol w:w="689"/>
              <w:gridCol w:w="822"/>
              <w:gridCol w:w="878"/>
              <w:gridCol w:w="689"/>
              <w:gridCol w:w="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6"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序号</w:t>
                  </w:r>
                </w:p>
              </w:tc>
              <w:tc>
                <w:tcPr>
                  <w:tcW w:w="352"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废水类别</w:t>
                  </w:r>
                </w:p>
              </w:tc>
              <w:tc>
                <w:tcPr>
                  <w:tcW w:w="729"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污染物种类</w:t>
                  </w:r>
                </w:p>
              </w:tc>
              <w:tc>
                <w:tcPr>
                  <w:tcW w:w="437"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排放去向</w:t>
                  </w:r>
                </w:p>
              </w:tc>
              <w:tc>
                <w:tcPr>
                  <w:tcW w:w="403"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排放规律</w:t>
                  </w:r>
                </w:p>
              </w:tc>
              <w:tc>
                <w:tcPr>
                  <w:tcW w:w="1466" w:type="pct"/>
                  <w:gridSpan w:val="3"/>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污染治理措施</w:t>
                  </w:r>
                </w:p>
              </w:tc>
              <w:tc>
                <w:tcPr>
                  <w:tcW w:w="543"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排放口编号</w:t>
                  </w:r>
                </w:p>
              </w:tc>
              <w:tc>
                <w:tcPr>
                  <w:tcW w:w="426"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是否为可行技术</w:t>
                  </w:r>
                </w:p>
              </w:tc>
              <w:tc>
                <w:tcPr>
                  <w:tcW w:w="431" w:type="pct"/>
                  <w:vMerge w:val="restar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6" w:type="pct"/>
                  <w:vMerge w:val="continue"/>
                  <w:tcBorders>
                    <w:tl2br w:val="nil"/>
                    <w:tr2bl w:val="nil"/>
                  </w:tcBorders>
                  <w:vAlign w:val="center"/>
                </w:tcPr>
                <w:p>
                  <w:pPr>
                    <w:jc w:val="center"/>
                    <w:rPr>
                      <w:rFonts w:ascii="Times New Roman" w:hAnsi="Times New Roman" w:eastAsia="宋体"/>
                      <w:color w:val="auto"/>
                      <w:szCs w:val="21"/>
                    </w:rPr>
                  </w:pPr>
                </w:p>
              </w:tc>
              <w:tc>
                <w:tcPr>
                  <w:tcW w:w="352" w:type="pct"/>
                  <w:vMerge w:val="continue"/>
                  <w:tcBorders>
                    <w:tl2br w:val="nil"/>
                    <w:tr2bl w:val="nil"/>
                  </w:tcBorders>
                  <w:vAlign w:val="center"/>
                </w:tcPr>
                <w:p>
                  <w:pPr>
                    <w:jc w:val="center"/>
                    <w:rPr>
                      <w:rFonts w:ascii="Times New Roman" w:hAnsi="Times New Roman" w:eastAsia="宋体"/>
                      <w:color w:val="auto"/>
                      <w:kern w:val="0"/>
                      <w:szCs w:val="21"/>
                    </w:rPr>
                  </w:pPr>
                </w:p>
              </w:tc>
              <w:tc>
                <w:tcPr>
                  <w:tcW w:w="729" w:type="pct"/>
                  <w:vMerge w:val="continue"/>
                  <w:tcBorders>
                    <w:tl2br w:val="nil"/>
                    <w:tr2bl w:val="nil"/>
                  </w:tcBorders>
                  <w:vAlign w:val="center"/>
                </w:tcPr>
                <w:p>
                  <w:pPr>
                    <w:jc w:val="center"/>
                    <w:rPr>
                      <w:rFonts w:ascii="Times New Roman" w:hAnsi="Times New Roman" w:eastAsia="宋体"/>
                      <w:color w:val="auto"/>
                      <w:kern w:val="0"/>
                      <w:szCs w:val="21"/>
                    </w:rPr>
                  </w:pPr>
                </w:p>
              </w:tc>
              <w:tc>
                <w:tcPr>
                  <w:tcW w:w="437" w:type="pct"/>
                  <w:vMerge w:val="continue"/>
                  <w:tcBorders>
                    <w:tl2br w:val="nil"/>
                    <w:tr2bl w:val="nil"/>
                  </w:tcBorders>
                  <w:vAlign w:val="center"/>
                </w:tcPr>
                <w:p>
                  <w:pPr>
                    <w:jc w:val="center"/>
                    <w:rPr>
                      <w:rFonts w:ascii="Times New Roman" w:hAnsi="Times New Roman" w:eastAsia="宋体"/>
                      <w:color w:val="auto"/>
                      <w:szCs w:val="21"/>
                    </w:rPr>
                  </w:pPr>
                </w:p>
              </w:tc>
              <w:tc>
                <w:tcPr>
                  <w:tcW w:w="403" w:type="pct"/>
                  <w:vMerge w:val="continue"/>
                  <w:tcBorders>
                    <w:tl2br w:val="nil"/>
                    <w:tr2bl w:val="nil"/>
                  </w:tcBorders>
                  <w:vAlign w:val="center"/>
                </w:tcPr>
                <w:p>
                  <w:pPr>
                    <w:jc w:val="center"/>
                    <w:rPr>
                      <w:rFonts w:ascii="Times New Roman" w:hAnsi="Times New Roman" w:eastAsia="宋体"/>
                      <w:color w:val="auto"/>
                      <w:szCs w:val="21"/>
                    </w:rPr>
                  </w:pPr>
                </w:p>
              </w:tc>
              <w:tc>
                <w:tcPr>
                  <w:tcW w:w="530"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污染治理措施编号</w:t>
                  </w:r>
                </w:p>
              </w:tc>
              <w:tc>
                <w:tcPr>
                  <w:tcW w:w="426"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污染治理措施名称</w:t>
                  </w:r>
                </w:p>
              </w:tc>
              <w:tc>
                <w:tcPr>
                  <w:tcW w:w="509"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污染治理措施工艺</w:t>
                  </w:r>
                </w:p>
              </w:tc>
              <w:tc>
                <w:tcPr>
                  <w:tcW w:w="543" w:type="pct"/>
                  <w:vMerge w:val="continue"/>
                  <w:tcBorders>
                    <w:tl2br w:val="nil"/>
                    <w:tr2bl w:val="nil"/>
                  </w:tcBorders>
                  <w:vAlign w:val="center"/>
                </w:tcPr>
                <w:p>
                  <w:pPr>
                    <w:jc w:val="center"/>
                    <w:rPr>
                      <w:rFonts w:ascii="Times New Roman" w:hAnsi="Times New Roman" w:eastAsia="宋体"/>
                      <w:color w:val="auto"/>
                      <w:szCs w:val="21"/>
                    </w:rPr>
                  </w:pPr>
                </w:p>
              </w:tc>
              <w:tc>
                <w:tcPr>
                  <w:tcW w:w="426" w:type="pct"/>
                  <w:vMerge w:val="continue"/>
                  <w:tcBorders>
                    <w:tl2br w:val="nil"/>
                    <w:tr2bl w:val="nil"/>
                  </w:tcBorders>
                  <w:vAlign w:val="center"/>
                </w:tcPr>
                <w:p>
                  <w:pPr>
                    <w:jc w:val="center"/>
                    <w:rPr>
                      <w:rFonts w:ascii="Times New Roman" w:hAnsi="Times New Roman" w:eastAsia="宋体"/>
                      <w:color w:val="auto"/>
                      <w:szCs w:val="21"/>
                    </w:rPr>
                  </w:pPr>
                </w:p>
              </w:tc>
              <w:tc>
                <w:tcPr>
                  <w:tcW w:w="431"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6"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1</w:t>
                  </w:r>
                </w:p>
              </w:tc>
              <w:tc>
                <w:tcPr>
                  <w:tcW w:w="352"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生活污水</w:t>
                  </w:r>
                </w:p>
              </w:tc>
              <w:tc>
                <w:tcPr>
                  <w:tcW w:w="729"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pH、COD、SS、NH</w:t>
                  </w:r>
                  <w:r>
                    <w:rPr>
                      <w:rFonts w:ascii="Times New Roman" w:hAnsi="Times New Roman" w:eastAsia="宋体"/>
                      <w:color w:val="auto"/>
                      <w:szCs w:val="21"/>
                      <w:vertAlign w:val="subscript"/>
                    </w:rPr>
                    <w:t>3</w:t>
                  </w:r>
                  <w:r>
                    <w:rPr>
                      <w:rFonts w:ascii="Times New Roman" w:hAnsi="Times New Roman" w:eastAsia="宋体"/>
                      <w:color w:val="auto"/>
                      <w:szCs w:val="21"/>
                    </w:rPr>
                    <w:t>-N、TN、TP</w:t>
                  </w:r>
                </w:p>
              </w:tc>
              <w:tc>
                <w:tcPr>
                  <w:tcW w:w="437" w:type="pc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lang w:eastAsia="zh-CN"/>
                    </w:rPr>
                    <w:t>如皋市下原镇污水处理厂</w:t>
                  </w:r>
                </w:p>
              </w:tc>
              <w:tc>
                <w:tcPr>
                  <w:tcW w:w="403"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间断排放</w:t>
                  </w:r>
                </w:p>
              </w:tc>
              <w:tc>
                <w:tcPr>
                  <w:tcW w:w="530"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TW00</w:t>
                  </w:r>
                  <w:r>
                    <w:rPr>
                      <w:rFonts w:hint="eastAsia" w:ascii="Times New Roman" w:hAnsi="Times New Roman" w:eastAsia="宋体"/>
                      <w:color w:val="auto"/>
                      <w:szCs w:val="21"/>
                    </w:rPr>
                    <w:t>1</w:t>
                  </w:r>
                </w:p>
              </w:tc>
              <w:tc>
                <w:tcPr>
                  <w:tcW w:w="426"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化粪池</w:t>
                  </w:r>
                </w:p>
              </w:tc>
              <w:tc>
                <w:tcPr>
                  <w:tcW w:w="509"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厌氧发酵</w:t>
                  </w:r>
                </w:p>
              </w:tc>
              <w:tc>
                <w:tcPr>
                  <w:tcW w:w="543"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DW001</w:t>
                  </w:r>
                </w:p>
              </w:tc>
              <w:tc>
                <w:tcPr>
                  <w:tcW w:w="426"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是</w:t>
                  </w:r>
                </w:p>
              </w:tc>
              <w:tc>
                <w:tcPr>
                  <w:tcW w:w="431" w:type="pc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企业总排</w:t>
                  </w:r>
                </w:p>
              </w:tc>
            </w:tr>
          </w:tbl>
          <w:p>
            <w:pPr>
              <w:widowControl/>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（4）源强分析</w:t>
            </w:r>
          </w:p>
          <w:p>
            <w:pPr>
              <w:widowControl/>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eastAsia="zh-CN"/>
              </w:rPr>
              <w:t>根据企业介绍，企业地面铺设环氧地坪，车间地面经人工清扫即可，生产设备无需清洗，故无地面清洗用水。</w:t>
            </w:r>
          </w:p>
          <w:p>
            <w:pPr>
              <w:widowControl/>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①生活用水</w:t>
            </w:r>
            <w:bookmarkStart w:id="25" w:name="OLE_LINK22"/>
            <w:bookmarkStart w:id="26" w:name="OLE_LINK23"/>
          </w:p>
          <w:p>
            <w:pPr>
              <w:pStyle w:val="9"/>
              <w:adjustRightInd w:val="0"/>
              <w:snapToGrid w:val="0"/>
              <w:spacing w:line="360" w:lineRule="auto"/>
              <w:ind w:firstLine="470" w:firstLineChars="196"/>
              <w:rPr>
                <w:rFonts w:hint="eastAsia" w:ascii="Times New Roman" w:hAnsi="Times New Roman" w:eastAsia="宋体"/>
                <w:color w:val="auto"/>
                <w:kern w:val="0"/>
                <w:sz w:val="24"/>
                <w:lang w:eastAsia="zh-CN"/>
              </w:rPr>
            </w:pPr>
            <w:r>
              <w:rPr>
                <w:rFonts w:hint="eastAsia" w:ascii="Times New Roman" w:hAnsi="Times New Roman" w:eastAsia="宋体"/>
                <w:color w:val="auto"/>
                <w:sz w:val="24"/>
              </w:rPr>
              <w:t>本次</w:t>
            </w:r>
            <w:r>
              <w:rPr>
                <w:rFonts w:hint="eastAsia" w:ascii="Times New Roman" w:hAnsi="Times New Roman" w:eastAsia="宋体"/>
                <w:color w:val="auto"/>
                <w:sz w:val="24"/>
                <w:lang w:val="en-US" w:eastAsia="zh-CN"/>
              </w:rPr>
              <w:t>技改</w:t>
            </w:r>
            <w:r>
              <w:rPr>
                <w:rFonts w:hint="eastAsia" w:ascii="Times New Roman" w:hAnsi="Times New Roman" w:eastAsia="宋体"/>
                <w:color w:val="auto"/>
                <w:sz w:val="24"/>
              </w:rPr>
              <w:t>拟新增职工</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rPr>
              <w:t>0人，公司设食堂不设住宿，</w:t>
            </w:r>
            <w:r>
              <w:rPr>
                <w:rFonts w:hint="eastAsia" w:ascii="Times New Roman" w:hAnsi="Times New Roman" w:eastAsia="宋体"/>
                <w:color w:val="auto"/>
                <w:kern w:val="0"/>
                <w:sz w:val="24"/>
              </w:rPr>
              <w:t>根据</w:t>
            </w:r>
            <w:r>
              <w:rPr>
                <w:rFonts w:hint="eastAsia" w:ascii="Times New Roman" w:hAnsi="Times New Roman" w:cs="Times New Roman"/>
                <w:bCs/>
                <w:color w:val="auto"/>
                <w:sz w:val="24"/>
                <w:szCs w:val="24"/>
              </w:rPr>
              <w:t>《建筑给水排水设计标准》（GB50015-2019）</w:t>
            </w:r>
            <w:r>
              <w:rPr>
                <w:rFonts w:hint="eastAsia" w:ascii="Times New Roman" w:hAnsi="Times New Roman" w:eastAsia="宋体"/>
                <w:color w:val="auto"/>
                <w:kern w:val="0"/>
                <w:sz w:val="24"/>
              </w:rPr>
              <w:t>，居民生活用水量按照50L/人•天计，年工作3</w:t>
            </w:r>
            <w:r>
              <w:rPr>
                <w:rFonts w:hint="eastAsia" w:ascii="Times New Roman" w:hAnsi="Times New Roman" w:eastAsia="宋体"/>
                <w:color w:val="auto"/>
                <w:kern w:val="0"/>
                <w:sz w:val="24"/>
                <w:lang w:val="en-US" w:eastAsia="zh-CN"/>
              </w:rPr>
              <w:t>00</w:t>
            </w:r>
            <w:r>
              <w:rPr>
                <w:rFonts w:hint="eastAsia" w:ascii="Times New Roman" w:hAnsi="Times New Roman" w:eastAsia="宋体"/>
                <w:color w:val="auto"/>
                <w:kern w:val="0"/>
                <w:sz w:val="24"/>
              </w:rPr>
              <w:t>天，则生活用水量为</w:t>
            </w:r>
            <w:r>
              <w:rPr>
                <w:rFonts w:hint="eastAsia" w:ascii="Times New Roman" w:hAnsi="Times New Roman" w:eastAsia="宋体"/>
                <w:color w:val="auto"/>
                <w:kern w:val="0"/>
                <w:sz w:val="24"/>
                <w:lang w:val="en-US" w:eastAsia="zh-CN"/>
              </w:rPr>
              <w:t>150</w:t>
            </w:r>
            <w:r>
              <w:rPr>
                <w:rFonts w:hint="eastAsia" w:ascii="Times New Roman" w:hAnsi="Times New Roman" w:eastAsia="宋体"/>
                <w:color w:val="auto"/>
                <w:kern w:val="0"/>
                <w:sz w:val="24"/>
              </w:rPr>
              <w:t>t/a，产污系数按0.8计，则生活污水产生量为</w:t>
            </w:r>
            <w:r>
              <w:rPr>
                <w:rFonts w:hint="eastAsia" w:ascii="Times New Roman" w:hAnsi="Times New Roman" w:eastAsia="宋体"/>
                <w:color w:val="auto"/>
                <w:kern w:val="0"/>
                <w:sz w:val="24"/>
                <w:lang w:val="en-US" w:eastAsia="zh-CN"/>
              </w:rPr>
              <w:t>120</w:t>
            </w:r>
            <w:r>
              <w:rPr>
                <w:rFonts w:hint="eastAsia" w:ascii="Times New Roman" w:hAnsi="Times New Roman" w:eastAsia="宋体"/>
                <w:color w:val="auto"/>
                <w:kern w:val="0"/>
                <w:sz w:val="24"/>
              </w:rPr>
              <w:t>t/a</w:t>
            </w:r>
            <w:r>
              <w:rPr>
                <w:rFonts w:hint="eastAsia" w:ascii="Times New Roman" w:hAnsi="Times New Roman" w:eastAsia="宋体"/>
                <w:color w:val="auto"/>
                <w:kern w:val="0"/>
                <w:sz w:val="24"/>
                <w:lang w:eastAsia="zh-CN"/>
              </w:rPr>
              <w:t>，</w:t>
            </w:r>
            <w:r>
              <w:rPr>
                <w:rFonts w:hint="eastAsia" w:ascii="Times New Roman" w:hAnsi="Times New Roman" w:eastAsia="宋体"/>
                <w:color w:val="auto"/>
                <w:sz w:val="24"/>
              </w:rPr>
              <w:t>主要污染物为COD、SS、NH</w:t>
            </w:r>
            <w:r>
              <w:rPr>
                <w:rFonts w:hint="eastAsia" w:ascii="Times New Roman" w:hAnsi="Times New Roman" w:eastAsia="宋体"/>
                <w:color w:val="auto"/>
                <w:sz w:val="24"/>
                <w:vertAlign w:val="subscript"/>
              </w:rPr>
              <w:t>3</w:t>
            </w:r>
            <w:r>
              <w:rPr>
                <w:rFonts w:hint="eastAsia" w:ascii="Times New Roman" w:hAnsi="Times New Roman" w:eastAsia="宋体"/>
                <w:color w:val="auto"/>
                <w:sz w:val="24"/>
              </w:rPr>
              <w:t>-N、TP、TN</w:t>
            </w:r>
            <w:r>
              <w:rPr>
                <w:rFonts w:hint="eastAsia" w:ascii="Times New Roman" w:hAnsi="Times New Roman" w:eastAsia="宋体"/>
                <w:color w:val="auto"/>
                <w:sz w:val="24"/>
                <w:lang w:eastAsia="zh-CN"/>
              </w:rPr>
              <w:t>，根据《排放源统计调查产排污核算方法和系数手册》中生活源产排污系数手册，COD</w:t>
            </w:r>
            <w:r>
              <w:rPr>
                <w:rFonts w:hint="eastAsia" w:ascii="Times New Roman" w:hAnsi="Times New Roman" w:eastAsia="宋体"/>
                <w:color w:val="auto"/>
                <w:sz w:val="24"/>
                <w:lang w:val="en-US" w:eastAsia="zh-CN"/>
              </w:rPr>
              <w:t>产生浓度为</w:t>
            </w:r>
            <w:r>
              <w:rPr>
                <w:rFonts w:hint="eastAsia" w:ascii="Times New Roman" w:hAnsi="Times New Roman" w:eastAsia="宋体"/>
                <w:color w:val="auto"/>
                <w:sz w:val="24"/>
                <w:lang w:eastAsia="zh-CN"/>
              </w:rPr>
              <w:t>340mg/L，氨氮</w:t>
            </w:r>
            <w:r>
              <w:rPr>
                <w:rFonts w:hint="eastAsia" w:ascii="Times New Roman" w:hAnsi="Times New Roman" w:eastAsia="宋体"/>
                <w:color w:val="auto"/>
                <w:sz w:val="24"/>
                <w:lang w:val="en-US" w:eastAsia="zh-CN"/>
              </w:rPr>
              <w:t>产生浓度为</w:t>
            </w:r>
            <w:r>
              <w:rPr>
                <w:rFonts w:hint="eastAsia" w:ascii="Times New Roman" w:hAnsi="Times New Roman" w:eastAsia="宋体"/>
                <w:color w:val="auto"/>
                <w:sz w:val="24"/>
                <w:lang w:eastAsia="zh-CN"/>
              </w:rPr>
              <w:t>32.6mg/L，TP</w:t>
            </w:r>
            <w:r>
              <w:rPr>
                <w:rFonts w:hint="eastAsia" w:ascii="Times New Roman" w:hAnsi="Times New Roman" w:eastAsia="宋体"/>
                <w:color w:val="auto"/>
                <w:sz w:val="24"/>
                <w:lang w:val="en-US" w:eastAsia="zh-CN"/>
              </w:rPr>
              <w:t>产生浓度为</w:t>
            </w:r>
            <w:r>
              <w:rPr>
                <w:rFonts w:hint="eastAsia" w:ascii="Times New Roman" w:hAnsi="Times New Roman" w:eastAsia="宋体"/>
                <w:color w:val="auto"/>
                <w:sz w:val="24"/>
                <w:lang w:eastAsia="zh-CN"/>
              </w:rPr>
              <w:t>4.27mg/L，总氮</w:t>
            </w:r>
            <w:r>
              <w:rPr>
                <w:rFonts w:hint="eastAsia" w:ascii="Times New Roman" w:hAnsi="Times New Roman" w:eastAsia="宋体"/>
                <w:color w:val="auto"/>
                <w:sz w:val="24"/>
                <w:lang w:val="en-US" w:eastAsia="zh-CN"/>
              </w:rPr>
              <w:t>产生浓度为</w:t>
            </w:r>
            <w:r>
              <w:rPr>
                <w:rFonts w:hint="eastAsia" w:ascii="Times New Roman" w:hAnsi="Times New Roman" w:eastAsia="宋体"/>
                <w:color w:val="auto"/>
                <w:sz w:val="24"/>
                <w:lang w:eastAsia="zh-CN"/>
              </w:rPr>
              <w:t>44.8mg/L</w:t>
            </w:r>
            <w:r>
              <w:rPr>
                <w:rFonts w:hint="eastAsia" w:ascii="Times New Roman" w:hAnsi="Times New Roman" w:eastAsia="宋体"/>
                <w:color w:val="auto"/>
                <w:kern w:val="0"/>
                <w:sz w:val="24"/>
              </w:rPr>
              <w:t>。</w:t>
            </w:r>
          </w:p>
          <w:p>
            <w:pPr>
              <w:spacing w:line="360" w:lineRule="auto"/>
              <w:ind w:firstLine="480" w:firstLineChars="200"/>
              <w:jc w:val="left"/>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②切削液配制用水</w:t>
            </w:r>
          </w:p>
          <w:p>
            <w:pPr>
              <w:spacing w:line="360" w:lineRule="auto"/>
              <w:ind w:firstLine="480" w:firstLineChars="200"/>
              <w:jc w:val="left"/>
              <w:rPr>
                <w:rFonts w:hint="default" w:ascii="Times New Roman" w:hAnsi="Times New Roman" w:eastAsia="宋体"/>
                <w:color w:val="auto"/>
                <w:kern w:val="0"/>
                <w:sz w:val="24"/>
                <w:lang w:val="en-US" w:eastAsia="zh-CN"/>
              </w:rPr>
            </w:pPr>
            <w:r>
              <w:rPr>
                <w:rFonts w:hint="eastAsia"/>
                <w:color w:val="auto"/>
                <w:sz w:val="24"/>
                <w:szCs w:val="24"/>
                <w:lang w:val="en-US" w:eastAsia="zh-CN"/>
              </w:rPr>
              <w:t>切削液按照1:10的比例进行配制，全厂使用切削液0.5t/a，则配制用水需5t/a，切削液中含有易于变质的成分，长期使用后需进行更换，大部分配水在机械加工过程中蒸发损耗，其余少量水分进入废切削液中，该部分用水约 80%水挥发或随工件带走损耗，剩余1t/a水进入废切削液，委托有资质单位进行处理</w:t>
            </w:r>
          </w:p>
          <w:p>
            <w:pPr>
              <w:spacing w:line="360" w:lineRule="auto"/>
              <w:ind w:firstLine="480" w:firstLineChars="200"/>
              <w:jc w:val="left"/>
              <w:rPr>
                <w:rFonts w:hint="eastAsia" w:ascii="Times New Roman" w:hAnsi="Times New Roman" w:eastAsia="宋体"/>
                <w:color w:val="auto"/>
                <w:sz w:val="24"/>
              </w:rPr>
            </w:pPr>
            <w:r>
              <w:rPr>
                <w:rFonts w:hint="default" w:ascii="Times New Roman" w:hAnsi="Times New Roman" w:eastAsia="宋体"/>
                <w:color w:val="auto"/>
                <w:kern w:val="0"/>
                <w:sz w:val="24"/>
                <w:lang w:val="en-US" w:eastAsia="zh-CN"/>
              </w:rPr>
              <w:t>根据企业产品行业分类、原料存储、生产工艺等情况，对照《江苏省重点行业工业企业雨水排放环境管理办法(试行)》，其中“第</w:t>
            </w:r>
            <w:r>
              <w:rPr>
                <w:rFonts w:hint="eastAsia" w:ascii="Times New Roman" w:hAnsi="Times New Roman" w:eastAsia="宋体"/>
                <w:color w:val="auto"/>
                <w:kern w:val="0"/>
                <w:sz w:val="24"/>
                <w:lang w:val="en-US" w:eastAsia="zh-CN"/>
              </w:rPr>
              <w:t>二</w:t>
            </w:r>
            <w:r>
              <w:rPr>
                <w:rFonts w:hint="default" w:ascii="Times New Roman" w:hAnsi="Times New Roman" w:eastAsia="宋体"/>
                <w:color w:val="auto"/>
                <w:kern w:val="0"/>
                <w:sz w:val="24"/>
                <w:lang w:val="en-US" w:eastAsia="zh-CN"/>
              </w:rPr>
              <w:t>条 江苏省重点行业工业企业雨水收集和排放环境管理适用本办法。本办法所称重点行业工业企业，是指化工、电镀、原料药制造、</w:t>
            </w:r>
            <w:r>
              <w:rPr>
                <w:rFonts w:hint="eastAsia"/>
                <w:color w:val="auto"/>
                <w:kern w:val="0"/>
                <w:sz w:val="24"/>
                <w:lang w:val="en-US" w:eastAsia="zh-CN"/>
              </w:rPr>
              <w:t>冶炼</w:t>
            </w:r>
            <w:r>
              <w:rPr>
                <w:rFonts w:hint="default" w:ascii="Times New Roman" w:hAnsi="Times New Roman" w:eastAsia="宋体"/>
                <w:color w:val="auto"/>
                <w:kern w:val="0"/>
                <w:sz w:val="24"/>
                <w:lang w:val="en-US" w:eastAsia="zh-CN"/>
              </w:rPr>
              <w:t>、印染行业的工业企业，以下简称“工业企业”。第二十九条 造纸、制革、平板玻璃、水泥、钢铁等行业工业企业雨水收集和排放环境管理可参照本办法执行。”对照《国民经济行业分类》(GBT 4754-2017)，产品分类为C3484 机械零部件加工。企业不属于其中重点行业工业企业，亦不属于造纸、制革、平板玻璃水泥、钢铁行业，因此本项目不考虑初期雨水，仅设置雨水排放口</w:t>
            </w:r>
            <w:r>
              <w:rPr>
                <w:rFonts w:hint="eastAsia" w:ascii="Times New Roman" w:hAnsi="Times New Roman" w:eastAsia="宋体"/>
                <w:color w:val="auto"/>
                <w:kern w:val="0"/>
                <w:sz w:val="24"/>
                <w:lang w:val="en-US" w:eastAsia="zh-CN"/>
              </w:rPr>
              <w:t>。</w:t>
            </w:r>
          </w:p>
          <w:p>
            <w:pPr>
              <w:spacing w:line="360" w:lineRule="auto"/>
              <w:ind w:firstLine="480" w:firstLineChars="200"/>
              <w:jc w:val="left"/>
              <w:rPr>
                <w:rFonts w:ascii="Times New Roman" w:hAnsi="Times New Roman" w:eastAsia="宋体"/>
                <w:color w:val="auto"/>
                <w:sz w:val="24"/>
              </w:rPr>
            </w:pPr>
            <w:r>
              <w:rPr>
                <w:rFonts w:hint="eastAsia" w:ascii="Times New Roman" w:hAnsi="Times New Roman" w:eastAsia="宋体"/>
                <w:color w:val="auto"/>
                <w:sz w:val="24"/>
              </w:rPr>
              <w:t>（5）</w:t>
            </w:r>
            <w:r>
              <w:rPr>
                <w:rFonts w:ascii="Times New Roman" w:hAnsi="Times New Roman" w:eastAsia="宋体"/>
                <w:color w:val="auto"/>
                <w:sz w:val="24"/>
              </w:rPr>
              <w:t>废水治理设施可行性分析</w:t>
            </w:r>
          </w:p>
          <w:p>
            <w:pPr>
              <w:spacing w:line="360" w:lineRule="auto"/>
              <w:ind w:firstLine="480" w:firstLineChars="200"/>
              <w:jc w:val="left"/>
              <w:rPr>
                <w:rFonts w:ascii="Times New Roman" w:hAnsi="Times New Roman" w:eastAsia="宋体"/>
                <w:color w:val="auto"/>
                <w:kern w:val="44"/>
                <w:sz w:val="24"/>
              </w:rPr>
            </w:pPr>
            <w:r>
              <w:rPr>
                <w:rFonts w:hint="eastAsia" w:ascii="Times New Roman" w:hAnsi="Times New Roman" w:eastAsia="宋体"/>
                <w:color w:val="auto"/>
                <w:kern w:val="44"/>
                <w:sz w:val="24"/>
              </w:rPr>
              <w:t>①生活污水</w:t>
            </w:r>
          </w:p>
          <w:p>
            <w:pPr>
              <w:spacing w:line="360" w:lineRule="auto"/>
              <w:ind w:firstLine="480" w:firstLineChars="200"/>
              <w:jc w:val="left"/>
              <w:rPr>
                <w:rFonts w:ascii="Times New Roman" w:hAnsi="Times New Roman" w:eastAsia="宋体"/>
                <w:color w:val="auto"/>
                <w:kern w:val="44"/>
                <w:sz w:val="24"/>
                <w:lang w:val="zh-CN"/>
              </w:rPr>
            </w:pPr>
            <w:r>
              <w:rPr>
                <w:rFonts w:ascii="Times New Roman" w:hAnsi="Times New Roman" w:eastAsia="宋体"/>
                <w:color w:val="auto"/>
                <w:kern w:val="44"/>
                <w:sz w:val="24"/>
                <w:lang w:val="zh-CN"/>
              </w:rPr>
              <w:t>本项目生活废水污染物为COD、SS、氨氮、TP、</w:t>
            </w:r>
            <w:r>
              <w:rPr>
                <w:rFonts w:hint="eastAsia" w:ascii="Times New Roman" w:hAnsi="Times New Roman" w:eastAsia="宋体"/>
                <w:color w:val="auto"/>
                <w:kern w:val="44"/>
                <w:sz w:val="24"/>
              </w:rPr>
              <w:t>TN</w:t>
            </w:r>
            <w:r>
              <w:rPr>
                <w:rFonts w:ascii="Times New Roman" w:hAnsi="Times New Roman" w:eastAsia="宋体"/>
                <w:color w:val="auto"/>
                <w:kern w:val="44"/>
                <w:sz w:val="24"/>
                <w:lang w:val="zh-CN"/>
              </w:rPr>
              <w:t>。本项目拟将生活污水经化粪池预处理后接管</w:t>
            </w:r>
            <w:r>
              <w:rPr>
                <w:rFonts w:hint="eastAsia" w:ascii="Times New Roman" w:hAnsi="Times New Roman" w:eastAsia="宋体"/>
                <w:color w:val="auto"/>
                <w:kern w:val="44"/>
                <w:sz w:val="24"/>
                <w:lang w:val="zh-CN"/>
              </w:rPr>
              <w:t>如皋市下原镇污水处理厂</w:t>
            </w:r>
            <w:r>
              <w:rPr>
                <w:rFonts w:ascii="Times New Roman" w:hAnsi="Times New Roman" w:eastAsia="宋体"/>
                <w:color w:val="auto"/>
                <w:kern w:val="44"/>
                <w:sz w:val="24"/>
                <w:lang w:val="zh-CN"/>
              </w:rPr>
              <w:t>。</w:t>
            </w:r>
          </w:p>
          <w:p>
            <w:pPr>
              <w:spacing w:line="360" w:lineRule="auto"/>
              <w:ind w:firstLine="480" w:firstLineChars="200"/>
              <w:jc w:val="left"/>
              <w:rPr>
                <w:rFonts w:hint="default" w:ascii="Times New Roman" w:hAnsi="Times New Roman" w:eastAsia="宋体"/>
                <w:color w:val="auto"/>
                <w:kern w:val="44"/>
                <w:sz w:val="24"/>
                <w:lang w:val="zh-CN"/>
              </w:rPr>
            </w:pPr>
            <w:r>
              <w:rPr>
                <w:rFonts w:hint="default" w:ascii="Times New Roman" w:hAnsi="Times New Roman" w:eastAsia="宋体"/>
                <w:color w:val="auto"/>
                <w:kern w:val="44"/>
                <w:sz w:val="24"/>
                <w:lang w:val="zh-CN"/>
              </w:rPr>
              <w:t>化粪池原理</w:t>
            </w:r>
            <w:r>
              <w:rPr>
                <w:rFonts w:hint="eastAsia" w:ascii="Times New Roman" w:hAnsi="Times New Roman" w:eastAsia="宋体"/>
                <w:color w:val="auto"/>
                <w:kern w:val="44"/>
                <w:sz w:val="24"/>
                <w:lang w:val="zh-CN"/>
              </w:rPr>
              <w:t>：</w:t>
            </w:r>
            <w:r>
              <w:rPr>
                <w:rFonts w:hint="default" w:ascii="Times New Roman" w:hAnsi="Times New Roman" w:eastAsia="宋体"/>
                <w:color w:val="auto"/>
                <w:kern w:val="44"/>
                <w:sz w:val="24"/>
                <w:lang w:val="zh-CN"/>
              </w:rPr>
              <w:t>化粪池是一种利用沉淀和厌发酵的原理，去除生活污水中悬浮性有机物的处理设施，属于初级的过渡型生活处理构筑物。本项目使用两格化粪池，两格式化粪池是由两个相互连通的密封粪池组成，粪便由进粪管进入第一池依次顺流至第二池、第三池，其各池的主要原理:</w:t>
            </w:r>
          </w:p>
          <w:p>
            <w:pPr>
              <w:spacing w:line="360" w:lineRule="auto"/>
              <w:ind w:firstLine="480" w:firstLineChars="200"/>
              <w:jc w:val="left"/>
              <w:rPr>
                <w:rFonts w:hint="default" w:ascii="Times New Roman" w:hAnsi="Times New Roman" w:eastAsia="宋体"/>
                <w:color w:val="auto"/>
                <w:kern w:val="44"/>
                <w:sz w:val="24"/>
                <w:lang w:val="zh-CN"/>
              </w:rPr>
            </w:pPr>
            <w:r>
              <w:rPr>
                <w:rFonts w:hint="default" w:ascii="Times New Roman" w:hAnsi="Times New Roman" w:eastAsia="宋体"/>
                <w:color w:val="auto"/>
                <w:kern w:val="44"/>
                <w:sz w:val="24"/>
                <w:lang w:val="zh-CN"/>
              </w:rPr>
              <w:t>第一池</w:t>
            </w:r>
            <w:r>
              <w:rPr>
                <w:rFonts w:hint="eastAsia" w:ascii="Times New Roman" w:hAnsi="Times New Roman" w:eastAsia="宋体"/>
                <w:color w:val="auto"/>
                <w:kern w:val="44"/>
                <w:sz w:val="24"/>
                <w:lang w:val="zh-CN"/>
              </w:rPr>
              <w:t>：</w:t>
            </w:r>
            <w:r>
              <w:rPr>
                <w:rFonts w:hint="eastAsia" w:ascii="Times New Roman" w:hAnsi="Times New Roman" w:eastAsia="宋体"/>
                <w:color w:val="auto"/>
                <w:kern w:val="44"/>
                <w:sz w:val="24"/>
                <w:lang w:val="zh-CN" w:eastAsia="zh-CN"/>
              </w:rPr>
              <w:t>主要截留含虫卵较多的粪便，粪便经发酵分解，松散的粪块因发酵膨胀而浮升，比重大的下沉，因而形成上浮的粪皮、中层的粪液和下沉的粪渣。利用寄生虫的比重大于粪尿混合液的原理使其自然沉降于化粪池底部。利用粪液的浸泡和翻动化解粪块使其液化并截留粪渣于池底。厌氧发酵：化粪池的密闭厌氧环境，可以分解蛋白型有机物，并产生氨等物质，这些物质具有杀灭寄生虫卵及病菌的作用</w:t>
            </w:r>
            <w:r>
              <w:rPr>
                <w:rFonts w:hint="default" w:ascii="Times New Roman" w:hAnsi="Times New Roman" w:eastAsia="宋体"/>
                <w:color w:val="auto"/>
                <w:kern w:val="44"/>
                <w:sz w:val="24"/>
                <w:lang w:val="zh-CN"/>
              </w:rPr>
              <w:t>。</w:t>
            </w:r>
          </w:p>
          <w:p>
            <w:pPr>
              <w:spacing w:line="360" w:lineRule="auto"/>
              <w:ind w:firstLine="480" w:firstLineChars="200"/>
              <w:jc w:val="left"/>
              <w:rPr>
                <w:rFonts w:hint="default" w:ascii="Times New Roman" w:hAnsi="Times New Roman" w:eastAsia="宋体"/>
                <w:color w:val="auto"/>
                <w:kern w:val="44"/>
                <w:sz w:val="24"/>
                <w:lang w:val="zh-CN"/>
              </w:rPr>
            </w:pPr>
            <w:r>
              <w:rPr>
                <w:rFonts w:hint="default" w:ascii="Times New Roman" w:hAnsi="Times New Roman" w:eastAsia="宋体"/>
                <w:color w:val="auto"/>
                <w:kern w:val="44"/>
                <w:sz w:val="24"/>
                <w:lang w:val="zh-CN"/>
              </w:rPr>
              <w:t>第二池</w:t>
            </w:r>
            <w:r>
              <w:rPr>
                <w:rFonts w:hint="eastAsia" w:ascii="Times New Roman" w:hAnsi="Times New Roman" w:eastAsia="宋体"/>
                <w:color w:val="auto"/>
                <w:kern w:val="44"/>
                <w:sz w:val="24"/>
                <w:lang w:val="zh-CN"/>
              </w:rPr>
              <w:t>：</w:t>
            </w:r>
            <w:r>
              <w:rPr>
                <w:rFonts w:hint="default" w:ascii="Times New Roman" w:hAnsi="Times New Roman" w:eastAsia="宋体"/>
                <w:color w:val="auto"/>
                <w:kern w:val="44"/>
                <w:sz w:val="24"/>
                <w:lang w:val="zh-CN"/>
              </w:rPr>
              <w:t>进一步发酵、沉淀作用，与第一池相比，第二池的粪皮和粪渣的数量减少，因此发酵分解的程度较低，由于没有新粪便的进入，</w:t>
            </w:r>
            <w:r>
              <w:rPr>
                <w:rFonts w:hint="eastAsia"/>
                <w:color w:val="auto"/>
                <w:kern w:val="44"/>
                <w:sz w:val="24"/>
                <w:lang w:val="en-US" w:eastAsia="zh-CN"/>
              </w:rPr>
              <w:t>粪</w:t>
            </w:r>
            <w:r>
              <w:rPr>
                <w:rFonts w:hint="default" w:ascii="Times New Roman" w:hAnsi="Times New Roman" w:eastAsia="宋体"/>
                <w:color w:val="auto"/>
                <w:kern w:val="44"/>
                <w:sz w:val="24"/>
                <w:lang w:val="zh-CN"/>
              </w:rPr>
              <w:t>液处于比较静止状态，这有利于漂浮在粪池中的虫卵继续下沉。</w:t>
            </w:r>
          </w:p>
          <w:p>
            <w:pPr>
              <w:spacing w:line="360" w:lineRule="auto"/>
              <w:ind w:firstLine="480" w:firstLineChars="200"/>
              <w:jc w:val="left"/>
              <w:rPr>
                <w:rFonts w:ascii="Times New Roman" w:hAnsi="Times New Roman" w:eastAsia="宋体"/>
                <w:color w:val="auto"/>
                <w:kern w:val="44"/>
                <w:sz w:val="24"/>
                <w:lang w:val="zh-CN"/>
              </w:rPr>
            </w:pPr>
            <w:r>
              <w:rPr>
                <w:rFonts w:hint="default" w:ascii="Times New Roman" w:hAnsi="Times New Roman" w:eastAsia="宋体"/>
                <w:color w:val="auto"/>
                <w:kern w:val="44"/>
                <w:sz w:val="24"/>
                <w:lang w:val="zh-CN"/>
              </w:rPr>
              <w:t>第三池</w:t>
            </w:r>
            <w:r>
              <w:rPr>
                <w:rFonts w:hint="eastAsia" w:ascii="Times New Roman" w:hAnsi="Times New Roman" w:eastAsia="宋体"/>
                <w:color w:val="auto"/>
                <w:kern w:val="44"/>
                <w:sz w:val="24"/>
                <w:lang w:val="zh-CN"/>
              </w:rPr>
              <w:t>：</w:t>
            </w:r>
            <w:r>
              <w:rPr>
                <w:rFonts w:hint="default" w:ascii="Times New Roman" w:hAnsi="Times New Roman" w:eastAsia="宋体"/>
                <w:color w:val="auto"/>
                <w:kern w:val="44"/>
                <w:sz w:val="24"/>
                <w:lang w:val="zh-CN"/>
              </w:rPr>
              <w:t>主要起暂时储存已基本无害的粪液作用。</w:t>
            </w:r>
          </w:p>
          <w:p>
            <w:pPr>
              <w:spacing w:line="360" w:lineRule="auto"/>
              <w:ind w:firstLine="480" w:firstLineChars="200"/>
              <w:jc w:val="left"/>
              <w:rPr>
                <w:rFonts w:ascii="Times New Roman" w:hAnsi="Times New Roman" w:eastAsia="宋体"/>
                <w:color w:val="auto"/>
                <w:kern w:val="44"/>
                <w:sz w:val="24"/>
                <w:lang w:val="zh-CN"/>
              </w:rPr>
            </w:pPr>
            <w:r>
              <w:rPr>
                <w:rFonts w:hint="eastAsia" w:ascii="Times New Roman" w:hAnsi="Times New Roman" w:eastAsia="宋体" w:cs="Times New Roman"/>
                <w:color w:val="auto"/>
                <w:kern w:val="44"/>
                <w:sz w:val="24"/>
                <w:szCs w:val="24"/>
                <w:lang w:val="en-US" w:eastAsia="zh-CN"/>
              </w:rPr>
              <w:t>全厂</w:t>
            </w:r>
            <w:r>
              <w:rPr>
                <w:rFonts w:hint="eastAsia" w:ascii="Times New Roman" w:hAnsi="Times New Roman" w:eastAsia="宋体" w:cs="Times New Roman"/>
                <w:color w:val="auto"/>
                <w:kern w:val="44"/>
                <w:sz w:val="24"/>
                <w:szCs w:val="24"/>
                <w:lang w:val="zh-CN"/>
              </w:rPr>
              <w:t>生活污水</w:t>
            </w:r>
            <w:r>
              <w:rPr>
                <w:rFonts w:hint="default" w:ascii="Times New Roman" w:hAnsi="Times New Roman" w:eastAsia="宋体" w:cs="Times New Roman"/>
                <w:color w:val="auto"/>
                <w:kern w:val="44"/>
                <w:sz w:val="24"/>
                <w:szCs w:val="24"/>
                <w:lang w:val="en-US" w:eastAsia="zh-CN"/>
              </w:rPr>
              <w:t>为</w:t>
            </w:r>
            <w:r>
              <w:rPr>
                <w:rFonts w:hint="eastAsia" w:ascii="Times New Roman" w:hAnsi="Times New Roman" w:eastAsia="宋体" w:cs="Times New Roman"/>
                <w:color w:val="auto"/>
                <w:kern w:val="44"/>
                <w:sz w:val="24"/>
                <w:szCs w:val="24"/>
                <w:lang w:val="en-US" w:eastAsia="zh-CN"/>
              </w:rPr>
              <w:t>851</w:t>
            </w:r>
            <w:r>
              <w:rPr>
                <w:rFonts w:hint="default" w:ascii="Times New Roman" w:hAnsi="Times New Roman" w:eastAsia="宋体" w:cs="Times New Roman"/>
                <w:color w:val="auto"/>
                <w:kern w:val="44"/>
                <w:sz w:val="24"/>
                <w:szCs w:val="24"/>
                <w:lang w:val="en-US" w:eastAsia="zh-CN"/>
              </w:rPr>
              <w:t>m</w:t>
            </w:r>
            <w:r>
              <w:rPr>
                <w:rFonts w:hint="default" w:ascii="Times New Roman" w:hAnsi="Times New Roman" w:eastAsia="宋体" w:cs="Times New Roman"/>
                <w:color w:val="auto"/>
                <w:kern w:val="44"/>
                <w:sz w:val="24"/>
                <w:szCs w:val="24"/>
                <w:vertAlign w:val="superscript"/>
                <w:lang w:val="en-US" w:eastAsia="zh-CN"/>
              </w:rPr>
              <w:t>3</w:t>
            </w:r>
            <w:r>
              <w:rPr>
                <w:rFonts w:hint="default" w:ascii="Times New Roman" w:hAnsi="Times New Roman" w:eastAsia="宋体" w:cs="Times New Roman"/>
                <w:color w:val="auto"/>
                <w:kern w:val="44"/>
                <w:sz w:val="24"/>
                <w:szCs w:val="24"/>
                <w:lang w:val="en-US" w:eastAsia="zh-CN"/>
              </w:rPr>
              <w:t>，平均每天产生</w:t>
            </w:r>
            <w:r>
              <w:rPr>
                <w:rFonts w:hint="eastAsia" w:ascii="Times New Roman" w:hAnsi="Times New Roman" w:eastAsia="宋体" w:cs="Times New Roman"/>
                <w:color w:val="auto"/>
                <w:kern w:val="44"/>
                <w:sz w:val="24"/>
                <w:szCs w:val="24"/>
                <w:lang w:val="en-US" w:eastAsia="zh-CN"/>
              </w:rPr>
              <w:t>生活污水2.84</w:t>
            </w:r>
            <w:r>
              <w:rPr>
                <w:rFonts w:hint="default" w:ascii="Times New Roman" w:hAnsi="Times New Roman" w:eastAsia="宋体" w:cs="Times New Roman"/>
                <w:color w:val="auto"/>
                <w:kern w:val="44"/>
                <w:sz w:val="24"/>
                <w:szCs w:val="24"/>
                <w:lang w:val="en-US" w:eastAsia="zh-CN"/>
              </w:rPr>
              <w:t>m</w:t>
            </w:r>
            <w:r>
              <w:rPr>
                <w:rFonts w:hint="default" w:ascii="Times New Roman" w:hAnsi="Times New Roman" w:eastAsia="宋体" w:cs="Times New Roman"/>
                <w:color w:val="auto"/>
                <w:kern w:val="44"/>
                <w:sz w:val="24"/>
                <w:szCs w:val="24"/>
                <w:vertAlign w:val="superscript"/>
                <w:lang w:val="en-US" w:eastAsia="zh-CN"/>
              </w:rPr>
              <w:t>3</w:t>
            </w:r>
            <w:r>
              <w:rPr>
                <w:rFonts w:hint="default" w:ascii="Times New Roman" w:hAnsi="Times New Roman" w:eastAsia="宋体" w:cs="Times New Roman"/>
                <w:color w:val="auto"/>
                <w:kern w:val="44"/>
                <w:sz w:val="24"/>
                <w:szCs w:val="24"/>
                <w:lang w:val="en-US" w:eastAsia="zh-CN"/>
              </w:rPr>
              <w:t>，本项目建设的</w:t>
            </w:r>
            <w:r>
              <w:rPr>
                <w:rFonts w:hint="eastAsia" w:ascii="Times New Roman" w:hAnsi="Times New Roman" w:eastAsia="宋体" w:cs="Times New Roman"/>
                <w:color w:val="auto"/>
                <w:kern w:val="44"/>
                <w:sz w:val="24"/>
                <w:szCs w:val="24"/>
                <w:lang w:val="en-US" w:eastAsia="zh-CN"/>
              </w:rPr>
              <w:t>20</w:t>
            </w:r>
            <w:r>
              <w:rPr>
                <w:rFonts w:hint="default" w:ascii="Times New Roman" w:hAnsi="Times New Roman" w:eastAsia="宋体" w:cs="Times New Roman"/>
                <w:color w:val="auto"/>
                <w:kern w:val="44"/>
                <w:sz w:val="24"/>
                <w:szCs w:val="24"/>
                <w:lang w:val="en-US" w:eastAsia="zh-CN"/>
              </w:rPr>
              <w:t>m</w:t>
            </w:r>
            <w:r>
              <w:rPr>
                <w:rFonts w:hint="default" w:ascii="Times New Roman" w:hAnsi="Times New Roman" w:eastAsia="宋体" w:cs="Times New Roman"/>
                <w:color w:val="auto"/>
                <w:kern w:val="44"/>
                <w:sz w:val="24"/>
                <w:szCs w:val="24"/>
                <w:vertAlign w:val="superscript"/>
                <w:lang w:val="en-US" w:eastAsia="zh-CN"/>
              </w:rPr>
              <w:t>3</w:t>
            </w:r>
            <w:r>
              <w:rPr>
                <w:rFonts w:hint="default" w:ascii="Times New Roman" w:hAnsi="Times New Roman" w:eastAsia="宋体" w:cs="Times New Roman"/>
                <w:color w:val="auto"/>
                <w:kern w:val="44"/>
                <w:sz w:val="24"/>
                <w:szCs w:val="24"/>
                <w:lang w:val="en-US" w:eastAsia="zh-CN"/>
              </w:rPr>
              <w:t>的化粪池可以满足处理要求</w:t>
            </w:r>
            <w:r>
              <w:rPr>
                <w:rFonts w:hint="eastAsia" w:ascii="Times New Roman" w:hAnsi="Times New Roman" w:eastAsia="宋体" w:cs="Times New Roman"/>
                <w:color w:val="auto"/>
                <w:kern w:val="44"/>
                <w:sz w:val="24"/>
                <w:szCs w:val="24"/>
                <w:lang w:val="en-US" w:eastAsia="zh-CN"/>
              </w:rPr>
              <w:t>。</w:t>
            </w:r>
          </w:p>
          <w:p>
            <w:pPr>
              <w:spacing w:line="360" w:lineRule="auto"/>
              <w:ind w:firstLine="480" w:firstLineChars="200"/>
              <w:jc w:val="left"/>
              <w:rPr>
                <w:rFonts w:ascii="Times New Roman" w:hAnsi="Times New Roman" w:eastAsia="宋体"/>
                <w:color w:val="auto"/>
                <w:sz w:val="24"/>
              </w:rPr>
            </w:pPr>
            <w:r>
              <w:rPr>
                <w:rFonts w:hint="eastAsia" w:ascii="Times New Roman" w:hAnsi="Times New Roman" w:eastAsia="宋体"/>
                <w:color w:val="auto"/>
                <w:sz w:val="24"/>
              </w:rPr>
              <w:t>②</w:t>
            </w:r>
            <w:r>
              <w:rPr>
                <w:rFonts w:ascii="Times New Roman" w:hAnsi="Times New Roman" w:eastAsia="宋体"/>
                <w:color w:val="auto"/>
                <w:sz w:val="24"/>
              </w:rPr>
              <w:t>接管可行性分析</w:t>
            </w:r>
          </w:p>
          <w:p>
            <w:pPr>
              <w:spacing w:line="360" w:lineRule="auto"/>
              <w:ind w:firstLine="480"/>
              <w:rPr>
                <w:rFonts w:ascii="Times New Roman" w:hAnsi="Times New Roman" w:eastAsia="宋体"/>
                <w:color w:val="auto"/>
                <w:sz w:val="24"/>
              </w:rPr>
            </w:pPr>
            <w:r>
              <w:rPr>
                <w:rFonts w:ascii="Times New Roman" w:hAnsi="Times New Roman" w:eastAsia="宋体"/>
                <w:b/>
                <w:bCs/>
                <w:color w:val="auto"/>
                <w:sz w:val="24"/>
              </w:rPr>
              <w:t>规模上的可行性</w:t>
            </w:r>
          </w:p>
          <w:p>
            <w:pPr>
              <w:spacing w:line="360" w:lineRule="auto"/>
              <w:ind w:firstLine="480"/>
              <w:rPr>
                <w:rFonts w:hint="default" w:ascii="Times New Roman" w:hAnsi="Times New Roman" w:eastAsia="宋体"/>
                <w:b/>
                <w:bCs/>
                <w:color w:val="auto"/>
                <w:sz w:val="24"/>
                <w:lang w:val="en-US" w:eastAsia="zh-CN"/>
              </w:rPr>
            </w:pPr>
            <w:r>
              <w:rPr>
                <w:rFonts w:hint="eastAsia" w:ascii="Times New Roman" w:hAnsi="Times New Roman" w:eastAsia="宋体"/>
                <w:b w:val="0"/>
                <w:bCs w:val="0"/>
                <w:color w:val="auto"/>
                <w:sz w:val="24"/>
                <w:lang w:val="en-US" w:eastAsia="zh-CN"/>
              </w:rPr>
              <w:t>如皋市下原镇污水处理厂设计处理能力为日处理污水</w:t>
            </w:r>
            <w:r>
              <w:rPr>
                <w:rFonts w:hint="default" w:ascii="Times New Roman" w:hAnsi="Times New Roman" w:eastAsia="宋体"/>
                <w:b w:val="0"/>
                <w:bCs w:val="0"/>
                <w:color w:val="auto"/>
                <w:sz w:val="24"/>
                <w:lang w:val="en-US" w:eastAsia="zh-CN"/>
              </w:rPr>
              <w:t>0.2</w:t>
            </w:r>
            <w:r>
              <w:rPr>
                <w:rFonts w:hint="eastAsia" w:ascii="Times New Roman" w:hAnsi="Times New Roman" w:eastAsia="宋体"/>
                <w:b w:val="0"/>
                <w:bCs w:val="0"/>
                <w:color w:val="auto"/>
                <w:sz w:val="24"/>
                <w:lang w:val="en-US" w:eastAsia="zh-CN"/>
              </w:rPr>
              <w:t>万</w:t>
            </w:r>
            <w:r>
              <w:rPr>
                <w:rFonts w:hint="default" w:ascii="Times New Roman" w:hAnsi="Times New Roman" w:eastAsia="宋体"/>
                <w:b w:val="0"/>
                <w:bCs w:val="0"/>
                <w:color w:val="auto"/>
                <w:sz w:val="24"/>
                <w:lang w:val="en-US" w:eastAsia="zh-CN"/>
              </w:rPr>
              <w:t>m</w:t>
            </w:r>
            <w:r>
              <w:rPr>
                <w:rFonts w:hint="default" w:ascii="Times New Roman" w:hAnsi="Times New Roman" w:eastAsia="宋体"/>
                <w:b w:val="0"/>
                <w:bCs w:val="0"/>
                <w:color w:val="auto"/>
                <w:sz w:val="24"/>
                <w:vertAlign w:val="superscript"/>
                <w:lang w:val="en-US" w:eastAsia="zh-CN"/>
              </w:rPr>
              <w:t>3</w:t>
            </w:r>
            <w:r>
              <w:rPr>
                <w:rFonts w:hint="default" w:ascii="Times New Roman" w:hAnsi="Times New Roman" w:eastAsia="宋体"/>
                <w:b w:val="0"/>
                <w:bCs w:val="0"/>
                <w:color w:val="auto"/>
                <w:sz w:val="24"/>
                <w:lang w:val="en-US" w:eastAsia="zh-CN"/>
              </w:rPr>
              <w:t>/d</w:t>
            </w:r>
            <w:r>
              <w:rPr>
                <w:rFonts w:hint="eastAsia" w:ascii="Times New Roman" w:hAnsi="Times New Roman" w:eastAsia="宋体"/>
                <w:b w:val="0"/>
                <w:bCs w:val="0"/>
                <w:color w:val="auto"/>
                <w:sz w:val="24"/>
                <w:lang w:val="en-US" w:eastAsia="zh-CN"/>
              </w:rPr>
              <w:t>，目前下原镇污水处理厂处理能力为日处理污水</w:t>
            </w:r>
            <w:r>
              <w:rPr>
                <w:rFonts w:hint="default" w:ascii="Times New Roman" w:hAnsi="Times New Roman" w:eastAsia="宋体"/>
                <w:b w:val="0"/>
                <w:bCs w:val="0"/>
                <w:color w:val="auto"/>
                <w:sz w:val="24"/>
                <w:lang w:val="en-US" w:eastAsia="zh-CN"/>
              </w:rPr>
              <w:t>0.15</w:t>
            </w:r>
            <w:r>
              <w:rPr>
                <w:rFonts w:hint="eastAsia" w:ascii="Times New Roman" w:hAnsi="Times New Roman" w:eastAsia="宋体"/>
                <w:b w:val="0"/>
                <w:bCs w:val="0"/>
                <w:color w:val="auto"/>
                <w:sz w:val="24"/>
                <w:lang w:val="en-US" w:eastAsia="zh-CN"/>
              </w:rPr>
              <w:t>万</w:t>
            </w:r>
            <w:r>
              <w:rPr>
                <w:rFonts w:hint="default" w:ascii="Times New Roman" w:hAnsi="Times New Roman" w:eastAsia="宋体"/>
                <w:b w:val="0"/>
                <w:bCs w:val="0"/>
                <w:color w:val="auto"/>
                <w:sz w:val="24"/>
                <w:lang w:val="en-US" w:eastAsia="zh-CN"/>
              </w:rPr>
              <w:t>m</w:t>
            </w:r>
            <w:r>
              <w:rPr>
                <w:rFonts w:hint="default" w:ascii="Times New Roman" w:hAnsi="Times New Roman" w:eastAsia="宋体"/>
                <w:b w:val="0"/>
                <w:bCs w:val="0"/>
                <w:color w:val="auto"/>
                <w:sz w:val="24"/>
                <w:vertAlign w:val="superscript"/>
                <w:lang w:val="en-US" w:eastAsia="zh-CN"/>
              </w:rPr>
              <w:t>3</w:t>
            </w:r>
            <w:r>
              <w:rPr>
                <w:rFonts w:hint="default" w:ascii="Times New Roman" w:hAnsi="Times New Roman" w:eastAsia="宋体"/>
                <w:b w:val="0"/>
                <w:bCs w:val="0"/>
                <w:color w:val="auto"/>
                <w:sz w:val="24"/>
                <w:lang w:val="en-US" w:eastAsia="zh-CN"/>
              </w:rPr>
              <w:t>/d</w:t>
            </w:r>
            <w:r>
              <w:rPr>
                <w:rFonts w:hint="eastAsia" w:ascii="Times New Roman" w:hAnsi="Times New Roman" w:eastAsia="宋体"/>
                <w:b w:val="0"/>
                <w:bCs w:val="0"/>
                <w:color w:val="auto"/>
                <w:sz w:val="24"/>
                <w:lang w:val="en-US" w:eastAsia="zh-CN"/>
              </w:rPr>
              <w:t>，</w:t>
            </w:r>
            <w:r>
              <w:rPr>
                <w:rFonts w:ascii="宋体" w:hAnsi="宋体" w:eastAsia="宋体" w:cs="宋体"/>
                <w:color w:val="auto"/>
                <w:sz w:val="24"/>
                <w:szCs w:val="24"/>
              </w:rPr>
              <w:t>尚有</w:t>
            </w:r>
            <w:r>
              <w:rPr>
                <w:rFonts w:ascii="Times New Roman" w:hAnsi="Times New Roman" w:eastAsia="宋体" w:cs="宋体"/>
                <w:color w:val="auto"/>
                <w:sz w:val="24"/>
                <w:szCs w:val="24"/>
              </w:rPr>
              <w:t>500</w:t>
            </w:r>
            <w:r>
              <w:rPr>
                <w:rFonts w:hint="default" w:ascii="Times New Roman" w:hAnsi="Times New Roman" w:eastAsia="宋体"/>
                <w:b w:val="0"/>
                <w:bCs w:val="0"/>
                <w:color w:val="auto"/>
                <w:sz w:val="24"/>
                <w:lang w:val="en-US" w:eastAsia="zh-CN"/>
              </w:rPr>
              <w:t>m</w:t>
            </w:r>
            <w:r>
              <w:rPr>
                <w:rFonts w:hint="default" w:ascii="Times New Roman" w:hAnsi="Times New Roman" w:eastAsia="宋体"/>
                <w:b w:val="0"/>
                <w:bCs w:val="0"/>
                <w:color w:val="auto"/>
                <w:sz w:val="24"/>
                <w:vertAlign w:val="superscript"/>
                <w:lang w:val="en-US" w:eastAsia="zh-CN"/>
              </w:rPr>
              <w:t>3</w:t>
            </w:r>
            <w:r>
              <w:rPr>
                <w:rFonts w:hint="default" w:ascii="Times New Roman" w:hAnsi="Times New Roman" w:eastAsia="宋体"/>
                <w:b w:val="0"/>
                <w:bCs w:val="0"/>
                <w:color w:val="auto"/>
                <w:sz w:val="24"/>
                <w:lang w:val="en-US" w:eastAsia="zh-CN"/>
              </w:rPr>
              <w:t>/d</w:t>
            </w:r>
            <w:r>
              <w:rPr>
                <w:rFonts w:ascii="宋体" w:hAnsi="宋体" w:eastAsia="宋体" w:cs="宋体"/>
                <w:color w:val="auto"/>
                <w:sz w:val="24"/>
                <w:szCs w:val="24"/>
              </w:rPr>
              <w:t>的余量</w:t>
            </w:r>
            <w:r>
              <w:rPr>
                <w:rFonts w:hint="eastAsia" w:ascii="Times New Roman" w:hAnsi="Times New Roman" w:eastAsia="宋体"/>
                <w:b w:val="0"/>
                <w:bCs w:val="0"/>
                <w:color w:val="auto"/>
                <w:sz w:val="24"/>
                <w:lang w:val="en-US" w:eastAsia="zh-CN"/>
              </w:rPr>
              <w:t>。根据工程分析，本项目废水量为0.4</w:t>
            </w:r>
            <w:r>
              <w:rPr>
                <w:rFonts w:hint="default" w:ascii="Times New Roman" w:hAnsi="Times New Roman" w:eastAsia="宋体"/>
                <w:b w:val="0"/>
                <w:bCs w:val="0"/>
                <w:color w:val="auto"/>
                <w:sz w:val="24"/>
                <w:lang w:val="en-US" w:eastAsia="zh-CN"/>
              </w:rPr>
              <w:t>m</w:t>
            </w:r>
            <w:r>
              <w:rPr>
                <w:rFonts w:hint="default" w:ascii="Times New Roman" w:hAnsi="Times New Roman" w:eastAsia="宋体"/>
                <w:b w:val="0"/>
                <w:bCs w:val="0"/>
                <w:color w:val="auto"/>
                <w:sz w:val="24"/>
                <w:vertAlign w:val="superscript"/>
                <w:lang w:val="en-US" w:eastAsia="zh-CN"/>
              </w:rPr>
              <w:t>3</w:t>
            </w:r>
            <w:r>
              <w:rPr>
                <w:rFonts w:hint="default" w:ascii="Times New Roman" w:hAnsi="Times New Roman" w:eastAsia="宋体"/>
                <w:b w:val="0"/>
                <w:bCs w:val="0"/>
                <w:color w:val="auto"/>
                <w:sz w:val="24"/>
                <w:lang w:val="en-US" w:eastAsia="zh-CN"/>
              </w:rPr>
              <w:t>/d</w:t>
            </w:r>
            <w:r>
              <w:rPr>
                <w:rFonts w:hint="eastAsia" w:ascii="Times New Roman" w:hAnsi="Times New Roman" w:eastAsia="宋体"/>
                <w:b w:val="0"/>
                <w:bCs w:val="0"/>
                <w:color w:val="auto"/>
                <w:sz w:val="24"/>
                <w:lang w:val="en-US" w:eastAsia="zh-CN"/>
              </w:rPr>
              <w:t>。因此从规模上，本项目废水接管进入如皋市下原镇污水处理厂集中处理是可行的。</w:t>
            </w:r>
          </w:p>
          <w:p>
            <w:pPr>
              <w:spacing w:line="360" w:lineRule="auto"/>
              <w:ind w:firstLine="480"/>
              <w:rPr>
                <w:rFonts w:ascii="Times New Roman" w:hAnsi="Times New Roman" w:eastAsia="宋体"/>
                <w:color w:val="auto"/>
                <w:sz w:val="24"/>
              </w:rPr>
            </w:pPr>
            <w:r>
              <w:rPr>
                <w:rFonts w:ascii="Times New Roman" w:hAnsi="Times New Roman" w:eastAsia="宋体"/>
                <w:b/>
                <w:bCs/>
                <w:color w:val="auto"/>
                <w:sz w:val="24"/>
              </w:rPr>
              <w:t>处理工艺上的可行性</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如皋市下原镇污水处理厂采用</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/O</w:t>
            </w:r>
            <w:r>
              <w:rPr>
                <w:rFonts w:hint="eastAsia" w:ascii="Times New Roman" w:hAnsi="Times New Roman" w:eastAsia="宋体" w:cs="Times New Roman"/>
                <w:color w:val="auto"/>
                <w:sz w:val="24"/>
                <w:szCs w:val="24"/>
                <w:lang w:val="en-US" w:eastAsia="zh-CN"/>
              </w:rPr>
              <w:t>处理工艺，具体见图4-2，提标改造后污水处理厂接管的废水经处理后达到《城镇污水处理厂污染物排放标准》（</w:t>
            </w:r>
            <w:r>
              <w:rPr>
                <w:rFonts w:hint="default" w:ascii="Times New Roman" w:hAnsi="Times New Roman" w:eastAsia="宋体" w:cs="Times New Roman"/>
                <w:color w:val="auto"/>
                <w:sz w:val="24"/>
                <w:szCs w:val="24"/>
                <w:lang w:val="en-US" w:eastAsia="zh-CN"/>
              </w:rPr>
              <w:t>GB18918-2002</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中一级</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标准，最终排入大寨河。根据污水处理厂现有工程的处理效率，按照设计处理工艺在正常运行情况下，废水能够保证达到设计的处理效率，达标排放。</w:t>
            </w:r>
          </w:p>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宋体"/>
                <w:color w:val="auto"/>
                <w:kern w:val="0"/>
                <w:sz w:val="24"/>
                <w:szCs w:val="24"/>
                <w:lang w:val="en-US" w:eastAsia="zh-CN" w:bidi="ar"/>
              </w:rPr>
              <w:drawing>
                <wp:inline distT="0" distB="0" distL="114300" distR="114300">
                  <wp:extent cx="4101465" cy="5511800"/>
                  <wp:effectExtent l="0" t="0" r="13335" b="5080"/>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19"/>
                          <a:stretch>
                            <a:fillRect/>
                          </a:stretch>
                        </pic:blipFill>
                        <pic:spPr>
                          <a:xfrm>
                            <a:off x="0" y="0"/>
                            <a:ext cx="4101465" cy="5511800"/>
                          </a:xfrm>
                          <a:prstGeom prst="rect">
                            <a:avLst/>
                          </a:prstGeom>
                          <a:noFill/>
                          <a:ln>
                            <a:noFill/>
                          </a:ln>
                        </pic:spPr>
                      </pic:pic>
                    </a:graphicData>
                  </a:graphic>
                </wp:inline>
              </w:drawing>
            </w:r>
          </w:p>
          <w:p>
            <w:pPr>
              <w:spacing w:line="360" w:lineRule="auto"/>
              <w:ind w:firstLine="480"/>
              <w:jc w:val="center"/>
              <w:rPr>
                <w:rFonts w:hint="eastAsia" w:ascii="Times New Roman" w:hAnsi="Times New Roman" w:eastAsia="宋体"/>
                <w:color w:val="auto"/>
                <w:sz w:val="24"/>
                <w:szCs w:val="24"/>
              </w:rPr>
            </w:pPr>
            <w:r>
              <w:rPr>
                <w:rFonts w:hint="eastAsia" w:ascii="Times New Roman" w:hAnsi="Times New Roman" w:eastAsia="宋体" w:cs="宋体"/>
                <w:b/>
                <w:bCs w:val="0"/>
                <w:color w:val="auto"/>
                <w:kern w:val="2"/>
                <w:sz w:val="24"/>
                <w:szCs w:val="24"/>
                <w:lang w:val="en-US" w:eastAsia="zh-CN" w:bidi="ar"/>
              </w:rPr>
              <w:t>图</w:t>
            </w:r>
            <w:r>
              <w:rPr>
                <w:rFonts w:hint="default" w:ascii="Times New Roman" w:hAnsi="Times New Roman" w:eastAsia="宋体" w:cs="Times New Roman"/>
                <w:b/>
                <w:bCs w:val="0"/>
                <w:color w:val="auto"/>
                <w:kern w:val="2"/>
                <w:sz w:val="24"/>
                <w:szCs w:val="24"/>
                <w:lang w:val="en-US" w:eastAsia="zh-CN" w:bidi="ar"/>
              </w:rPr>
              <w:t>4-</w:t>
            </w:r>
            <w:r>
              <w:rPr>
                <w:rFonts w:hint="eastAsia" w:ascii="Times New Roman" w:hAnsi="Times New Roman" w:eastAsia="宋体" w:cs="Times New Roman"/>
                <w:b/>
                <w:bCs w:val="0"/>
                <w:color w:val="auto"/>
                <w:kern w:val="2"/>
                <w:sz w:val="24"/>
                <w:szCs w:val="24"/>
                <w:lang w:val="en-US" w:eastAsia="zh-CN" w:bidi="ar"/>
              </w:rPr>
              <w:t>3</w:t>
            </w:r>
            <w:r>
              <w:rPr>
                <w:rFonts w:hint="eastAsia" w:ascii="Times New Roman" w:hAnsi="Times New Roman" w:eastAsia="宋体" w:cs="宋体"/>
                <w:b/>
                <w:bCs w:val="0"/>
                <w:color w:val="auto"/>
                <w:kern w:val="2"/>
                <w:sz w:val="24"/>
                <w:szCs w:val="24"/>
                <w:lang w:val="en-US" w:eastAsia="zh-CN" w:bidi="ar"/>
              </w:rPr>
              <w:t>下原污水处理厂工艺流程图</w:t>
            </w:r>
          </w:p>
          <w:p>
            <w:pPr>
              <w:jc w:val="center"/>
              <w:rPr>
                <w:rFonts w:ascii="Times New Roman" w:hAnsi="Times New Roman" w:eastAsia="宋体"/>
                <w:b/>
                <w:color w:val="auto"/>
                <w:sz w:val="24"/>
              </w:rPr>
            </w:pPr>
          </w:p>
          <w:p>
            <w:pPr>
              <w:spacing w:line="360" w:lineRule="auto"/>
              <w:ind w:firstLine="480"/>
              <w:rPr>
                <w:rFonts w:ascii="Times New Roman" w:hAnsi="Times New Roman" w:eastAsia="宋体"/>
                <w:b/>
                <w:bCs/>
                <w:color w:val="auto"/>
                <w:sz w:val="24"/>
              </w:rPr>
            </w:pPr>
            <w:r>
              <w:rPr>
                <w:rFonts w:ascii="Times New Roman" w:hAnsi="Times New Roman" w:eastAsia="宋体"/>
                <w:b/>
                <w:bCs/>
                <w:color w:val="auto"/>
                <w:sz w:val="24"/>
              </w:rPr>
              <w:t>管网建设</w:t>
            </w:r>
          </w:p>
          <w:p>
            <w:pPr>
              <w:spacing w:line="360" w:lineRule="auto"/>
              <w:ind w:firstLine="480"/>
              <w:rPr>
                <w:rFonts w:ascii="Times New Roman" w:hAnsi="Times New Roman" w:eastAsia="宋体"/>
                <w:color w:val="auto"/>
                <w:sz w:val="24"/>
              </w:rPr>
            </w:pPr>
            <w:r>
              <w:rPr>
                <w:rFonts w:ascii="Times New Roman" w:hAnsi="Times New Roman" w:eastAsia="宋体"/>
                <w:color w:val="auto"/>
                <w:sz w:val="24"/>
              </w:rPr>
              <w:t>本项目位于</w:t>
            </w:r>
            <w:r>
              <w:rPr>
                <w:rFonts w:hint="eastAsia" w:ascii="Times New Roman" w:hAnsi="Times New Roman" w:eastAsia="宋体"/>
                <w:color w:val="auto"/>
                <w:sz w:val="24"/>
                <w:lang w:eastAsia="zh-CN"/>
              </w:rPr>
              <w:t>如皋市下原镇兴原路58-7号</w:t>
            </w:r>
            <w:r>
              <w:rPr>
                <w:rFonts w:ascii="Times New Roman" w:hAnsi="Times New Roman" w:eastAsia="宋体"/>
                <w:color w:val="auto"/>
                <w:sz w:val="24"/>
              </w:rPr>
              <w:t>，处于污水管网覆盖范围内，项目废水可接管至该区污水管网。</w:t>
            </w:r>
          </w:p>
          <w:p>
            <w:pPr>
              <w:spacing w:line="360" w:lineRule="auto"/>
              <w:ind w:firstLine="480"/>
              <w:rPr>
                <w:rFonts w:ascii="Times New Roman" w:hAnsi="Times New Roman" w:eastAsia="宋体"/>
                <w:color w:val="auto"/>
                <w:sz w:val="24"/>
              </w:rPr>
            </w:pPr>
            <w:r>
              <w:rPr>
                <w:rFonts w:ascii="Times New Roman" w:hAnsi="Times New Roman" w:eastAsia="宋体"/>
                <w:color w:val="auto"/>
                <w:sz w:val="24"/>
              </w:rPr>
              <w:t>由上述分析可知，本项目生活污水经化粪池处理后能满足接管标准的要求，接管的废水经</w:t>
            </w:r>
            <w:r>
              <w:rPr>
                <w:rFonts w:hint="eastAsia" w:ascii="Times New Roman" w:hAnsi="Times New Roman" w:eastAsia="宋体"/>
                <w:color w:val="auto"/>
                <w:sz w:val="24"/>
                <w:lang w:eastAsia="zh-CN"/>
              </w:rPr>
              <w:t>如皋市下原镇污水处理厂</w:t>
            </w:r>
            <w:r>
              <w:rPr>
                <w:rFonts w:ascii="Times New Roman" w:hAnsi="Times New Roman" w:eastAsia="宋体"/>
                <w:color w:val="auto"/>
                <w:sz w:val="24"/>
              </w:rPr>
              <w:t>处理达到《城镇污水处理厂污染物排放标准》（GB18918-2002）中一级A标准，尾水排入</w:t>
            </w:r>
            <w:r>
              <w:rPr>
                <w:rFonts w:hint="eastAsia" w:ascii="Times New Roman" w:hAnsi="Times New Roman" w:eastAsia="宋体"/>
                <w:color w:val="auto"/>
                <w:sz w:val="24"/>
                <w:lang w:val="en-US" w:eastAsia="zh-CN"/>
              </w:rPr>
              <w:t>大寨河</w:t>
            </w:r>
            <w:r>
              <w:rPr>
                <w:rFonts w:ascii="Times New Roman" w:hAnsi="Times New Roman" w:eastAsia="宋体"/>
                <w:color w:val="auto"/>
                <w:sz w:val="24"/>
              </w:rPr>
              <w:t>。本项目水质较简单，按照设计处理工艺在正常运行情况下，废水能够保证达到设计的处理效率，达标排放，对周边环境影响较小。</w:t>
            </w:r>
          </w:p>
          <w:p>
            <w:pPr>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w:t>
            </w:r>
            <w:r>
              <w:rPr>
                <w:rFonts w:hint="eastAsia" w:ascii="Times New Roman" w:hAnsi="Times New Roman" w:eastAsia="宋体"/>
                <w:color w:val="auto"/>
                <w:sz w:val="24"/>
              </w:rPr>
              <w:t>6</w:t>
            </w:r>
            <w:r>
              <w:rPr>
                <w:rFonts w:ascii="Times New Roman" w:hAnsi="Times New Roman" w:eastAsia="宋体"/>
                <w:color w:val="auto"/>
                <w:sz w:val="24"/>
              </w:rPr>
              <w:t>）达标分析</w:t>
            </w:r>
          </w:p>
          <w:p>
            <w:pPr>
              <w:spacing w:line="360" w:lineRule="auto"/>
              <w:ind w:firstLine="480" w:firstLineChars="200"/>
              <w:jc w:val="left"/>
              <w:rPr>
                <w:rFonts w:ascii="Times New Roman" w:hAnsi="Times New Roman" w:eastAsia="宋体"/>
                <w:color w:val="auto"/>
                <w:kern w:val="0"/>
                <w:sz w:val="24"/>
              </w:rPr>
            </w:pPr>
            <w:r>
              <w:rPr>
                <w:rFonts w:ascii="Times New Roman" w:hAnsi="Times New Roman" w:eastAsia="宋体"/>
                <w:color w:val="auto"/>
                <w:sz w:val="24"/>
              </w:rPr>
              <w:t>根据源强核算，本项目</w:t>
            </w:r>
            <w:r>
              <w:rPr>
                <w:rFonts w:hint="eastAsia" w:ascii="Times New Roman" w:hAnsi="Times New Roman" w:eastAsia="宋体"/>
                <w:color w:val="auto"/>
                <w:sz w:val="24"/>
                <w:lang w:val="en-US" w:eastAsia="zh-CN"/>
              </w:rPr>
              <w:t>生活污水经化粪池预处理后</w:t>
            </w:r>
            <w:r>
              <w:rPr>
                <w:rFonts w:ascii="Times New Roman" w:hAnsi="Times New Roman" w:eastAsia="宋体"/>
                <w:color w:val="auto"/>
                <w:sz w:val="24"/>
              </w:rPr>
              <w:t>能够达到污水处理厂接管标准</w:t>
            </w:r>
            <w:r>
              <w:rPr>
                <w:rFonts w:ascii="Times New Roman" w:hAnsi="Times New Roman" w:eastAsia="宋体"/>
                <w:color w:val="auto"/>
                <w:kern w:val="0"/>
                <w:sz w:val="24"/>
              </w:rPr>
              <w:t>。</w:t>
            </w:r>
          </w:p>
          <w:p>
            <w:pPr>
              <w:spacing w:line="360" w:lineRule="auto"/>
              <w:ind w:firstLine="480" w:firstLineChars="200"/>
              <w:jc w:val="left"/>
              <w:rPr>
                <w:rFonts w:ascii="Times New Roman" w:hAnsi="Times New Roman" w:eastAsia="宋体"/>
                <w:color w:val="auto"/>
                <w:kern w:val="0"/>
                <w:sz w:val="24"/>
              </w:rPr>
            </w:pPr>
            <w:r>
              <w:rPr>
                <w:rFonts w:ascii="Times New Roman" w:hAnsi="Times New Roman" w:eastAsia="宋体"/>
                <w:color w:val="auto"/>
                <w:kern w:val="0"/>
                <w:sz w:val="24"/>
              </w:rPr>
              <w:t>（</w:t>
            </w:r>
            <w:r>
              <w:rPr>
                <w:rFonts w:hint="eastAsia" w:ascii="Times New Roman" w:hAnsi="Times New Roman" w:eastAsia="宋体"/>
                <w:color w:val="auto"/>
                <w:kern w:val="0"/>
                <w:sz w:val="24"/>
              </w:rPr>
              <w:t>7</w:t>
            </w:r>
            <w:r>
              <w:rPr>
                <w:rFonts w:ascii="Times New Roman" w:hAnsi="Times New Roman" w:eastAsia="宋体"/>
                <w:color w:val="auto"/>
                <w:kern w:val="0"/>
                <w:sz w:val="24"/>
              </w:rPr>
              <w:t>）监测计划</w:t>
            </w:r>
          </w:p>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①根据</w:t>
            </w:r>
            <w:r>
              <w:rPr>
                <w:rFonts w:hint="eastAsia" w:ascii="Times New Roman" w:hAnsi="Times New Roman" w:eastAsia="宋体"/>
                <w:color w:val="auto"/>
                <w:sz w:val="24"/>
              </w:rPr>
              <w:t>《排污单位自行监测技术指南 总则》（HJ819-2017）</w:t>
            </w:r>
            <w:r>
              <w:rPr>
                <w:rFonts w:ascii="Times New Roman" w:hAnsi="Times New Roman" w:eastAsia="宋体"/>
                <w:color w:val="auto"/>
                <w:sz w:val="24"/>
              </w:rPr>
              <w:t>确定监测指标、监测频次，具体见表4-</w:t>
            </w:r>
            <w:r>
              <w:rPr>
                <w:rFonts w:hint="eastAsia" w:ascii="Times New Roman" w:hAnsi="Times New Roman" w:eastAsia="宋体"/>
                <w:color w:val="auto"/>
                <w:sz w:val="24"/>
              </w:rPr>
              <w:t>1</w:t>
            </w:r>
            <w:r>
              <w:rPr>
                <w:rFonts w:hint="eastAsia"/>
                <w:color w:val="auto"/>
                <w:sz w:val="24"/>
                <w:lang w:val="en-US" w:eastAsia="zh-CN"/>
              </w:rPr>
              <w:t>8</w:t>
            </w:r>
            <w:r>
              <w:rPr>
                <w:rFonts w:ascii="Times New Roman" w:hAnsi="Times New Roman" w:eastAsia="宋体"/>
                <w:color w:val="auto"/>
                <w:sz w:val="24"/>
              </w:rPr>
              <w:t>。</w:t>
            </w:r>
          </w:p>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表4-</w:t>
            </w:r>
            <w:r>
              <w:rPr>
                <w:rFonts w:hint="eastAsia" w:ascii="Times New Roman" w:hAnsi="Times New Roman" w:eastAsia="宋体"/>
                <w:b/>
                <w:bCs/>
                <w:color w:val="auto"/>
                <w:szCs w:val="21"/>
              </w:rPr>
              <w:t>1</w:t>
            </w:r>
            <w:r>
              <w:rPr>
                <w:rFonts w:hint="eastAsia"/>
                <w:b/>
                <w:bCs/>
                <w:color w:val="auto"/>
                <w:szCs w:val="21"/>
                <w:lang w:val="en-US" w:eastAsia="zh-CN"/>
              </w:rPr>
              <w:t>8</w:t>
            </w:r>
            <w:r>
              <w:rPr>
                <w:rFonts w:ascii="Times New Roman" w:hAnsi="Times New Roman" w:eastAsia="宋体"/>
                <w:b/>
                <w:bCs/>
                <w:color w:val="auto"/>
                <w:szCs w:val="21"/>
              </w:rPr>
              <w:t xml:space="preserve">  水污染物监测计划一览表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19"/>
              <w:gridCol w:w="1617"/>
              <w:gridCol w:w="989"/>
              <w:gridCol w:w="732"/>
              <w:gridCol w:w="976"/>
              <w:gridCol w:w="2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类别</w:t>
                  </w:r>
                </w:p>
              </w:tc>
              <w:tc>
                <w:tcPr>
                  <w:tcW w:w="63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监测点位</w:t>
                  </w:r>
                </w:p>
              </w:tc>
              <w:tc>
                <w:tcPr>
                  <w:tcW w:w="100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监测项目</w:t>
                  </w:r>
                </w:p>
              </w:tc>
              <w:tc>
                <w:tcPr>
                  <w:tcW w:w="612"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监测频次</w:t>
                  </w:r>
                </w:p>
              </w:tc>
              <w:tc>
                <w:tcPr>
                  <w:tcW w:w="2393" w:type="pct"/>
                  <w:gridSpan w:val="3"/>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指标</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标准限值mg/L</w:t>
                  </w:r>
                </w:p>
              </w:tc>
              <w:tc>
                <w:tcPr>
                  <w:tcW w:w="1335" w:type="pct"/>
                  <w:tcBorders>
                    <w:tl2br w:val="nil"/>
                    <w:tr2bl w:val="nil"/>
                  </w:tcBorders>
                  <w:vAlign w:val="center"/>
                </w:tcPr>
                <w:p>
                  <w:pPr>
                    <w:jc w:val="center"/>
                    <w:rPr>
                      <w:rFonts w:ascii="Times New Roman" w:hAnsi="Times New Roman" w:eastAsia="宋体"/>
                      <w:b/>
                      <w:bCs/>
                      <w:color w:val="auto"/>
                      <w:szCs w:val="21"/>
                    </w:rPr>
                  </w:pPr>
                  <w:r>
                    <w:rPr>
                      <w:rFonts w:ascii="Times New Roman" w:hAnsi="Times New Roman" w:eastAsia="宋体"/>
                      <w:b/>
                      <w:bCs/>
                      <w:color w:val="auto"/>
                      <w:szCs w:val="21"/>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雨水</w:t>
                  </w:r>
                </w:p>
              </w:tc>
              <w:tc>
                <w:tcPr>
                  <w:tcW w:w="631" w:type="pct"/>
                  <w:vMerge w:val="restart"/>
                  <w:tcBorders>
                    <w:tl2br w:val="nil"/>
                    <w:tr2bl w:val="nil"/>
                  </w:tcBorders>
                  <w:tcMar>
                    <w:top w:w="0" w:type="dxa"/>
                    <w:left w:w="0" w:type="dxa"/>
                    <w:bottom w:w="0" w:type="dxa"/>
                    <w:right w:w="0" w:type="dxa"/>
                  </w:tcMar>
                  <w:vAlign w:val="center"/>
                </w:tcPr>
                <w:p>
                  <w:pPr>
                    <w:pStyle w:val="33"/>
                    <w:rPr>
                      <w:rFonts w:ascii="Times New Roman" w:hAnsi="Times New Roman" w:eastAsia="宋体"/>
                      <w:color w:val="auto"/>
                    </w:rPr>
                  </w:pPr>
                  <w:r>
                    <w:rPr>
                      <w:rFonts w:ascii="Times New Roman" w:hAnsi="Times New Roman" w:eastAsia="宋体"/>
                      <w:color w:val="auto"/>
                    </w:rPr>
                    <w:t>雨水排口</w:t>
                  </w:r>
                </w:p>
              </w:tc>
              <w:tc>
                <w:tcPr>
                  <w:tcW w:w="100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COD、SS</w:t>
                  </w:r>
                  <w:r>
                    <w:rPr>
                      <w:rFonts w:hint="eastAsia" w:ascii="Times New Roman" w:hAnsi="Times New Roman" w:eastAsia="宋体"/>
                      <w:color w:val="auto"/>
                      <w:szCs w:val="21"/>
                    </w:rPr>
                    <w:t>、石油类</w:t>
                  </w:r>
                </w:p>
              </w:tc>
              <w:tc>
                <w:tcPr>
                  <w:tcW w:w="612"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1次/季</w:t>
                  </w: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COD</w:t>
                  </w:r>
                </w:p>
              </w:tc>
              <w:tc>
                <w:tcPr>
                  <w:tcW w:w="604" w:type="pct"/>
                  <w:tcBorders>
                    <w:tl2br w:val="nil"/>
                    <w:tr2bl w:val="nil"/>
                  </w:tcBorders>
                  <w:tcMar>
                    <w:top w:w="0" w:type="dxa"/>
                    <w:left w:w="0" w:type="dxa"/>
                    <w:bottom w:w="0" w:type="dxa"/>
                    <w:right w:w="0" w:type="dxa"/>
                  </w:tcMar>
                  <w:vAlign w:val="center"/>
                </w:tcPr>
                <w:p>
                  <w:pPr>
                    <w:pStyle w:val="54"/>
                    <w:adjustRightInd w:val="0"/>
                    <w:snapToGrid w:val="0"/>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kern w:val="2"/>
                      <w:sz w:val="21"/>
                      <w:szCs w:val="21"/>
                    </w:rPr>
                    <w:t>20</w:t>
                  </w:r>
                </w:p>
              </w:tc>
              <w:tc>
                <w:tcPr>
                  <w:tcW w:w="1335" w:type="pct"/>
                  <w:vMerge w:val="restart"/>
                  <w:tcBorders>
                    <w:tl2br w:val="nil"/>
                    <w:tr2bl w:val="nil"/>
                  </w:tcBorders>
                  <w:vAlign w:val="center"/>
                </w:tcPr>
                <w:p>
                  <w:pPr>
                    <w:jc w:val="center"/>
                    <w:rPr>
                      <w:rFonts w:ascii="Times New Roman" w:hAnsi="Times New Roman" w:eastAsia="宋体"/>
                      <w:color w:val="auto"/>
                      <w:szCs w:val="21"/>
                    </w:rPr>
                  </w:pPr>
                  <w:r>
                    <w:rPr>
                      <w:rFonts w:ascii="Times New Roman" w:hAnsi="Times New Roman" w:eastAsia="宋体"/>
                      <w:color w:val="auto"/>
                      <w:szCs w:val="21"/>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SS</w:t>
                  </w:r>
                </w:p>
              </w:tc>
              <w:tc>
                <w:tcPr>
                  <w:tcW w:w="604" w:type="pct"/>
                  <w:tcBorders>
                    <w:tl2br w:val="nil"/>
                    <w:tr2bl w:val="nil"/>
                  </w:tcBorders>
                  <w:tcMar>
                    <w:top w:w="0" w:type="dxa"/>
                    <w:left w:w="0" w:type="dxa"/>
                    <w:bottom w:w="0" w:type="dxa"/>
                    <w:right w:w="0" w:type="dxa"/>
                  </w:tcMar>
                  <w:vAlign w:val="center"/>
                </w:tcPr>
                <w:p>
                  <w:pPr>
                    <w:pStyle w:val="54"/>
                    <w:adjustRightInd w:val="0"/>
                    <w:snapToGrid w:val="0"/>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kern w:val="2"/>
                      <w:sz w:val="21"/>
                      <w:szCs w:val="21"/>
                    </w:rPr>
                    <w:t>/</w:t>
                  </w:r>
                </w:p>
              </w:tc>
              <w:tc>
                <w:tcPr>
                  <w:tcW w:w="1335"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石油类</w:t>
                  </w:r>
                </w:p>
              </w:tc>
              <w:tc>
                <w:tcPr>
                  <w:tcW w:w="604" w:type="pct"/>
                  <w:tcBorders>
                    <w:tl2br w:val="nil"/>
                    <w:tr2bl w:val="nil"/>
                  </w:tcBorders>
                  <w:tcMar>
                    <w:top w:w="0" w:type="dxa"/>
                    <w:left w:w="0" w:type="dxa"/>
                    <w:bottom w:w="0" w:type="dxa"/>
                    <w:right w:w="0" w:type="dxa"/>
                  </w:tcMar>
                  <w:vAlign w:val="center"/>
                </w:tcPr>
                <w:p>
                  <w:pPr>
                    <w:pStyle w:val="54"/>
                    <w:adjustRightInd w:val="0"/>
                    <w:snapToGrid w:val="0"/>
                    <w:spacing w:line="240" w:lineRule="auto"/>
                    <w:ind w:firstLine="0"/>
                    <w:jc w:val="center"/>
                    <w:rPr>
                      <w:rFonts w:ascii="Times New Roman" w:hAnsi="Times New Roman" w:eastAsia="宋体"/>
                      <w:color w:val="auto"/>
                      <w:sz w:val="21"/>
                      <w:szCs w:val="21"/>
                    </w:rPr>
                  </w:pPr>
                  <w:r>
                    <w:rPr>
                      <w:rFonts w:hint="eastAsia" w:ascii="Times New Roman" w:hAnsi="Times New Roman" w:eastAsia="宋体"/>
                      <w:color w:val="auto"/>
                      <w:kern w:val="2"/>
                      <w:sz w:val="21"/>
                      <w:szCs w:val="21"/>
                    </w:rPr>
                    <w:t>0.05</w:t>
                  </w:r>
                </w:p>
              </w:tc>
              <w:tc>
                <w:tcPr>
                  <w:tcW w:w="1335"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污水</w:t>
                  </w:r>
                </w:p>
              </w:tc>
              <w:tc>
                <w:tcPr>
                  <w:tcW w:w="63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污水总排口</w:t>
                  </w:r>
                </w:p>
              </w:tc>
              <w:tc>
                <w:tcPr>
                  <w:tcW w:w="1001"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pH、COD、SS、NH</w:t>
                  </w:r>
                  <w:r>
                    <w:rPr>
                      <w:rFonts w:ascii="Times New Roman" w:hAnsi="Times New Roman" w:eastAsia="宋体"/>
                      <w:color w:val="auto"/>
                      <w:szCs w:val="21"/>
                      <w:vertAlign w:val="subscript"/>
                    </w:rPr>
                    <w:t>3</w:t>
                  </w:r>
                  <w:r>
                    <w:rPr>
                      <w:rFonts w:ascii="Times New Roman" w:hAnsi="Times New Roman" w:eastAsia="宋体"/>
                      <w:color w:val="auto"/>
                      <w:szCs w:val="21"/>
                    </w:rPr>
                    <w:t>-N、TN、TP</w:t>
                  </w:r>
                </w:p>
              </w:tc>
              <w:tc>
                <w:tcPr>
                  <w:tcW w:w="612" w:type="pct"/>
                  <w:vMerge w:val="restar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1次/年</w:t>
                  </w: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pH</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6-9</w:t>
                  </w:r>
                </w:p>
              </w:tc>
              <w:tc>
                <w:tcPr>
                  <w:tcW w:w="1335" w:type="pct"/>
                  <w:vMerge w:val="restar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《污水综合排放标准》（GB8978-1996）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COD</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500</w:t>
                  </w:r>
                </w:p>
              </w:tc>
              <w:tc>
                <w:tcPr>
                  <w:tcW w:w="1335"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SS</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350</w:t>
                  </w:r>
                </w:p>
              </w:tc>
              <w:tc>
                <w:tcPr>
                  <w:tcW w:w="1335"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NH</w:t>
                  </w:r>
                  <w:r>
                    <w:rPr>
                      <w:rFonts w:hint="eastAsia" w:ascii="Times New Roman" w:hAnsi="Times New Roman" w:eastAsia="宋体"/>
                      <w:color w:val="auto"/>
                      <w:szCs w:val="21"/>
                      <w:vertAlign w:val="subscript"/>
                    </w:rPr>
                    <w:t>3</w:t>
                  </w:r>
                  <w:r>
                    <w:rPr>
                      <w:rFonts w:hint="eastAsia" w:ascii="Times New Roman" w:hAnsi="Times New Roman" w:eastAsia="宋体"/>
                      <w:color w:val="auto"/>
                      <w:szCs w:val="21"/>
                    </w:rPr>
                    <w:t>-H</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20</w:t>
                  </w:r>
                </w:p>
              </w:tc>
              <w:tc>
                <w:tcPr>
                  <w:tcW w:w="1335" w:type="pct"/>
                  <w:vMerge w:val="restart"/>
                  <w:tcBorders>
                    <w:tl2br w:val="nil"/>
                    <w:tr2bl w:val="nil"/>
                  </w:tcBorders>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《污水排入城镇下水道水质标准》（GB/T31962-2015）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TN</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70</w:t>
                  </w:r>
                </w:p>
              </w:tc>
              <w:tc>
                <w:tcPr>
                  <w:tcW w:w="1335" w:type="pct"/>
                  <w:vMerge w:val="continue"/>
                  <w:tcBorders>
                    <w:tl2br w:val="nil"/>
                    <w:tr2bl w:val="nil"/>
                  </w:tcBorders>
                  <w:vAlign w:val="center"/>
                </w:tcPr>
                <w:p>
                  <w:pPr>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6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3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1001"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612" w:type="pct"/>
                  <w:vMerge w:val="continue"/>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p>
              </w:tc>
              <w:tc>
                <w:tcPr>
                  <w:tcW w:w="4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TP</w:t>
                  </w:r>
                </w:p>
              </w:tc>
              <w:tc>
                <w:tcPr>
                  <w:tcW w:w="6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8</w:t>
                  </w:r>
                </w:p>
              </w:tc>
              <w:tc>
                <w:tcPr>
                  <w:tcW w:w="1335" w:type="pct"/>
                  <w:vMerge w:val="continue"/>
                  <w:tcBorders>
                    <w:tl2br w:val="nil"/>
                    <w:tr2bl w:val="nil"/>
                  </w:tcBorders>
                  <w:vAlign w:val="center"/>
                </w:tcPr>
                <w:p>
                  <w:pPr>
                    <w:jc w:val="center"/>
                    <w:rPr>
                      <w:rFonts w:ascii="Times New Roman" w:hAnsi="Times New Roman" w:eastAsia="宋体"/>
                      <w:color w:val="auto"/>
                      <w:szCs w:val="21"/>
                    </w:rPr>
                  </w:pPr>
                </w:p>
              </w:tc>
            </w:tr>
          </w:tbl>
          <w:p>
            <w:pPr>
              <w:spacing w:line="360" w:lineRule="auto"/>
              <w:ind w:firstLine="480" w:firstLineChars="200"/>
              <w:jc w:val="left"/>
              <w:rPr>
                <w:rFonts w:ascii="Times New Roman" w:hAnsi="Times New Roman" w:eastAsia="宋体"/>
                <w:color w:val="auto"/>
                <w:kern w:val="0"/>
                <w:sz w:val="24"/>
              </w:rPr>
            </w:pPr>
            <w:r>
              <w:rPr>
                <w:rFonts w:ascii="Times New Roman" w:hAnsi="Times New Roman" w:eastAsia="宋体"/>
                <w:color w:val="auto"/>
                <w:kern w:val="0"/>
                <w:sz w:val="24"/>
              </w:rPr>
              <w:fldChar w:fldCharType="begin"/>
            </w:r>
            <w:r>
              <w:rPr>
                <w:rFonts w:ascii="Times New Roman" w:hAnsi="Times New Roman" w:eastAsia="宋体"/>
                <w:color w:val="auto"/>
                <w:kern w:val="0"/>
                <w:sz w:val="24"/>
              </w:rPr>
              <w:instrText xml:space="preserve"> = 2 \* GB3 </w:instrText>
            </w:r>
            <w:r>
              <w:rPr>
                <w:rFonts w:ascii="Times New Roman" w:hAnsi="Times New Roman" w:eastAsia="宋体"/>
                <w:color w:val="auto"/>
                <w:kern w:val="0"/>
                <w:sz w:val="24"/>
              </w:rPr>
              <w:fldChar w:fldCharType="separate"/>
            </w:r>
            <w:r>
              <w:rPr>
                <w:rFonts w:ascii="Times New Roman" w:hAnsi="Times New Roman" w:eastAsia="宋体"/>
                <w:color w:val="auto"/>
                <w:kern w:val="0"/>
                <w:sz w:val="24"/>
              </w:rPr>
              <w:t>②</w:t>
            </w:r>
            <w:r>
              <w:rPr>
                <w:rFonts w:ascii="Times New Roman" w:hAnsi="Times New Roman" w:eastAsia="宋体"/>
                <w:color w:val="auto"/>
                <w:kern w:val="0"/>
                <w:sz w:val="24"/>
              </w:rPr>
              <w:fldChar w:fldCharType="end"/>
            </w:r>
            <w:r>
              <w:rPr>
                <w:rFonts w:ascii="Times New Roman" w:hAnsi="Times New Roman" w:eastAsia="宋体"/>
                <w:color w:val="auto"/>
                <w:sz w:val="24"/>
              </w:rPr>
              <w:t>“三同时”验收监测计划</w:t>
            </w:r>
          </w:p>
          <w:p>
            <w:pPr>
              <w:spacing w:line="360" w:lineRule="auto"/>
              <w:ind w:firstLine="480" w:firstLineChars="200"/>
              <w:jc w:val="left"/>
              <w:rPr>
                <w:rFonts w:ascii="Times New Roman" w:hAnsi="Times New Roman" w:eastAsia="宋体"/>
                <w:b/>
                <w:bCs/>
                <w:color w:val="auto"/>
                <w:sz w:val="24"/>
              </w:rPr>
            </w:pPr>
            <w:r>
              <w:rPr>
                <w:rFonts w:ascii="Times New Roman" w:hAnsi="Times New Roman" w:eastAsia="宋体"/>
                <w:color w:val="auto"/>
                <w:sz w:val="24"/>
              </w:rPr>
              <w:t>根据《建设项目竣工环境保护验收技术指南 污染影响类》，</w:t>
            </w:r>
            <w:r>
              <w:rPr>
                <w:rFonts w:ascii="Times New Roman" w:hAnsi="Times New Roman" w:eastAsia="宋体"/>
                <w:bCs/>
                <w:color w:val="auto"/>
                <w:sz w:val="24"/>
              </w:rPr>
              <w:t>建设项目需针对大气污染源、废水污染源、噪声污染源制定验收监测计划。</w:t>
            </w:r>
            <w:r>
              <w:rPr>
                <w:rFonts w:ascii="Times New Roman" w:hAnsi="Times New Roman" w:eastAsia="宋体"/>
                <w:color w:val="auto"/>
                <w:sz w:val="24"/>
              </w:rPr>
              <w:t>本项目废水监测点、监测项目及监测频次</w:t>
            </w:r>
            <w:r>
              <w:rPr>
                <w:rFonts w:ascii="Times New Roman" w:hAnsi="Times New Roman" w:eastAsia="宋体"/>
                <w:bCs/>
                <w:color w:val="auto"/>
                <w:sz w:val="24"/>
              </w:rPr>
              <w:t>见下表。</w:t>
            </w:r>
          </w:p>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表4-</w:t>
            </w:r>
            <w:r>
              <w:rPr>
                <w:rFonts w:hint="eastAsia" w:ascii="Times New Roman" w:hAnsi="Times New Roman" w:eastAsia="宋体"/>
                <w:b/>
                <w:bCs/>
                <w:color w:val="auto"/>
                <w:szCs w:val="21"/>
              </w:rPr>
              <w:t>1</w:t>
            </w:r>
            <w:r>
              <w:rPr>
                <w:rFonts w:hint="eastAsia"/>
                <w:b/>
                <w:bCs/>
                <w:color w:val="auto"/>
                <w:szCs w:val="21"/>
                <w:lang w:val="en-US" w:eastAsia="zh-CN"/>
              </w:rPr>
              <w:t>9</w:t>
            </w:r>
            <w:r>
              <w:rPr>
                <w:rFonts w:ascii="Times New Roman" w:hAnsi="Times New Roman" w:eastAsia="宋体"/>
                <w:b/>
                <w:bCs/>
                <w:color w:val="auto"/>
                <w:szCs w:val="21"/>
              </w:rPr>
              <w:t xml:space="preserve">  验收监测计划表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563"/>
              <w:gridCol w:w="2432"/>
              <w:gridCol w:w="1129"/>
              <w:gridCol w:w="15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5"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种类</w:t>
                  </w:r>
                </w:p>
              </w:tc>
              <w:tc>
                <w:tcPr>
                  <w:tcW w:w="967"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监测点位</w:t>
                  </w:r>
                </w:p>
              </w:tc>
              <w:tc>
                <w:tcPr>
                  <w:tcW w:w="15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监测项目</w:t>
                  </w:r>
                </w:p>
              </w:tc>
              <w:tc>
                <w:tcPr>
                  <w:tcW w:w="699"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点位数</w:t>
                  </w:r>
                </w:p>
              </w:tc>
              <w:tc>
                <w:tcPr>
                  <w:tcW w:w="9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废水</w:t>
                  </w:r>
                </w:p>
              </w:tc>
              <w:tc>
                <w:tcPr>
                  <w:tcW w:w="967" w:type="pct"/>
                  <w:tcBorders>
                    <w:tl2br w:val="nil"/>
                    <w:tr2bl w:val="nil"/>
                  </w:tcBorders>
                  <w:tcMar>
                    <w:top w:w="0" w:type="dxa"/>
                    <w:left w:w="0" w:type="dxa"/>
                    <w:bottom w:w="0" w:type="dxa"/>
                    <w:right w:w="0" w:type="dxa"/>
                  </w:tcMar>
                  <w:vAlign w:val="center"/>
                </w:tcPr>
                <w:p>
                  <w:pPr>
                    <w:pStyle w:val="33"/>
                    <w:rPr>
                      <w:rFonts w:ascii="Times New Roman" w:hAnsi="Times New Roman" w:eastAsia="宋体"/>
                      <w:color w:val="auto"/>
                    </w:rPr>
                  </w:pPr>
                  <w:r>
                    <w:rPr>
                      <w:rFonts w:hint="eastAsia" w:ascii="Times New Roman" w:hAnsi="Times New Roman" w:eastAsia="宋体"/>
                      <w:color w:val="auto"/>
                    </w:rPr>
                    <w:t>污水总排口</w:t>
                  </w:r>
                </w:p>
              </w:tc>
              <w:tc>
                <w:tcPr>
                  <w:tcW w:w="1504"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pH、COD、SS、氨氮、总磷、总氮</w:t>
                  </w:r>
                </w:p>
              </w:tc>
              <w:tc>
                <w:tcPr>
                  <w:tcW w:w="699"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1</w:t>
                  </w:r>
                </w:p>
              </w:tc>
              <w:tc>
                <w:tcPr>
                  <w:tcW w:w="953" w:type="pct"/>
                  <w:tcBorders>
                    <w:tl2br w:val="nil"/>
                    <w:tr2bl w:val="nil"/>
                  </w:tcBorders>
                  <w:tcMar>
                    <w:top w:w="0" w:type="dxa"/>
                    <w:left w:w="0" w:type="dxa"/>
                    <w:bottom w:w="0" w:type="dxa"/>
                    <w:right w:w="0" w:type="dxa"/>
                  </w:tcMar>
                  <w:vAlign w:val="center"/>
                </w:tcPr>
                <w:p>
                  <w:pPr>
                    <w:jc w:val="center"/>
                    <w:rPr>
                      <w:rFonts w:ascii="Times New Roman" w:hAnsi="Times New Roman" w:eastAsia="宋体"/>
                      <w:color w:val="auto"/>
                      <w:szCs w:val="21"/>
                    </w:rPr>
                  </w:pPr>
                  <w:r>
                    <w:rPr>
                      <w:rFonts w:ascii="Times New Roman" w:hAnsi="Times New Roman" w:eastAsia="宋体"/>
                      <w:color w:val="auto"/>
                      <w:szCs w:val="21"/>
                    </w:rPr>
                    <w:t>连续2天</w:t>
                  </w:r>
                </w:p>
                <w:p>
                  <w:pPr>
                    <w:jc w:val="center"/>
                    <w:rPr>
                      <w:rFonts w:ascii="Times New Roman" w:hAnsi="Times New Roman" w:eastAsia="宋体"/>
                      <w:color w:val="auto"/>
                      <w:szCs w:val="21"/>
                    </w:rPr>
                  </w:pPr>
                  <w:r>
                    <w:rPr>
                      <w:rFonts w:ascii="Times New Roman" w:hAnsi="Times New Roman" w:eastAsia="宋体"/>
                      <w:color w:val="auto"/>
                      <w:szCs w:val="21"/>
                    </w:rPr>
                    <w:t>每天4次</w:t>
                  </w:r>
                </w:p>
              </w:tc>
            </w:tr>
          </w:tbl>
          <w:p>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③应急监测：</w:t>
            </w:r>
          </w:p>
          <w:p>
            <w:pPr>
              <w:adjustRightInd w:val="0"/>
              <w:snapToGrid w:val="0"/>
              <w:spacing w:line="360" w:lineRule="auto"/>
              <w:ind w:firstLine="480" w:firstLineChars="200"/>
              <w:rPr>
                <w:rFonts w:hint="default" w:ascii="Times New Roman" w:hAnsi="Times New Roman" w:eastAsia="宋体"/>
                <w:bCs/>
                <w:color w:val="auto"/>
                <w:kern w:val="0"/>
                <w:sz w:val="24"/>
                <w:lang w:val="en-US"/>
              </w:rPr>
            </w:pPr>
            <w:r>
              <w:rPr>
                <w:rFonts w:ascii="Times New Roman" w:hAnsi="Times New Roman" w:eastAsia="宋体"/>
                <w:bCs/>
                <w:color w:val="auto"/>
                <w:kern w:val="0"/>
                <w:sz w:val="24"/>
              </w:rPr>
              <w:t>监测因子：pH、COD、SS、氨氮、总磷、总氮</w:t>
            </w:r>
            <w:r>
              <w:rPr>
                <w:rFonts w:hint="eastAsia" w:ascii="Times New Roman" w:hAnsi="Times New Roman" w:eastAsia="宋体"/>
                <w:bCs/>
                <w:color w:val="auto"/>
                <w:kern w:val="0"/>
                <w:sz w:val="24"/>
                <w:lang w:eastAsia="zh-CN"/>
              </w:rPr>
              <w:t>、</w:t>
            </w:r>
            <w:r>
              <w:rPr>
                <w:rFonts w:hint="eastAsia" w:ascii="Times New Roman" w:hAnsi="Times New Roman" w:eastAsia="宋体"/>
                <w:bCs/>
                <w:color w:val="auto"/>
                <w:kern w:val="0"/>
                <w:sz w:val="24"/>
                <w:lang w:val="en-US" w:eastAsia="zh-CN"/>
              </w:rPr>
              <w:t>石油类</w:t>
            </w:r>
          </w:p>
          <w:p>
            <w:pPr>
              <w:adjustRightInd w:val="0"/>
              <w:snapToGrid w:val="0"/>
              <w:spacing w:line="360" w:lineRule="auto"/>
              <w:ind w:firstLine="480" w:firstLineChars="200"/>
              <w:rPr>
                <w:rFonts w:ascii="Times New Roman" w:hAnsi="Times New Roman" w:eastAsia="宋体"/>
                <w:bCs/>
                <w:color w:val="auto"/>
                <w:kern w:val="0"/>
                <w:sz w:val="24"/>
              </w:rPr>
            </w:pPr>
            <w:r>
              <w:rPr>
                <w:rFonts w:ascii="Times New Roman" w:hAnsi="Times New Roman" w:eastAsia="宋体"/>
                <w:bCs/>
                <w:color w:val="auto"/>
                <w:kern w:val="0"/>
                <w:sz w:val="24"/>
              </w:rPr>
              <w:t xml:space="preserve">监测时间和频次：按照事故持续时间决定监测时间，根据事故严重性决定监测频次。一般情况下每小时取样一次。随事故控制减弱，适当减少监测频次。 </w:t>
            </w:r>
          </w:p>
          <w:p>
            <w:pPr>
              <w:adjustRightInd w:val="0"/>
              <w:snapToGrid w:val="0"/>
              <w:spacing w:line="360" w:lineRule="auto"/>
              <w:ind w:firstLine="480" w:firstLineChars="200"/>
              <w:rPr>
                <w:rFonts w:ascii="Times New Roman" w:hAnsi="Times New Roman" w:eastAsia="宋体"/>
                <w:bCs/>
                <w:color w:val="auto"/>
                <w:kern w:val="0"/>
                <w:sz w:val="24"/>
              </w:rPr>
            </w:pPr>
            <w:r>
              <w:rPr>
                <w:rFonts w:ascii="Times New Roman" w:hAnsi="Times New Roman" w:eastAsia="宋体"/>
                <w:bCs/>
                <w:color w:val="auto"/>
                <w:kern w:val="0"/>
                <w:sz w:val="24"/>
              </w:rPr>
              <w:t>监测布点：污水排放口、雨水排放口、可能受影响的河流。</w:t>
            </w:r>
          </w:p>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表4-</w:t>
            </w:r>
            <w:r>
              <w:rPr>
                <w:rFonts w:hint="eastAsia"/>
                <w:b/>
                <w:bCs/>
                <w:color w:val="auto"/>
                <w:szCs w:val="21"/>
                <w:lang w:val="en-US" w:eastAsia="zh-CN"/>
              </w:rPr>
              <w:t>20</w:t>
            </w:r>
            <w:r>
              <w:rPr>
                <w:rFonts w:ascii="Times New Roman" w:hAnsi="Times New Roman" w:eastAsia="宋体"/>
                <w:b/>
                <w:bCs/>
                <w:color w:val="auto"/>
                <w:szCs w:val="21"/>
              </w:rPr>
              <w:t xml:space="preserve">  废水应急监测计划表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1"/>
              <w:gridCol w:w="2639"/>
              <w:gridCol w:w="1268"/>
              <w:gridCol w:w="2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56"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污染种类</w:t>
                  </w:r>
                </w:p>
              </w:tc>
              <w:tc>
                <w:tcPr>
                  <w:tcW w:w="1634"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监测位置</w:t>
                  </w:r>
                </w:p>
              </w:tc>
              <w:tc>
                <w:tcPr>
                  <w:tcW w:w="785" w:type="pct"/>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测点数</w:t>
                  </w:r>
                </w:p>
              </w:tc>
              <w:tc>
                <w:tcPr>
                  <w:tcW w:w="2900" w:type="dxa"/>
                  <w:tcBorders>
                    <w:tl2br w:val="nil"/>
                    <w:tr2bl w:val="nil"/>
                  </w:tcBorders>
                  <w:vAlign w:val="center"/>
                </w:tcPr>
                <w:p>
                  <w:pPr>
                    <w:jc w:val="center"/>
                    <w:rPr>
                      <w:rFonts w:ascii="Times New Roman" w:hAnsi="Times New Roman" w:eastAsia="宋体"/>
                      <w:b/>
                      <w:color w:val="auto"/>
                      <w:kern w:val="0"/>
                      <w:szCs w:val="21"/>
                    </w:rPr>
                  </w:pPr>
                  <w:r>
                    <w:rPr>
                      <w:rFonts w:ascii="Times New Roman" w:hAnsi="Times New Roman" w:eastAsia="宋体"/>
                      <w:b/>
                      <w:color w:val="auto"/>
                      <w:kern w:val="0"/>
                      <w:szCs w:val="21"/>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56" w:type="pct"/>
                  <w:tcBorders>
                    <w:tl2br w:val="nil"/>
                    <w:tr2bl w:val="nil"/>
                  </w:tcBorders>
                  <w:vAlign w:val="center"/>
                </w:tcPr>
                <w:p>
                  <w:pPr>
                    <w:jc w:val="center"/>
                    <w:rPr>
                      <w:rFonts w:ascii="Times New Roman" w:hAnsi="Times New Roman" w:eastAsia="宋体"/>
                      <w:color w:val="auto"/>
                      <w:kern w:val="0"/>
                      <w:szCs w:val="21"/>
                    </w:rPr>
                  </w:pPr>
                  <w:r>
                    <w:rPr>
                      <w:rFonts w:ascii="Times New Roman" w:hAnsi="Times New Roman" w:eastAsia="宋体"/>
                      <w:color w:val="auto"/>
                      <w:kern w:val="0"/>
                      <w:szCs w:val="21"/>
                    </w:rPr>
                    <w:t>地表水</w:t>
                  </w:r>
                </w:p>
              </w:tc>
              <w:tc>
                <w:tcPr>
                  <w:tcW w:w="1634" w:type="pct"/>
                  <w:tcBorders>
                    <w:tl2br w:val="nil"/>
                    <w:tr2bl w:val="nil"/>
                  </w:tcBorders>
                  <w:vAlign w:val="center"/>
                </w:tcPr>
                <w:p>
                  <w:pPr>
                    <w:jc w:val="center"/>
                    <w:rPr>
                      <w:rFonts w:ascii="Times New Roman" w:hAnsi="Times New Roman" w:eastAsia="宋体"/>
                      <w:color w:val="auto"/>
                      <w:kern w:val="0"/>
                      <w:szCs w:val="21"/>
                    </w:rPr>
                  </w:pPr>
                  <w:r>
                    <w:rPr>
                      <w:rFonts w:ascii="Times New Roman" w:hAnsi="Times New Roman" w:eastAsia="宋体"/>
                      <w:bCs/>
                      <w:color w:val="auto"/>
                      <w:kern w:val="0"/>
                      <w:szCs w:val="21"/>
                    </w:rPr>
                    <w:t>废水排放口、雨水排放口、可能受影响的河流</w:t>
                  </w:r>
                </w:p>
              </w:tc>
              <w:tc>
                <w:tcPr>
                  <w:tcW w:w="785" w:type="pct"/>
                  <w:tcBorders>
                    <w:tl2br w:val="nil"/>
                    <w:tr2bl w:val="nil"/>
                  </w:tcBorders>
                  <w:vAlign w:val="center"/>
                </w:tcPr>
                <w:p>
                  <w:pPr>
                    <w:jc w:val="center"/>
                    <w:rPr>
                      <w:rFonts w:ascii="Times New Roman" w:hAnsi="Times New Roman" w:eastAsia="宋体"/>
                      <w:color w:val="auto"/>
                      <w:kern w:val="0"/>
                      <w:szCs w:val="21"/>
                    </w:rPr>
                  </w:pPr>
                  <w:r>
                    <w:rPr>
                      <w:rFonts w:ascii="Times New Roman" w:hAnsi="Times New Roman" w:eastAsia="宋体"/>
                      <w:color w:val="auto"/>
                      <w:kern w:val="0"/>
                      <w:szCs w:val="21"/>
                    </w:rPr>
                    <w:t>/</w:t>
                  </w:r>
                </w:p>
              </w:tc>
              <w:tc>
                <w:tcPr>
                  <w:tcW w:w="2900" w:type="dxa"/>
                  <w:tcBorders>
                    <w:tl2br w:val="nil"/>
                    <w:tr2bl w:val="nil"/>
                  </w:tcBorders>
                  <w:vAlign w:val="center"/>
                </w:tcPr>
                <w:p>
                  <w:pPr>
                    <w:jc w:val="center"/>
                    <w:rPr>
                      <w:rFonts w:hint="default" w:ascii="Times New Roman" w:hAnsi="Times New Roman" w:eastAsia="宋体"/>
                      <w:color w:val="auto"/>
                      <w:kern w:val="0"/>
                      <w:szCs w:val="21"/>
                      <w:lang w:val="en-US" w:eastAsia="zh-CN"/>
                    </w:rPr>
                  </w:pPr>
                  <w:r>
                    <w:rPr>
                      <w:rFonts w:ascii="Times New Roman" w:hAnsi="Times New Roman" w:eastAsia="宋体"/>
                      <w:color w:val="auto"/>
                      <w:kern w:val="0"/>
                      <w:szCs w:val="21"/>
                    </w:rPr>
                    <w:t>pH、COD、SS、氨氮、总磷、总氮</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lang w:val="en-US" w:eastAsia="zh-CN"/>
                    </w:rPr>
                    <w:t>石油类</w:t>
                  </w:r>
                </w:p>
              </w:tc>
            </w:tr>
          </w:tbl>
          <w:p>
            <w:pPr>
              <w:spacing w:line="360" w:lineRule="auto"/>
              <w:ind w:firstLine="480"/>
              <w:rPr>
                <w:rFonts w:ascii="Times New Roman" w:hAnsi="Times New Roman" w:eastAsia="宋体"/>
                <w:color w:val="auto"/>
                <w:sz w:val="24"/>
              </w:rPr>
            </w:pPr>
            <w:r>
              <w:rPr>
                <w:rFonts w:ascii="Times New Roman" w:hAnsi="Times New Roman" w:eastAsia="宋体"/>
                <w:color w:val="auto"/>
                <w:sz w:val="24"/>
              </w:rPr>
              <w:t>（8）结论</w:t>
            </w:r>
          </w:p>
          <w:p>
            <w:pPr>
              <w:spacing w:line="360" w:lineRule="auto"/>
              <w:ind w:firstLine="480"/>
              <w:rPr>
                <w:rFonts w:ascii="Times New Roman" w:hAnsi="Times New Roman" w:eastAsia="宋体"/>
                <w:color w:val="auto"/>
                <w:sz w:val="24"/>
              </w:rPr>
            </w:pPr>
            <w:r>
              <w:rPr>
                <w:rFonts w:ascii="Times New Roman" w:hAnsi="Times New Roman" w:eastAsia="宋体"/>
                <w:color w:val="auto"/>
                <w:sz w:val="24"/>
              </w:rPr>
              <w:t>本项目生活污水经化粪池处理后接管至</w:t>
            </w:r>
            <w:r>
              <w:rPr>
                <w:rFonts w:hint="eastAsia" w:ascii="Times New Roman" w:hAnsi="Times New Roman" w:eastAsia="宋体"/>
                <w:color w:val="auto"/>
                <w:sz w:val="24"/>
                <w:lang w:eastAsia="zh-CN"/>
              </w:rPr>
              <w:t>如皋市下原镇污水处理厂</w:t>
            </w:r>
            <w:r>
              <w:rPr>
                <w:rFonts w:ascii="Times New Roman" w:hAnsi="Times New Roman" w:eastAsia="宋体"/>
                <w:color w:val="auto"/>
                <w:sz w:val="24"/>
              </w:rPr>
              <w:t>集中处理，尾水排入</w:t>
            </w:r>
            <w:r>
              <w:rPr>
                <w:rFonts w:hint="eastAsia" w:ascii="Times New Roman" w:hAnsi="Times New Roman" w:eastAsia="宋体"/>
                <w:color w:val="auto"/>
                <w:sz w:val="24"/>
                <w:lang w:eastAsia="zh-CN"/>
              </w:rPr>
              <w:t>大寨河</w:t>
            </w:r>
            <w:r>
              <w:rPr>
                <w:rFonts w:ascii="Times New Roman" w:hAnsi="Times New Roman" w:eastAsia="宋体"/>
                <w:color w:val="auto"/>
                <w:sz w:val="24"/>
              </w:rPr>
              <w:t>，废水经预处理后满足污水处理厂接管标准的要求，从水质水量、接管标准及建设进度等方面综合考虑，项目废水接管至</w:t>
            </w:r>
            <w:r>
              <w:rPr>
                <w:rFonts w:hint="eastAsia" w:ascii="Times New Roman" w:hAnsi="Times New Roman" w:eastAsia="宋体"/>
                <w:color w:val="auto"/>
                <w:sz w:val="24"/>
                <w:lang w:eastAsia="zh-CN"/>
              </w:rPr>
              <w:t>如皋市下原镇污水处理厂</w:t>
            </w:r>
            <w:r>
              <w:rPr>
                <w:rFonts w:ascii="Times New Roman" w:hAnsi="Times New Roman" w:eastAsia="宋体"/>
                <w:color w:val="auto"/>
                <w:sz w:val="24"/>
              </w:rPr>
              <w:t>处理是可行的。因此项目对地表水环境的影响可以接受。</w:t>
            </w:r>
          </w:p>
          <w:bookmarkEnd w:id="25"/>
          <w:bookmarkEnd w:id="26"/>
          <w:p>
            <w:pPr>
              <w:adjustRightInd w:val="0"/>
              <w:snapToGrid w:val="0"/>
              <w:spacing w:line="360" w:lineRule="auto"/>
              <w:ind w:firstLine="482" w:firstLineChars="200"/>
              <w:rPr>
                <w:rFonts w:ascii="Times New Roman" w:hAnsi="Times New Roman" w:eastAsia="宋体"/>
                <w:b/>
                <w:color w:val="auto"/>
                <w:sz w:val="24"/>
              </w:rPr>
            </w:pPr>
            <w:r>
              <w:rPr>
                <w:rFonts w:hint="eastAsia" w:ascii="Times New Roman" w:hAnsi="Times New Roman" w:eastAsia="宋体"/>
                <w:b/>
                <w:color w:val="auto"/>
                <w:sz w:val="24"/>
              </w:rPr>
              <w:t>（三）噪声</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（1）预测模型</w:t>
            </w:r>
          </w:p>
          <w:p>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根据《环境影响评价技术导则声环境》（HJ2.4-2021）的规定，选取预测模式，应用过程中将根据具体情况作必要简化，计算过程如下：</w:t>
            </w:r>
          </w:p>
          <w:p>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a）声环境影响预测模式</w:t>
            </w:r>
          </w:p>
          <w:p>
            <w:pPr>
              <w:adjustRightInd w:val="0"/>
              <w:snapToGrid w:val="0"/>
              <w:spacing w:line="360" w:lineRule="auto"/>
              <w:ind w:firstLine="480" w:firstLineChars="200"/>
              <w:jc w:val="center"/>
              <w:rPr>
                <w:rFonts w:ascii="Times New Roman" w:hAnsi="Times New Roman" w:eastAsia="宋体"/>
                <w:color w:val="auto"/>
                <w:kern w:val="21"/>
                <w:sz w:val="24"/>
              </w:rPr>
            </w:pPr>
            <w:r>
              <w:rPr>
                <w:rFonts w:ascii="Times New Roman" w:hAnsi="Times New Roman" w:eastAsia="宋体"/>
                <w:color w:val="auto"/>
                <w:sz w:val="24"/>
              </w:rPr>
              <w:drawing>
                <wp:inline distT="0" distB="0" distL="114300" distR="114300">
                  <wp:extent cx="1135380" cy="274320"/>
                  <wp:effectExtent l="0" t="0" r="762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0"/>
                          <a:stretch>
                            <a:fillRect/>
                          </a:stretch>
                        </pic:blipFill>
                        <pic:spPr>
                          <a:xfrm>
                            <a:off x="0" y="0"/>
                            <a:ext cx="1135380" cy="274320"/>
                          </a:xfrm>
                          <a:prstGeom prst="rect">
                            <a:avLst/>
                          </a:prstGeom>
                          <a:noFill/>
                          <a:ln>
                            <a:noFill/>
                          </a:ln>
                        </pic:spPr>
                      </pic:pic>
                    </a:graphicData>
                  </a:graphic>
                </wp:inline>
              </w:drawing>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式中：L</w:t>
            </w:r>
            <w:r>
              <w:rPr>
                <w:rFonts w:ascii="Times New Roman" w:hAnsi="Times New Roman" w:eastAsia="宋体"/>
                <w:color w:val="auto"/>
                <w:kern w:val="21"/>
                <w:sz w:val="24"/>
                <w:vertAlign w:val="subscript"/>
              </w:rPr>
              <w:t>A</w:t>
            </w:r>
            <w:r>
              <w:rPr>
                <w:rFonts w:ascii="Times New Roman" w:hAnsi="Times New Roman" w:eastAsia="宋体"/>
                <w:color w:val="auto"/>
                <w:kern w:val="21"/>
                <w:sz w:val="24"/>
              </w:rPr>
              <w:t>（r）—预测点r处A声级，dB（A）；</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 xml:space="preserve">      L</w:t>
            </w:r>
            <w:r>
              <w:rPr>
                <w:rFonts w:ascii="Times New Roman" w:hAnsi="Times New Roman" w:eastAsia="宋体"/>
                <w:color w:val="auto"/>
                <w:kern w:val="21"/>
                <w:sz w:val="24"/>
                <w:vertAlign w:val="subscript"/>
              </w:rPr>
              <w:t>A</w:t>
            </w:r>
            <w:r>
              <w:rPr>
                <w:rFonts w:ascii="Times New Roman" w:hAnsi="Times New Roman" w:eastAsia="宋体"/>
                <w:color w:val="auto"/>
                <w:kern w:val="21"/>
                <w:sz w:val="24"/>
              </w:rPr>
              <w:t>（r</w:t>
            </w:r>
            <w:r>
              <w:rPr>
                <w:rFonts w:ascii="Times New Roman" w:hAnsi="Times New Roman" w:eastAsia="宋体"/>
                <w:color w:val="auto"/>
                <w:kern w:val="21"/>
                <w:sz w:val="24"/>
                <w:vertAlign w:val="subscript"/>
              </w:rPr>
              <w:t>0</w:t>
            </w:r>
            <w:r>
              <w:rPr>
                <w:rFonts w:ascii="Times New Roman" w:hAnsi="Times New Roman" w:eastAsia="宋体"/>
                <w:color w:val="auto"/>
                <w:kern w:val="21"/>
                <w:sz w:val="24"/>
              </w:rPr>
              <w:t>）—r</w:t>
            </w:r>
            <w:r>
              <w:rPr>
                <w:rFonts w:ascii="Times New Roman" w:hAnsi="Times New Roman" w:eastAsia="宋体"/>
                <w:color w:val="auto"/>
                <w:kern w:val="21"/>
                <w:sz w:val="24"/>
                <w:vertAlign w:val="subscript"/>
              </w:rPr>
              <w:t>0</w:t>
            </w:r>
            <w:r>
              <w:rPr>
                <w:rFonts w:ascii="Times New Roman" w:hAnsi="Times New Roman" w:eastAsia="宋体"/>
                <w:color w:val="auto"/>
                <w:kern w:val="21"/>
                <w:sz w:val="24"/>
              </w:rPr>
              <w:t>处A声级，dB（A）；</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 xml:space="preserve">      A—倍频带衰减，dB（A）。</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b）建设项目声源在预测点产生的等效声级贡献值（L</w:t>
            </w:r>
            <w:r>
              <w:rPr>
                <w:rFonts w:ascii="Times New Roman" w:hAnsi="Times New Roman" w:eastAsia="宋体"/>
                <w:color w:val="auto"/>
                <w:kern w:val="21"/>
                <w:sz w:val="24"/>
                <w:vertAlign w:val="subscript"/>
              </w:rPr>
              <w:t>eqg</w:t>
            </w:r>
            <w:r>
              <w:rPr>
                <w:rFonts w:ascii="Times New Roman" w:hAnsi="Times New Roman" w:eastAsia="宋体"/>
                <w:color w:val="auto"/>
                <w:kern w:val="21"/>
                <w:sz w:val="24"/>
              </w:rPr>
              <w:t>）计算公式：</w:t>
            </w:r>
          </w:p>
          <w:p>
            <w:pPr>
              <w:adjustRightInd w:val="0"/>
              <w:snapToGrid w:val="0"/>
              <w:spacing w:line="360" w:lineRule="auto"/>
              <w:ind w:firstLine="480" w:firstLineChars="200"/>
              <w:jc w:val="center"/>
              <w:rPr>
                <w:rFonts w:ascii="Times New Roman" w:hAnsi="Times New Roman" w:eastAsia="宋体"/>
                <w:color w:val="auto"/>
                <w:kern w:val="21"/>
                <w:sz w:val="24"/>
              </w:rPr>
            </w:pPr>
            <w:r>
              <w:rPr>
                <w:rFonts w:ascii="Times New Roman" w:hAnsi="Times New Roman" w:eastAsia="宋体"/>
                <w:color w:val="auto"/>
                <w:sz w:val="24"/>
              </w:rPr>
              <w:drawing>
                <wp:inline distT="0" distB="0" distL="114300" distR="114300">
                  <wp:extent cx="2072640" cy="426720"/>
                  <wp:effectExtent l="0" t="0" r="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1"/>
                          <a:stretch>
                            <a:fillRect/>
                          </a:stretch>
                        </pic:blipFill>
                        <pic:spPr>
                          <a:xfrm>
                            <a:off x="0" y="0"/>
                            <a:ext cx="2072640" cy="426720"/>
                          </a:xfrm>
                          <a:prstGeom prst="rect">
                            <a:avLst/>
                          </a:prstGeom>
                          <a:noFill/>
                          <a:ln>
                            <a:noFill/>
                          </a:ln>
                        </pic:spPr>
                      </pic:pic>
                    </a:graphicData>
                  </a:graphic>
                </wp:inline>
              </w:drawing>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式中：L</w:t>
            </w:r>
            <w:r>
              <w:rPr>
                <w:rFonts w:ascii="Times New Roman" w:hAnsi="Times New Roman" w:eastAsia="宋体"/>
                <w:color w:val="auto"/>
                <w:kern w:val="21"/>
                <w:sz w:val="24"/>
                <w:vertAlign w:val="subscript"/>
              </w:rPr>
              <w:t>eqg</w:t>
            </w:r>
            <w:r>
              <w:rPr>
                <w:rFonts w:ascii="Times New Roman" w:hAnsi="Times New Roman" w:eastAsia="宋体"/>
                <w:color w:val="auto"/>
                <w:kern w:val="21"/>
                <w:sz w:val="24"/>
              </w:rPr>
              <w:t>—建设项目声源在预测点的等效声级贡献值，dB（A）；</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 xml:space="preserve">      L</w:t>
            </w:r>
            <w:r>
              <w:rPr>
                <w:rFonts w:ascii="Times New Roman" w:hAnsi="Times New Roman" w:eastAsia="宋体"/>
                <w:color w:val="auto"/>
                <w:kern w:val="21"/>
                <w:sz w:val="24"/>
                <w:vertAlign w:val="subscript"/>
              </w:rPr>
              <w:t>Ai</w:t>
            </w:r>
            <w:r>
              <w:rPr>
                <w:rFonts w:ascii="Times New Roman" w:hAnsi="Times New Roman" w:eastAsia="宋体"/>
                <w:color w:val="auto"/>
                <w:kern w:val="21"/>
                <w:sz w:val="24"/>
              </w:rPr>
              <w:t xml:space="preserve">—i声源在预测点产生的A声级，dB（A）； </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 xml:space="preserve">      T—预测计算的时间段，s；</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 xml:space="preserve">      t</w:t>
            </w:r>
            <w:r>
              <w:rPr>
                <w:rFonts w:ascii="Times New Roman" w:hAnsi="Times New Roman" w:eastAsia="宋体"/>
                <w:color w:val="auto"/>
                <w:kern w:val="21"/>
                <w:sz w:val="24"/>
                <w:vertAlign w:val="subscript"/>
              </w:rPr>
              <w:t>i</w:t>
            </w:r>
            <w:r>
              <w:rPr>
                <w:rFonts w:ascii="Times New Roman" w:hAnsi="Times New Roman" w:eastAsia="宋体"/>
                <w:color w:val="auto"/>
                <w:kern w:val="21"/>
                <w:sz w:val="24"/>
              </w:rPr>
              <w:t>—i声源在T时段内的运行时间，s。</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c）预测点的预测等效声级（L</w:t>
            </w:r>
            <w:r>
              <w:rPr>
                <w:rFonts w:ascii="Times New Roman" w:hAnsi="Times New Roman" w:eastAsia="宋体"/>
                <w:color w:val="auto"/>
                <w:kern w:val="21"/>
                <w:sz w:val="24"/>
                <w:vertAlign w:val="subscript"/>
              </w:rPr>
              <w:t>eq</w:t>
            </w:r>
            <w:r>
              <w:rPr>
                <w:rFonts w:ascii="Times New Roman" w:hAnsi="Times New Roman" w:eastAsia="宋体"/>
                <w:color w:val="auto"/>
                <w:kern w:val="21"/>
                <w:sz w:val="24"/>
              </w:rPr>
              <w:t>）计算公式：</w:t>
            </w:r>
          </w:p>
          <w:p>
            <w:pPr>
              <w:adjustRightInd w:val="0"/>
              <w:snapToGrid w:val="0"/>
              <w:spacing w:line="360" w:lineRule="auto"/>
              <w:ind w:firstLine="480" w:firstLineChars="200"/>
              <w:jc w:val="center"/>
              <w:rPr>
                <w:rFonts w:ascii="Times New Roman" w:hAnsi="Times New Roman" w:eastAsia="宋体"/>
                <w:color w:val="auto"/>
                <w:kern w:val="21"/>
                <w:sz w:val="24"/>
              </w:rPr>
            </w:pPr>
            <w:r>
              <w:rPr>
                <w:rFonts w:ascii="Times New Roman" w:hAnsi="Times New Roman" w:eastAsia="宋体"/>
                <w:color w:val="auto"/>
                <w:sz w:val="24"/>
              </w:rPr>
              <w:drawing>
                <wp:inline distT="0" distB="0" distL="114300" distR="114300">
                  <wp:extent cx="1737360" cy="304800"/>
                  <wp:effectExtent l="0" t="0" r="0"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2"/>
                          <a:stretch>
                            <a:fillRect/>
                          </a:stretch>
                        </pic:blipFill>
                        <pic:spPr>
                          <a:xfrm>
                            <a:off x="0" y="0"/>
                            <a:ext cx="1737360" cy="304800"/>
                          </a:xfrm>
                          <a:prstGeom prst="rect">
                            <a:avLst/>
                          </a:prstGeom>
                          <a:noFill/>
                          <a:ln>
                            <a:noFill/>
                          </a:ln>
                        </pic:spPr>
                      </pic:pic>
                    </a:graphicData>
                  </a:graphic>
                </wp:inline>
              </w:drawing>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式中：L</w:t>
            </w:r>
            <w:r>
              <w:rPr>
                <w:rFonts w:ascii="Times New Roman" w:hAnsi="Times New Roman" w:eastAsia="宋体"/>
                <w:color w:val="auto"/>
                <w:kern w:val="21"/>
                <w:sz w:val="24"/>
                <w:vertAlign w:val="subscript"/>
              </w:rPr>
              <w:t>eqb</w:t>
            </w:r>
            <w:r>
              <w:rPr>
                <w:rFonts w:ascii="Times New Roman" w:hAnsi="Times New Roman" w:eastAsia="宋体"/>
                <w:color w:val="auto"/>
                <w:kern w:val="21"/>
                <w:sz w:val="24"/>
              </w:rPr>
              <w:t>—预测点的背景值，dB（A）。</w:t>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d）在环境噪声预测中各噪声源作为点声源处理，故几何发散衰减：</w:t>
            </w:r>
          </w:p>
          <w:p>
            <w:pPr>
              <w:adjustRightInd w:val="0"/>
              <w:snapToGrid w:val="0"/>
              <w:spacing w:line="360" w:lineRule="auto"/>
              <w:ind w:firstLine="720" w:firstLineChars="300"/>
              <w:jc w:val="center"/>
              <w:rPr>
                <w:rFonts w:ascii="Times New Roman" w:hAnsi="Times New Roman" w:eastAsia="宋体"/>
                <w:color w:val="auto"/>
                <w:kern w:val="21"/>
                <w:sz w:val="24"/>
              </w:rPr>
            </w:pPr>
            <w:r>
              <w:rPr>
                <w:rFonts w:ascii="Times New Roman" w:hAnsi="Times New Roman" w:eastAsia="宋体"/>
                <w:color w:val="auto"/>
                <w:sz w:val="24"/>
              </w:rPr>
              <w:drawing>
                <wp:inline distT="0" distB="0" distL="114300" distR="114300">
                  <wp:extent cx="1295400" cy="510540"/>
                  <wp:effectExtent l="0" t="0" r="0" b="762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3"/>
                          <a:stretch>
                            <a:fillRect/>
                          </a:stretch>
                        </pic:blipFill>
                        <pic:spPr>
                          <a:xfrm>
                            <a:off x="0" y="0"/>
                            <a:ext cx="1295400" cy="510540"/>
                          </a:xfrm>
                          <a:prstGeom prst="rect">
                            <a:avLst/>
                          </a:prstGeom>
                          <a:noFill/>
                          <a:ln>
                            <a:noFill/>
                          </a:ln>
                        </pic:spPr>
                      </pic:pic>
                    </a:graphicData>
                  </a:graphic>
                </wp:inline>
              </w:drawing>
            </w:r>
          </w:p>
          <w:p>
            <w:pPr>
              <w:adjustRightInd w:val="0"/>
              <w:snapToGrid w:val="0"/>
              <w:spacing w:line="360" w:lineRule="auto"/>
              <w:ind w:firstLine="480" w:firstLineChars="200"/>
              <w:jc w:val="left"/>
              <w:rPr>
                <w:rFonts w:ascii="Times New Roman" w:hAnsi="Times New Roman" w:eastAsia="宋体"/>
                <w:color w:val="auto"/>
                <w:kern w:val="21"/>
                <w:sz w:val="24"/>
              </w:rPr>
            </w:pPr>
            <w:r>
              <w:rPr>
                <w:rFonts w:ascii="Times New Roman" w:hAnsi="Times New Roman" w:eastAsia="宋体"/>
                <w:color w:val="auto"/>
                <w:kern w:val="21"/>
                <w:sz w:val="24"/>
              </w:rPr>
              <w:t>式中：A</w:t>
            </w:r>
            <w:r>
              <w:rPr>
                <w:rFonts w:ascii="Times New Roman" w:hAnsi="Times New Roman" w:eastAsia="宋体"/>
                <w:color w:val="auto"/>
                <w:kern w:val="21"/>
                <w:sz w:val="24"/>
                <w:vertAlign w:val="subscript"/>
              </w:rPr>
              <w:t>div</w:t>
            </w:r>
            <w:r>
              <w:rPr>
                <w:rFonts w:ascii="Times New Roman" w:hAnsi="Times New Roman" w:eastAsia="宋体"/>
                <w:color w:val="auto"/>
                <w:kern w:val="21"/>
                <w:sz w:val="24"/>
              </w:rPr>
              <w:t>—几何发散衰减；</w:t>
            </w:r>
          </w:p>
          <w:p>
            <w:pPr>
              <w:adjustRightInd w:val="0"/>
              <w:snapToGrid w:val="0"/>
              <w:spacing w:line="360" w:lineRule="auto"/>
              <w:ind w:firstLine="1200" w:firstLineChars="500"/>
              <w:jc w:val="left"/>
              <w:rPr>
                <w:rFonts w:ascii="Times New Roman" w:hAnsi="Times New Roman" w:eastAsia="宋体"/>
                <w:color w:val="auto"/>
                <w:kern w:val="21"/>
                <w:sz w:val="24"/>
              </w:rPr>
            </w:pPr>
            <w:r>
              <w:rPr>
                <w:rFonts w:ascii="Times New Roman" w:hAnsi="Times New Roman" w:eastAsia="宋体"/>
                <w:color w:val="auto"/>
                <w:kern w:val="21"/>
                <w:sz w:val="24"/>
              </w:rPr>
              <w:t>r</w:t>
            </w:r>
            <w:r>
              <w:rPr>
                <w:rFonts w:ascii="Times New Roman" w:hAnsi="Times New Roman" w:eastAsia="宋体"/>
                <w:color w:val="auto"/>
                <w:kern w:val="21"/>
                <w:sz w:val="24"/>
                <w:vertAlign w:val="subscript"/>
              </w:rPr>
              <w:t>0</w:t>
            </w:r>
            <w:r>
              <w:rPr>
                <w:rFonts w:ascii="Times New Roman" w:hAnsi="Times New Roman" w:eastAsia="宋体"/>
                <w:color w:val="auto"/>
                <w:kern w:val="21"/>
                <w:sz w:val="24"/>
              </w:rPr>
              <w:t>—噪声合成点与噪声源的距离，m；</w:t>
            </w:r>
          </w:p>
          <w:p>
            <w:pPr>
              <w:adjustRightInd w:val="0"/>
              <w:snapToGrid w:val="0"/>
              <w:spacing w:line="360" w:lineRule="auto"/>
              <w:ind w:firstLine="480" w:firstLineChars="200"/>
              <w:rPr>
                <w:rFonts w:ascii="Times New Roman" w:hAnsi="Times New Roman" w:eastAsia="宋体"/>
                <w:b/>
                <w:color w:val="auto"/>
                <w:sz w:val="24"/>
              </w:rPr>
            </w:pPr>
            <w:r>
              <w:rPr>
                <w:rFonts w:ascii="Times New Roman" w:hAnsi="Times New Roman" w:eastAsia="宋体"/>
                <w:color w:val="auto"/>
                <w:kern w:val="21"/>
                <w:sz w:val="24"/>
              </w:rPr>
              <w:t>r—预测点与噪声源的距离，m。</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（2）</w:t>
            </w:r>
            <w:r>
              <w:rPr>
                <w:rFonts w:ascii="Times New Roman" w:hAnsi="Times New Roman" w:eastAsia="宋体"/>
                <w:color w:val="auto"/>
                <w:sz w:val="24"/>
              </w:rPr>
              <w:t>预测参数</w:t>
            </w:r>
          </w:p>
          <w:p>
            <w:pPr>
              <w:spacing w:line="360" w:lineRule="auto"/>
              <w:ind w:left="420" w:leftChars="200"/>
              <w:rPr>
                <w:rFonts w:ascii="Times New Roman" w:hAnsi="Times New Roman" w:eastAsia="宋体"/>
                <w:color w:val="auto"/>
                <w:sz w:val="24"/>
              </w:rPr>
            </w:pPr>
            <w:r>
              <w:rPr>
                <w:rFonts w:ascii="Times New Roman" w:hAnsi="Times New Roman" w:eastAsia="宋体"/>
                <w:color w:val="auto"/>
                <w:sz w:val="24"/>
              </w:rPr>
              <w:t>①噪声源强</w:t>
            </w:r>
          </w:p>
          <w:p>
            <w:pPr>
              <w:adjustRightInd w:val="0"/>
              <w:snapToGrid w:val="0"/>
              <w:spacing w:line="360" w:lineRule="auto"/>
              <w:ind w:firstLine="480" w:firstLineChars="200"/>
              <w:rPr>
                <w:rFonts w:ascii="Times New Roman" w:hAnsi="Times New Roman" w:eastAsia="宋体"/>
                <w:b/>
                <w:color w:val="auto"/>
                <w:kern w:val="0"/>
                <w:szCs w:val="21"/>
              </w:rPr>
            </w:pPr>
            <w:r>
              <w:rPr>
                <w:rFonts w:ascii="Times New Roman" w:hAnsi="Times New Roman" w:eastAsia="宋体"/>
                <w:color w:val="auto"/>
                <w:sz w:val="24"/>
              </w:rPr>
              <w:t>本</w:t>
            </w:r>
            <w:r>
              <w:rPr>
                <w:rFonts w:hint="eastAsia" w:ascii="Times New Roman" w:hAnsi="Times New Roman" w:eastAsia="宋体"/>
                <w:color w:val="auto"/>
                <w:sz w:val="24"/>
                <w:lang w:val="en-US" w:eastAsia="zh-CN"/>
              </w:rPr>
              <w:t>次</w:t>
            </w:r>
            <w:r>
              <w:rPr>
                <w:rFonts w:ascii="Times New Roman" w:hAnsi="Times New Roman" w:eastAsia="宋体"/>
                <w:color w:val="auto"/>
                <w:sz w:val="24"/>
              </w:rPr>
              <w:t>项目在生产过程中产生的噪声主要来自</w:t>
            </w:r>
            <w:r>
              <w:rPr>
                <w:rFonts w:hint="eastAsia" w:ascii="Times New Roman" w:hAnsi="Times New Roman" w:eastAsia="宋体"/>
                <w:color w:val="auto"/>
                <w:sz w:val="24"/>
                <w:lang w:val="en-US" w:eastAsia="zh-CN"/>
              </w:rPr>
              <w:t>喷漆房</w:t>
            </w:r>
            <w:r>
              <w:rPr>
                <w:rFonts w:ascii="Times New Roman" w:hAnsi="Times New Roman" w:eastAsia="宋体"/>
                <w:color w:val="auto"/>
                <w:kern w:val="0"/>
                <w:sz w:val="24"/>
              </w:rPr>
              <w:t>，</w:t>
            </w:r>
            <w:r>
              <w:rPr>
                <w:rFonts w:hint="eastAsia" w:ascii="Times New Roman" w:hAnsi="Times New Roman" w:eastAsia="宋体"/>
                <w:color w:val="auto"/>
                <w:kern w:val="0"/>
                <w:sz w:val="24"/>
              </w:rPr>
              <w:t>室外</w:t>
            </w:r>
            <w:r>
              <w:rPr>
                <w:rFonts w:ascii="Times New Roman" w:hAnsi="Times New Roman" w:eastAsia="宋体"/>
                <w:color w:val="auto"/>
                <w:kern w:val="0"/>
                <w:sz w:val="24"/>
              </w:rPr>
              <w:t>噪声污染源强见表</w:t>
            </w:r>
            <w:r>
              <w:rPr>
                <w:rFonts w:hint="eastAsia" w:ascii="Times New Roman" w:hAnsi="Times New Roman" w:eastAsia="宋体"/>
                <w:color w:val="auto"/>
                <w:kern w:val="0"/>
                <w:sz w:val="24"/>
              </w:rPr>
              <w:t>4</w:t>
            </w:r>
            <w:r>
              <w:rPr>
                <w:rFonts w:ascii="Times New Roman" w:hAnsi="Times New Roman" w:eastAsia="宋体"/>
                <w:color w:val="auto"/>
                <w:kern w:val="0"/>
                <w:sz w:val="24"/>
              </w:rPr>
              <w:t>-</w:t>
            </w:r>
            <w:r>
              <w:rPr>
                <w:rFonts w:hint="eastAsia"/>
                <w:color w:val="auto"/>
                <w:kern w:val="0"/>
                <w:sz w:val="24"/>
                <w:lang w:val="en-US" w:eastAsia="zh-CN"/>
              </w:rPr>
              <w:t>21</w:t>
            </w:r>
            <w:r>
              <w:rPr>
                <w:rFonts w:hint="eastAsia" w:ascii="Times New Roman" w:hAnsi="Times New Roman" w:eastAsia="宋体"/>
                <w:color w:val="auto"/>
                <w:kern w:val="0"/>
                <w:sz w:val="24"/>
              </w:rPr>
              <w:t>，室内噪声源强详见表4-</w:t>
            </w:r>
            <w:r>
              <w:rPr>
                <w:rFonts w:hint="eastAsia" w:ascii="Times New Roman" w:hAnsi="Times New Roman" w:eastAsia="宋体"/>
                <w:color w:val="auto"/>
                <w:kern w:val="0"/>
                <w:sz w:val="24"/>
                <w:lang w:val="en-US" w:eastAsia="zh-CN"/>
              </w:rPr>
              <w:t>2</w:t>
            </w:r>
            <w:r>
              <w:rPr>
                <w:rFonts w:hint="eastAsia"/>
                <w:color w:val="auto"/>
                <w:kern w:val="0"/>
                <w:sz w:val="24"/>
                <w:lang w:val="en-US" w:eastAsia="zh-CN"/>
              </w:rPr>
              <w:t>2</w:t>
            </w:r>
            <w:r>
              <w:rPr>
                <w:rFonts w:ascii="Times New Roman" w:hAnsi="Times New Roman" w:eastAsia="宋体"/>
                <w:color w:val="auto"/>
                <w:sz w:val="24"/>
              </w:rPr>
              <w:t>。</w:t>
            </w:r>
          </w:p>
          <w:p>
            <w:pPr>
              <w:jc w:val="center"/>
              <w:rPr>
                <w:rFonts w:ascii="Times New Roman" w:hAnsi="Times New Roman" w:eastAsia="宋体"/>
                <w:b/>
                <w:color w:val="auto"/>
                <w:kern w:val="0"/>
                <w:szCs w:val="21"/>
              </w:rPr>
            </w:pPr>
            <w:r>
              <w:rPr>
                <w:rFonts w:ascii="Times New Roman" w:hAnsi="Times New Roman" w:eastAsia="宋体"/>
                <w:b/>
                <w:color w:val="auto"/>
                <w:kern w:val="0"/>
                <w:szCs w:val="21"/>
              </w:rPr>
              <w:t>表</w:t>
            </w:r>
            <w:r>
              <w:rPr>
                <w:rFonts w:hint="eastAsia" w:ascii="Times New Roman" w:hAnsi="Times New Roman" w:eastAsia="宋体"/>
                <w:b/>
                <w:color w:val="auto"/>
                <w:kern w:val="0"/>
                <w:szCs w:val="21"/>
              </w:rPr>
              <w:t>4</w:t>
            </w:r>
            <w:r>
              <w:rPr>
                <w:rFonts w:ascii="Times New Roman" w:hAnsi="Times New Roman" w:eastAsia="宋体"/>
                <w:b/>
                <w:color w:val="auto"/>
                <w:kern w:val="0"/>
                <w:szCs w:val="21"/>
              </w:rPr>
              <w:t>-</w:t>
            </w:r>
            <w:r>
              <w:rPr>
                <w:rFonts w:hint="eastAsia"/>
                <w:b/>
                <w:color w:val="auto"/>
                <w:kern w:val="0"/>
                <w:szCs w:val="21"/>
                <w:lang w:val="en-US" w:eastAsia="zh-CN"/>
              </w:rPr>
              <w:t>21</w:t>
            </w:r>
            <w:r>
              <w:rPr>
                <w:rFonts w:ascii="Times New Roman" w:hAnsi="Times New Roman" w:eastAsia="宋体"/>
                <w:b/>
                <w:color w:val="auto"/>
                <w:kern w:val="0"/>
                <w:szCs w:val="21"/>
              </w:rPr>
              <w:t xml:space="preserve"> </w:t>
            </w:r>
            <w:r>
              <w:rPr>
                <w:rFonts w:hint="eastAsia" w:ascii="Times New Roman" w:hAnsi="Times New Roman" w:eastAsia="宋体"/>
                <w:b/>
                <w:color w:val="auto"/>
                <w:kern w:val="0"/>
                <w:szCs w:val="21"/>
              </w:rPr>
              <w:t>工业企业噪声源强调查清单（室外声源）</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428"/>
              <w:gridCol w:w="600"/>
              <w:gridCol w:w="703"/>
              <w:gridCol w:w="703"/>
              <w:gridCol w:w="704"/>
              <w:gridCol w:w="1069"/>
              <w:gridCol w:w="1365"/>
              <w:gridCol w:w="1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序号</w:t>
                  </w:r>
                </w:p>
              </w:tc>
              <w:tc>
                <w:tcPr>
                  <w:tcW w:w="1428"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声源名称</w:t>
                  </w:r>
                </w:p>
              </w:tc>
              <w:tc>
                <w:tcPr>
                  <w:tcW w:w="600"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型号</w:t>
                  </w:r>
                </w:p>
              </w:tc>
              <w:tc>
                <w:tcPr>
                  <w:tcW w:w="2110" w:type="dxa"/>
                  <w:gridSpan w:val="3"/>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空间相对位置/m</w:t>
                  </w:r>
                </w:p>
              </w:tc>
              <w:tc>
                <w:tcPr>
                  <w:tcW w:w="1069" w:type="dxa"/>
                  <w:vMerge w:val="restart"/>
                  <w:tcBorders>
                    <w:tl2br w:val="nil"/>
                    <w:tr2bl w:val="nil"/>
                  </w:tcBorders>
                  <w:vAlign w:val="center"/>
                </w:tcPr>
                <w:p>
                  <w:pPr>
                    <w:adjustRightInd w:val="0"/>
                    <w:snapToGrid w:val="0"/>
                    <w:jc w:val="center"/>
                    <w:rPr>
                      <w:rFonts w:ascii="Times New Roman" w:hAnsi="Times New Roman" w:eastAsia="宋体"/>
                      <w:b/>
                      <w:bCs/>
                      <w:color w:val="auto"/>
                      <w:szCs w:val="21"/>
                    </w:rPr>
                  </w:pPr>
                  <w:r>
                    <w:rPr>
                      <w:rFonts w:ascii="Times New Roman" w:hAnsi="Times New Roman" w:eastAsia="宋体"/>
                      <w:b/>
                      <w:bCs/>
                      <w:color w:val="auto"/>
                      <w:szCs w:val="21"/>
                    </w:rPr>
                    <w:t>声功率级/dB(A)</w:t>
                  </w:r>
                </w:p>
              </w:tc>
              <w:tc>
                <w:tcPr>
                  <w:tcW w:w="1365"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声源控制措施</w:t>
                  </w:r>
                </w:p>
              </w:tc>
              <w:tc>
                <w:tcPr>
                  <w:tcW w:w="1026"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运行时段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dxa"/>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1428" w:type="dxa"/>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600" w:type="dxa"/>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703"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X</w:t>
                  </w:r>
                </w:p>
              </w:tc>
              <w:tc>
                <w:tcPr>
                  <w:tcW w:w="703"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Y</w:t>
                  </w:r>
                </w:p>
              </w:tc>
              <w:tc>
                <w:tcPr>
                  <w:tcW w:w="704"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Z</w:t>
                  </w:r>
                </w:p>
              </w:tc>
              <w:tc>
                <w:tcPr>
                  <w:tcW w:w="1069" w:type="dxa"/>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1365" w:type="dxa"/>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1026" w:type="dxa"/>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1</w:t>
                  </w:r>
                </w:p>
              </w:tc>
              <w:tc>
                <w:tcPr>
                  <w:tcW w:w="1428"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废气处理装置风机1#</w:t>
                  </w:r>
                </w:p>
              </w:tc>
              <w:tc>
                <w:tcPr>
                  <w:tcW w:w="600"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w:t>
                  </w:r>
                </w:p>
              </w:tc>
              <w:tc>
                <w:tcPr>
                  <w:tcW w:w="703"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 xml:space="preserve">20 </w:t>
                  </w:r>
                </w:p>
              </w:tc>
              <w:tc>
                <w:tcPr>
                  <w:tcW w:w="703"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12</w:t>
                  </w:r>
                </w:p>
              </w:tc>
              <w:tc>
                <w:tcPr>
                  <w:tcW w:w="704"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1.5</w:t>
                  </w:r>
                </w:p>
              </w:tc>
              <w:tc>
                <w:tcPr>
                  <w:tcW w:w="1069"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85</w:t>
                  </w:r>
                </w:p>
              </w:tc>
              <w:tc>
                <w:tcPr>
                  <w:tcW w:w="1365"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选用低噪声设备、基础减振</w:t>
                  </w:r>
                </w:p>
              </w:tc>
              <w:tc>
                <w:tcPr>
                  <w:tcW w:w="1026" w:type="dxa"/>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生产时同步运行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dxa"/>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2</w:t>
                  </w:r>
                </w:p>
              </w:tc>
              <w:tc>
                <w:tcPr>
                  <w:tcW w:w="1428" w:type="dxa"/>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空压机</w:t>
                  </w:r>
                </w:p>
              </w:tc>
              <w:tc>
                <w:tcPr>
                  <w:tcW w:w="600" w:type="dxa"/>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w:t>
                  </w:r>
                </w:p>
              </w:tc>
              <w:tc>
                <w:tcPr>
                  <w:tcW w:w="703"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4</w:t>
                  </w:r>
                  <w:r>
                    <w:rPr>
                      <w:rFonts w:hint="eastAsia" w:ascii="Times New Roman" w:hAnsi="Times New Roman" w:eastAsia="宋体"/>
                      <w:color w:val="auto"/>
                      <w:szCs w:val="21"/>
                    </w:rPr>
                    <w:t xml:space="preserve">0 </w:t>
                  </w:r>
                </w:p>
              </w:tc>
              <w:tc>
                <w:tcPr>
                  <w:tcW w:w="703" w:type="dxa"/>
                  <w:tcBorders>
                    <w:tl2br w:val="nil"/>
                    <w:tr2bl w:val="nil"/>
                  </w:tcBorders>
                  <w:shd w:val="clear" w:color="auto" w:fill="FFFFFF"/>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20</w:t>
                  </w:r>
                </w:p>
              </w:tc>
              <w:tc>
                <w:tcPr>
                  <w:tcW w:w="704"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1.5</w:t>
                  </w:r>
                </w:p>
              </w:tc>
              <w:tc>
                <w:tcPr>
                  <w:tcW w:w="1069"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85</w:t>
                  </w:r>
                </w:p>
              </w:tc>
              <w:tc>
                <w:tcPr>
                  <w:tcW w:w="1365"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选用低噪声设备、基础减振</w:t>
                  </w:r>
                </w:p>
              </w:tc>
              <w:tc>
                <w:tcPr>
                  <w:tcW w:w="1026"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生产时同步运行</w:t>
                  </w:r>
                </w:p>
              </w:tc>
            </w:tr>
          </w:tbl>
          <w:p>
            <w:pPr>
              <w:adjustRightInd w:val="0"/>
              <w:snapToGrid w:val="0"/>
              <w:rPr>
                <w:rFonts w:ascii="Times New Roman" w:hAnsi="Times New Roman" w:eastAsia="宋体"/>
                <w:b/>
                <w:color w:val="auto"/>
                <w:szCs w:val="21"/>
              </w:rPr>
            </w:pPr>
            <w:r>
              <w:rPr>
                <w:rFonts w:hint="eastAsia" w:ascii="Times New Roman" w:hAnsi="Times New Roman" w:eastAsia="宋体"/>
                <w:bCs/>
                <w:color w:val="auto"/>
                <w:szCs w:val="21"/>
              </w:rPr>
              <w:t>注*：以厂中心点为原点，东西向为 X 轴，南北向为 Y 轴。</w:t>
            </w:r>
          </w:p>
          <w:p>
            <w:pPr>
              <w:jc w:val="center"/>
              <w:rPr>
                <w:rFonts w:hint="eastAsia" w:ascii="Times New Roman" w:hAnsi="Times New Roman" w:eastAsia="宋体"/>
                <w:b/>
                <w:color w:val="auto"/>
                <w:kern w:val="0"/>
                <w:szCs w:val="21"/>
              </w:rPr>
            </w:pPr>
            <w:r>
              <w:rPr>
                <w:rFonts w:ascii="Times New Roman" w:hAnsi="Times New Roman" w:eastAsia="宋体"/>
                <w:b/>
                <w:color w:val="auto"/>
                <w:kern w:val="0"/>
                <w:szCs w:val="21"/>
              </w:rPr>
              <w:t>表</w:t>
            </w:r>
            <w:r>
              <w:rPr>
                <w:rFonts w:hint="eastAsia" w:ascii="Times New Roman" w:hAnsi="Times New Roman" w:eastAsia="宋体"/>
                <w:b/>
                <w:color w:val="auto"/>
                <w:kern w:val="0"/>
                <w:szCs w:val="21"/>
              </w:rPr>
              <w:t>4</w:t>
            </w:r>
            <w:r>
              <w:rPr>
                <w:rFonts w:ascii="Times New Roman" w:hAnsi="Times New Roman" w:eastAsia="宋体"/>
                <w:b/>
                <w:color w:val="auto"/>
                <w:kern w:val="0"/>
                <w:szCs w:val="21"/>
              </w:rPr>
              <w:t>-</w:t>
            </w:r>
            <w:r>
              <w:rPr>
                <w:rFonts w:hint="eastAsia"/>
                <w:b/>
                <w:color w:val="auto"/>
                <w:kern w:val="0"/>
                <w:szCs w:val="21"/>
                <w:lang w:val="en-US" w:eastAsia="zh-CN"/>
              </w:rPr>
              <w:t>22</w:t>
            </w:r>
            <w:r>
              <w:rPr>
                <w:rFonts w:ascii="Times New Roman" w:hAnsi="Times New Roman" w:eastAsia="宋体"/>
                <w:b/>
                <w:color w:val="auto"/>
                <w:kern w:val="0"/>
                <w:szCs w:val="21"/>
              </w:rPr>
              <w:t xml:space="preserve"> </w:t>
            </w:r>
            <w:r>
              <w:rPr>
                <w:rFonts w:hint="eastAsia" w:ascii="Times New Roman" w:hAnsi="Times New Roman" w:eastAsia="宋体"/>
                <w:b/>
                <w:color w:val="auto"/>
                <w:kern w:val="0"/>
                <w:szCs w:val="21"/>
              </w:rPr>
              <w:t>工业企业噪声源强调查清单（室内声源）</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2"/>
              <w:gridCol w:w="1257"/>
              <w:gridCol w:w="649"/>
              <w:gridCol w:w="649"/>
              <w:gridCol w:w="557"/>
              <w:gridCol w:w="481"/>
              <w:gridCol w:w="583"/>
              <w:gridCol w:w="347"/>
              <w:gridCol w:w="559"/>
              <w:gridCol w:w="452"/>
              <w:gridCol w:w="452"/>
              <w:gridCol w:w="462"/>
              <w:gridCol w:w="455"/>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序号</w:t>
                  </w:r>
                </w:p>
              </w:tc>
              <w:tc>
                <w:tcPr>
                  <w:tcW w:w="778"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声源名称</w:t>
                  </w:r>
                </w:p>
              </w:tc>
              <w:tc>
                <w:tcPr>
                  <w:tcW w:w="402" w:type="pct"/>
                  <w:vMerge w:val="restart"/>
                  <w:tcBorders>
                    <w:tl2br w:val="nil"/>
                    <w:tr2bl w:val="nil"/>
                  </w:tcBorders>
                  <w:vAlign w:val="center"/>
                </w:tcPr>
                <w:p>
                  <w:pPr>
                    <w:adjustRightInd w:val="0"/>
                    <w:snapToGrid w:val="0"/>
                    <w:jc w:val="center"/>
                    <w:rPr>
                      <w:rFonts w:ascii="Times New Roman" w:hAnsi="Times New Roman" w:eastAsia="宋体"/>
                      <w:b/>
                      <w:color w:val="auto"/>
                      <w:szCs w:val="21"/>
                    </w:rPr>
                  </w:pPr>
                  <w:r>
                    <w:rPr>
                      <w:rFonts w:hint="eastAsia" w:ascii="Times New Roman" w:hAnsi="Times New Roman" w:eastAsia="宋体"/>
                      <w:b/>
                      <w:color w:val="auto"/>
                      <w:szCs w:val="21"/>
                    </w:rPr>
                    <w:t>数量</w:t>
                  </w:r>
                </w:p>
              </w:tc>
              <w:tc>
                <w:tcPr>
                  <w:tcW w:w="402" w:type="pct"/>
                  <w:vMerge w:val="restart"/>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声功率级/dB(A)</w:t>
                  </w:r>
                </w:p>
              </w:tc>
              <w:tc>
                <w:tcPr>
                  <w:tcW w:w="345"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声源控制措施</w:t>
                  </w:r>
                </w:p>
              </w:tc>
              <w:tc>
                <w:tcPr>
                  <w:tcW w:w="1220" w:type="pct"/>
                  <w:gridSpan w:val="4"/>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距最近厂界距离（m）</w:t>
                  </w:r>
                </w:p>
              </w:tc>
              <w:tc>
                <w:tcPr>
                  <w:tcW w:w="846" w:type="pct"/>
                  <w:gridSpan w:val="3"/>
                  <w:tcBorders>
                    <w:tl2br w:val="nil"/>
                    <w:tr2bl w:val="nil"/>
                  </w:tcBorders>
                  <w:vAlign w:val="center"/>
                </w:tcPr>
                <w:p>
                  <w:pPr>
                    <w:adjustRightInd w:val="0"/>
                    <w:snapToGrid w:val="0"/>
                    <w:jc w:val="center"/>
                    <w:rPr>
                      <w:rFonts w:ascii="Times New Roman" w:hAnsi="Times New Roman" w:eastAsia="宋体"/>
                      <w:b/>
                      <w:color w:val="auto"/>
                      <w:szCs w:val="21"/>
                    </w:rPr>
                  </w:pPr>
                  <w:r>
                    <w:rPr>
                      <w:rFonts w:ascii="Times New Roman" w:hAnsi="Times New Roman" w:eastAsia="宋体"/>
                      <w:b/>
                      <w:color w:val="auto"/>
                      <w:szCs w:val="21"/>
                    </w:rPr>
                    <w:t>距</w:t>
                  </w:r>
                  <w:r>
                    <w:rPr>
                      <w:rFonts w:hint="eastAsia" w:ascii="Times New Roman" w:hAnsi="Times New Roman" w:eastAsia="宋体"/>
                      <w:b/>
                      <w:color w:val="auto"/>
                      <w:szCs w:val="21"/>
                    </w:rPr>
                    <w:t>敏感点</w:t>
                  </w:r>
                  <w:r>
                    <w:rPr>
                      <w:rFonts w:ascii="Times New Roman" w:hAnsi="Times New Roman" w:eastAsia="宋体"/>
                      <w:b/>
                      <w:color w:val="auto"/>
                      <w:szCs w:val="21"/>
                    </w:rPr>
                    <w:t>距离（m）</w:t>
                  </w:r>
                </w:p>
              </w:tc>
              <w:tc>
                <w:tcPr>
                  <w:tcW w:w="281"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运行时段</w:t>
                  </w:r>
                </w:p>
              </w:tc>
              <w:tc>
                <w:tcPr>
                  <w:tcW w:w="437"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b/>
                      <w:color w:val="auto"/>
                      <w:szCs w:val="21"/>
                    </w:rPr>
                    <w:t>建筑物插入损失 /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778"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402"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402"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345"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297" w:type="pct"/>
                  <w:tcBorders>
                    <w:tl2br w:val="nil"/>
                    <w:tr2bl w:val="nil"/>
                  </w:tcBorders>
                  <w:shd w:val="clear" w:color="auto" w:fill="FFFFFF"/>
                  <w:vAlign w:val="center"/>
                </w:tcPr>
                <w:p>
                  <w:pPr>
                    <w:pStyle w:val="9"/>
                    <w:jc w:val="center"/>
                    <w:rPr>
                      <w:rFonts w:ascii="Times New Roman" w:hAnsi="Times New Roman" w:eastAsia="宋体"/>
                      <w:b/>
                      <w:bCs/>
                      <w:color w:val="auto"/>
                      <w:szCs w:val="21"/>
                    </w:rPr>
                  </w:pPr>
                  <w:r>
                    <w:rPr>
                      <w:rFonts w:ascii="Times New Roman" w:hAnsi="Times New Roman" w:eastAsia="宋体"/>
                      <w:b/>
                      <w:color w:val="auto"/>
                      <w:szCs w:val="21"/>
                    </w:rPr>
                    <w:t>东</w:t>
                  </w:r>
                </w:p>
              </w:tc>
              <w:tc>
                <w:tcPr>
                  <w:tcW w:w="361" w:type="pct"/>
                  <w:tcBorders>
                    <w:tl2br w:val="nil"/>
                    <w:tr2bl w:val="nil"/>
                  </w:tcBorders>
                  <w:shd w:val="clear" w:color="auto" w:fill="FFFFFF"/>
                  <w:vAlign w:val="center"/>
                </w:tcPr>
                <w:p>
                  <w:pPr>
                    <w:pStyle w:val="9"/>
                    <w:jc w:val="center"/>
                    <w:rPr>
                      <w:rFonts w:ascii="Times New Roman" w:hAnsi="Times New Roman" w:eastAsia="宋体"/>
                      <w:b/>
                      <w:bCs/>
                      <w:color w:val="auto"/>
                      <w:szCs w:val="21"/>
                    </w:rPr>
                  </w:pPr>
                  <w:r>
                    <w:rPr>
                      <w:rFonts w:ascii="Times New Roman" w:hAnsi="Times New Roman" w:eastAsia="宋体"/>
                      <w:b/>
                      <w:color w:val="auto"/>
                      <w:szCs w:val="21"/>
                    </w:rPr>
                    <w:t>南</w:t>
                  </w:r>
                </w:p>
              </w:tc>
              <w:tc>
                <w:tcPr>
                  <w:tcW w:w="214" w:type="pct"/>
                  <w:tcBorders>
                    <w:tl2br w:val="nil"/>
                    <w:tr2bl w:val="nil"/>
                  </w:tcBorders>
                  <w:shd w:val="clear" w:color="auto" w:fill="FFFFFF"/>
                  <w:vAlign w:val="center"/>
                </w:tcPr>
                <w:p>
                  <w:pPr>
                    <w:pStyle w:val="9"/>
                    <w:jc w:val="center"/>
                    <w:rPr>
                      <w:rFonts w:ascii="Times New Roman" w:hAnsi="Times New Roman" w:eastAsia="宋体"/>
                      <w:b/>
                      <w:bCs/>
                      <w:color w:val="auto"/>
                      <w:szCs w:val="21"/>
                    </w:rPr>
                  </w:pPr>
                  <w:r>
                    <w:rPr>
                      <w:rFonts w:ascii="Times New Roman" w:hAnsi="Times New Roman" w:eastAsia="宋体"/>
                      <w:b/>
                      <w:color w:val="auto"/>
                      <w:szCs w:val="21"/>
                    </w:rPr>
                    <w:t>西</w:t>
                  </w:r>
                </w:p>
              </w:tc>
              <w:tc>
                <w:tcPr>
                  <w:tcW w:w="346" w:type="pct"/>
                  <w:tcBorders>
                    <w:tl2br w:val="nil"/>
                    <w:tr2bl w:val="nil"/>
                  </w:tcBorders>
                  <w:shd w:val="clear" w:color="auto" w:fill="FFFFFF"/>
                  <w:vAlign w:val="center"/>
                </w:tcPr>
                <w:p>
                  <w:pPr>
                    <w:pStyle w:val="9"/>
                    <w:jc w:val="center"/>
                    <w:rPr>
                      <w:rFonts w:ascii="Times New Roman" w:hAnsi="Times New Roman" w:eastAsia="宋体"/>
                      <w:b/>
                      <w:bCs/>
                      <w:color w:val="auto"/>
                      <w:szCs w:val="21"/>
                    </w:rPr>
                  </w:pPr>
                  <w:r>
                    <w:rPr>
                      <w:rFonts w:ascii="Times New Roman" w:hAnsi="Times New Roman" w:eastAsia="宋体"/>
                      <w:b/>
                      <w:color w:val="auto"/>
                      <w:szCs w:val="21"/>
                    </w:rPr>
                    <w:t>北</w:t>
                  </w:r>
                </w:p>
              </w:tc>
              <w:tc>
                <w:tcPr>
                  <w:tcW w:w="279" w:type="pct"/>
                  <w:tcBorders>
                    <w:tl2br w:val="nil"/>
                    <w:tr2bl w:val="nil"/>
                  </w:tcBorders>
                  <w:shd w:val="clear" w:color="auto" w:fill="FFFFFF"/>
                  <w:vAlign w:val="center"/>
                </w:tcPr>
                <w:p>
                  <w:pPr>
                    <w:pStyle w:val="9"/>
                    <w:jc w:val="center"/>
                    <w:rPr>
                      <w:rFonts w:ascii="Times New Roman" w:hAnsi="Times New Roman" w:eastAsia="宋体"/>
                      <w:b/>
                      <w:color w:val="auto"/>
                      <w:szCs w:val="21"/>
                    </w:rPr>
                  </w:pPr>
                  <w:r>
                    <w:rPr>
                      <w:rFonts w:hint="eastAsia" w:ascii="Times New Roman" w:hAnsi="Times New Roman" w:eastAsia="宋体"/>
                      <w:b/>
                      <w:color w:val="auto"/>
                      <w:szCs w:val="21"/>
                    </w:rPr>
                    <w:t>南1</w:t>
                  </w:r>
                </w:p>
              </w:tc>
              <w:tc>
                <w:tcPr>
                  <w:tcW w:w="279" w:type="pct"/>
                  <w:tcBorders>
                    <w:tl2br w:val="nil"/>
                    <w:tr2bl w:val="nil"/>
                  </w:tcBorders>
                  <w:shd w:val="clear" w:color="auto" w:fill="FFFFFF"/>
                  <w:vAlign w:val="center"/>
                </w:tcPr>
                <w:p>
                  <w:pPr>
                    <w:pStyle w:val="9"/>
                    <w:jc w:val="center"/>
                    <w:rPr>
                      <w:rFonts w:ascii="Times New Roman" w:hAnsi="Times New Roman" w:eastAsia="宋体"/>
                      <w:b/>
                      <w:color w:val="auto"/>
                      <w:szCs w:val="21"/>
                    </w:rPr>
                  </w:pPr>
                  <w:r>
                    <w:rPr>
                      <w:rFonts w:hint="eastAsia" w:ascii="Times New Roman" w:hAnsi="Times New Roman" w:eastAsia="宋体"/>
                      <w:b/>
                      <w:color w:val="auto"/>
                      <w:szCs w:val="21"/>
                    </w:rPr>
                    <w:t>南2</w:t>
                  </w:r>
                </w:p>
              </w:tc>
              <w:tc>
                <w:tcPr>
                  <w:tcW w:w="286" w:type="pct"/>
                  <w:tcBorders>
                    <w:tl2br w:val="nil"/>
                    <w:tr2bl w:val="nil"/>
                  </w:tcBorders>
                  <w:shd w:val="clear" w:color="auto" w:fill="FFFFFF"/>
                  <w:vAlign w:val="center"/>
                </w:tcPr>
                <w:p>
                  <w:pPr>
                    <w:pStyle w:val="9"/>
                    <w:jc w:val="center"/>
                    <w:rPr>
                      <w:rFonts w:hint="default" w:ascii="Times New Roman" w:hAnsi="Times New Roman" w:eastAsia="宋体"/>
                      <w:b/>
                      <w:color w:val="auto"/>
                      <w:szCs w:val="21"/>
                      <w:lang w:val="en-US" w:eastAsia="zh-CN"/>
                    </w:rPr>
                  </w:pPr>
                  <w:r>
                    <w:rPr>
                      <w:rFonts w:hint="eastAsia" w:ascii="Times New Roman" w:hAnsi="Times New Roman" w:eastAsia="宋体"/>
                      <w:b/>
                      <w:color w:val="auto"/>
                      <w:szCs w:val="21"/>
                      <w:lang w:val="en-US" w:eastAsia="zh-CN"/>
                    </w:rPr>
                    <w:t>南3</w:t>
                  </w:r>
                </w:p>
              </w:tc>
              <w:tc>
                <w:tcPr>
                  <w:tcW w:w="281"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c>
                <w:tcPr>
                  <w:tcW w:w="437" w:type="pct"/>
                  <w:vMerge w:val="continue"/>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1</w:t>
                  </w:r>
                </w:p>
              </w:tc>
              <w:tc>
                <w:tcPr>
                  <w:tcW w:w="778" w:type="pct"/>
                  <w:tcBorders>
                    <w:tl2br w:val="nil"/>
                    <w:tr2bl w:val="nil"/>
                  </w:tcBorders>
                  <w:shd w:val="clear" w:color="auto" w:fill="FFFFFF"/>
                  <w:vAlign w:val="center"/>
                </w:tcPr>
                <w:p>
                  <w:pPr>
                    <w:pStyle w:val="9"/>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喷漆房</w:t>
                  </w:r>
                </w:p>
              </w:tc>
              <w:tc>
                <w:tcPr>
                  <w:tcW w:w="402" w:type="pct"/>
                  <w:tcBorders>
                    <w:tl2br w:val="nil"/>
                    <w:tr2bl w:val="nil"/>
                  </w:tcBorders>
                  <w:shd w:val="clear" w:color="auto" w:fill="FFFFFF"/>
                  <w:vAlign w:val="center"/>
                </w:tcPr>
                <w:p>
                  <w:pPr>
                    <w:widowControl/>
                    <w:jc w:val="center"/>
                    <w:rPr>
                      <w:rFonts w:ascii="Times New Roman" w:hAnsi="Times New Roman" w:eastAsia="宋体"/>
                      <w:color w:val="auto"/>
                      <w:kern w:val="0"/>
                      <w:szCs w:val="21"/>
                    </w:rPr>
                  </w:pPr>
                  <w:r>
                    <w:rPr>
                      <w:rFonts w:hint="eastAsia" w:ascii="Times New Roman" w:hAnsi="Times New Roman" w:eastAsia="宋体"/>
                      <w:color w:val="auto"/>
                      <w:kern w:val="0"/>
                      <w:szCs w:val="21"/>
                    </w:rPr>
                    <w:t>1</w:t>
                  </w:r>
                </w:p>
              </w:tc>
              <w:tc>
                <w:tcPr>
                  <w:tcW w:w="402" w:type="pct"/>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85</w:t>
                  </w:r>
                </w:p>
              </w:tc>
              <w:tc>
                <w:tcPr>
                  <w:tcW w:w="345" w:type="pct"/>
                  <w:vMerge w:val="restart"/>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合理布局，</w:t>
                  </w:r>
                  <w:r>
                    <w:rPr>
                      <w:rFonts w:ascii="Times New Roman" w:hAnsi="Times New Roman" w:eastAsia="宋体"/>
                      <w:color w:val="auto"/>
                      <w:szCs w:val="21"/>
                    </w:rPr>
                    <w:t>基础减振，厂房隔声</w:t>
                  </w:r>
                  <w:r>
                    <w:rPr>
                      <w:rFonts w:hint="eastAsia" w:ascii="Times New Roman" w:hAnsi="Times New Roman" w:eastAsia="宋体"/>
                      <w:color w:val="auto"/>
                      <w:szCs w:val="21"/>
                    </w:rPr>
                    <w:t>，距离衰减</w:t>
                  </w:r>
                </w:p>
              </w:tc>
              <w:tc>
                <w:tcPr>
                  <w:tcW w:w="297" w:type="pct"/>
                  <w:tcBorders>
                    <w:tl2br w:val="nil"/>
                    <w:tr2bl w:val="nil"/>
                  </w:tcBorders>
                  <w:shd w:val="clear" w:color="auto" w:fill="FFFFFF"/>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28</w:t>
                  </w:r>
                </w:p>
              </w:tc>
              <w:tc>
                <w:tcPr>
                  <w:tcW w:w="361" w:type="pct"/>
                  <w:tcBorders>
                    <w:tl2br w:val="nil"/>
                    <w:tr2bl w:val="nil"/>
                  </w:tcBorders>
                  <w:shd w:val="clear" w:color="auto" w:fill="FFFFFF"/>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56</w:t>
                  </w:r>
                </w:p>
              </w:tc>
              <w:tc>
                <w:tcPr>
                  <w:tcW w:w="214" w:type="pct"/>
                  <w:tcBorders>
                    <w:tl2br w:val="nil"/>
                    <w:tr2bl w:val="nil"/>
                  </w:tcBorders>
                  <w:shd w:val="clear" w:color="auto" w:fill="FFFFFF"/>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58</w:t>
                  </w:r>
                </w:p>
              </w:tc>
              <w:tc>
                <w:tcPr>
                  <w:tcW w:w="346" w:type="pct"/>
                  <w:tcBorders>
                    <w:tl2br w:val="nil"/>
                    <w:tr2bl w:val="nil"/>
                  </w:tcBorders>
                  <w:shd w:val="clear" w:color="auto" w:fill="FFFFFF"/>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42</w:t>
                  </w:r>
                </w:p>
              </w:tc>
              <w:tc>
                <w:tcPr>
                  <w:tcW w:w="279" w:type="pct"/>
                  <w:tcBorders>
                    <w:tl2br w:val="nil"/>
                    <w:tr2bl w:val="nil"/>
                  </w:tcBorders>
                  <w:shd w:val="clear" w:color="auto" w:fill="FFFFFF"/>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93</w:t>
                  </w:r>
                </w:p>
              </w:tc>
              <w:tc>
                <w:tcPr>
                  <w:tcW w:w="279" w:type="pct"/>
                  <w:tcBorders>
                    <w:tl2br w:val="nil"/>
                    <w:tr2bl w:val="nil"/>
                  </w:tcBorders>
                  <w:shd w:val="clear" w:color="auto" w:fill="FFFFFF"/>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95</w:t>
                  </w:r>
                </w:p>
              </w:tc>
              <w:tc>
                <w:tcPr>
                  <w:tcW w:w="286" w:type="pct"/>
                  <w:tcBorders>
                    <w:tl2br w:val="nil"/>
                    <w:tr2bl w:val="nil"/>
                  </w:tcBorders>
                  <w:shd w:val="clear" w:color="auto" w:fill="FFFFFF"/>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97</w:t>
                  </w:r>
                </w:p>
              </w:tc>
              <w:tc>
                <w:tcPr>
                  <w:tcW w:w="281" w:type="pct"/>
                  <w:vMerge w:val="restart"/>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生产时段</w:t>
                  </w:r>
                </w:p>
              </w:tc>
              <w:tc>
                <w:tcPr>
                  <w:tcW w:w="437" w:type="pct"/>
                  <w:tcBorders>
                    <w:tl2br w:val="nil"/>
                    <w:tr2bl w:val="nil"/>
                  </w:tcBorders>
                  <w:shd w:val="clear" w:color="auto" w:fill="FFFFFF"/>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2</w:t>
                  </w:r>
                </w:p>
              </w:tc>
              <w:tc>
                <w:tcPr>
                  <w:tcW w:w="778" w:type="pct"/>
                  <w:tcBorders>
                    <w:tl2br w:val="nil"/>
                    <w:tr2bl w:val="nil"/>
                  </w:tcBorders>
                  <w:shd w:val="clear" w:color="auto" w:fill="FFFFFF"/>
                  <w:vAlign w:val="center"/>
                </w:tcPr>
                <w:p>
                  <w:pPr>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卧式镗铣床</w:t>
                  </w:r>
                </w:p>
              </w:tc>
              <w:tc>
                <w:tcPr>
                  <w:tcW w:w="402" w:type="pct"/>
                  <w:tcBorders>
                    <w:tl2br w:val="nil"/>
                    <w:tr2bl w:val="nil"/>
                  </w:tcBorders>
                  <w:shd w:val="clear" w:color="auto" w:fill="FFFFFF"/>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cs="Times New Roman"/>
                      <w:caps w:val="0"/>
                      <w:color w:val="auto"/>
                      <w:kern w:val="0"/>
                      <w:sz w:val="21"/>
                      <w:szCs w:val="21"/>
                      <w:lang w:val="en-US" w:eastAsia="zh-CN"/>
                    </w:rPr>
                    <w:t>1</w:t>
                  </w:r>
                </w:p>
              </w:tc>
              <w:tc>
                <w:tcPr>
                  <w:tcW w:w="402" w:type="pct"/>
                  <w:tcBorders>
                    <w:tl2br w:val="nil"/>
                    <w:tr2bl w:val="nil"/>
                  </w:tcBorders>
                  <w:shd w:val="clear" w:color="auto" w:fill="FFFFFF"/>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75</w:t>
                  </w:r>
                </w:p>
              </w:tc>
              <w:tc>
                <w:tcPr>
                  <w:tcW w:w="345" w:type="pct"/>
                  <w:vMerge w:val="continue"/>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rPr>
                  </w:pPr>
                </w:p>
              </w:tc>
              <w:tc>
                <w:tcPr>
                  <w:tcW w:w="297" w:type="pct"/>
                  <w:tcBorders>
                    <w:tl2br w:val="nil"/>
                    <w:tr2bl w:val="nil"/>
                  </w:tcBorders>
                  <w:shd w:val="clear" w:color="auto" w:fill="FFFFFF"/>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78</w:t>
                  </w:r>
                </w:p>
              </w:tc>
              <w:tc>
                <w:tcPr>
                  <w:tcW w:w="361" w:type="pct"/>
                  <w:tcBorders>
                    <w:tl2br w:val="nil"/>
                    <w:tr2bl w:val="nil"/>
                  </w:tcBorders>
                  <w:shd w:val="clear" w:color="auto" w:fill="FFFFFF"/>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15</w:t>
                  </w:r>
                </w:p>
              </w:tc>
              <w:tc>
                <w:tcPr>
                  <w:tcW w:w="214" w:type="pct"/>
                  <w:tcBorders>
                    <w:tl2br w:val="nil"/>
                    <w:tr2bl w:val="nil"/>
                  </w:tcBorders>
                  <w:shd w:val="clear" w:color="auto" w:fill="FFFFFF"/>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p>
              </w:tc>
              <w:tc>
                <w:tcPr>
                  <w:tcW w:w="346" w:type="pct"/>
                  <w:tcBorders>
                    <w:tl2br w:val="nil"/>
                    <w:tr2bl w:val="nil"/>
                  </w:tcBorders>
                  <w:shd w:val="clear" w:color="auto" w:fill="FFFFFF"/>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20</w:t>
                  </w:r>
                </w:p>
              </w:tc>
              <w:tc>
                <w:tcPr>
                  <w:tcW w:w="279" w:type="pct"/>
                  <w:tcBorders>
                    <w:tl2br w:val="nil"/>
                    <w:tr2bl w:val="nil"/>
                  </w:tcBorders>
                  <w:shd w:val="clear" w:color="auto" w:fill="FFFFFF"/>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62</w:t>
                  </w:r>
                </w:p>
              </w:tc>
              <w:tc>
                <w:tcPr>
                  <w:tcW w:w="279" w:type="pct"/>
                  <w:tcBorders>
                    <w:tl2br w:val="nil"/>
                    <w:tr2bl w:val="nil"/>
                  </w:tcBorders>
                  <w:shd w:val="clear" w:color="auto" w:fill="FFFFFF"/>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74</w:t>
                  </w:r>
                </w:p>
              </w:tc>
              <w:tc>
                <w:tcPr>
                  <w:tcW w:w="286" w:type="pct"/>
                  <w:tcBorders>
                    <w:tl2br w:val="nil"/>
                    <w:tr2bl w:val="nil"/>
                  </w:tcBorders>
                  <w:shd w:val="clear" w:color="auto" w:fill="FFFFFF"/>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114</w:t>
                  </w:r>
                </w:p>
              </w:tc>
              <w:tc>
                <w:tcPr>
                  <w:tcW w:w="281" w:type="pct"/>
                  <w:vMerge w:val="continue"/>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rPr>
                  </w:pPr>
                </w:p>
              </w:tc>
              <w:tc>
                <w:tcPr>
                  <w:tcW w:w="437" w:type="pct"/>
                  <w:tcBorders>
                    <w:tl2br w:val="nil"/>
                    <w:tr2bl w:val="nil"/>
                  </w:tcBorders>
                  <w:shd w:val="clear" w:color="auto" w:fill="FFFFFF"/>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3</w:t>
                  </w:r>
                </w:p>
              </w:tc>
              <w:tc>
                <w:tcPr>
                  <w:tcW w:w="0" w:type="auto"/>
                  <w:vAlign w:val="center"/>
                </w:tcPr>
                <w:p>
                  <w:pPr>
                    <w:pStyle w:val="9"/>
                    <w:adjustRightInd w:val="0"/>
                    <w:snapToGrid w:val="0"/>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sz w:val="21"/>
                      <w:szCs w:val="21"/>
                      <w:lang w:val="en-US" w:eastAsia="zh-CN"/>
                    </w:rPr>
                    <w:t>碳刨机</w:t>
                  </w:r>
                </w:p>
              </w:tc>
              <w:tc>
                <w:tcPr>
                  <w:tcW w:w="0" w:type="auto"/>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kern w:val="0"/>
                      <w:sz w:val="21"/>
                      <w:szCs w:val="21"/>
                      <w:lang w:val="en-US" w:eastAsia="zh-CN"/>
                    </w:rPr>
                    <w:t>2</w:t>
                  </w:r>
                </w:p>
              </w:tc>
              <w:tc>
                <w:tcPr>
                  <w:tcW w:w="0" w:type="auto"/>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80</w:t>
                  </w:r>
                </w:p>
              </w:tc>
              <w:tc>
                <w:tcPr>
                  <w:tcW w:w="345" w:type="pct"/>
                  <w:vMerge w:val="continue"/>
                  <w:vAlign w:val="center"/>
                </w:tcPr>
                <w:p>
                  <w:pPr>
                    <w:adjustRightInd w:val="0"/>
                    <w:snapToGrid w:val="0"/>
                    <w:jc w:val="center"/>
                    <w:rPr>
                      <w:rFonts w:hint="eastAsia" w:ascii="Times New Roman" w:hAnsi="Times New Roman" w:eastAsia="宋体"/>
                      <w:color w:val="auto"/>
                      <w:szCs w:val="21"/>
                    </w:rPr>
                  </w:pP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70</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20</w:t>
                  </w:r>
                </w:p>
              </w:tc>
              <w:tc>
                <w:tcPr>
                  <w:tcW w:w="0" w:type="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30</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18</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65</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80</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110</w:t>
                  </w:r>
                </w:p>
              </w:tc>
              <w:tc>
                <w:tcPr>
                  <w:tcW w:w="281" w:type="pct"/>
                  <w:vMerge w:val="continue"/>
                  <w:vAlign w:val="center"/>
                </w:tcPr>
                <w:p>
                  <w:pPr>
                    <w:adjustRightInd w:val="0"/>
                    <w:snapToGrid w:val="0"/>
                    <w:jc w:val="center"/>
                    <w:rPr>
                      <w:rFonts w:hint="eastAsia" w:ascii="Times New Roman" w:hAnsi="Times New Roman" w:eastAsia="宋体"/>
                      <w:color w:val="auto"/>
                      <w:szCs w:val="21"/>
                    </w:rPr>
                  </w:pPr>
                </w:p>
              </w:tc>
              <w:tc>
                <w:tcPr>
                  <w:tcW w:w="0" w:type="auto"/>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4</w:t>
                  </w:r>
                </w:p>
              </w:tc>
              <w:tc>
                <w:tcPr>
                  <w:tcW w:w="0" w:type="auto"/>
                  <w:vAlign w:val="center"/>
                </w:tcPr>
                <w:p>
                  <w:pPr>
                    <w:pStyle w:val="9"/>
                    <w:adjustRightInd w:val="0"/>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sz w:val="21"/>
                      <w:szCs w:val="21"/>
                      <w:lang w:val="en-US" w:eastAsia="zh-CN"/>
                    </w:rPr>
                    <w:t>数控龙门加工中心</w:t>
                  </w:r>
                </w:p>
              </w:tc>
              <w:tc>
                <w:tcPr>
                  <w:tcW w:w="0" w:type="auto"/>
                  <w:vAlign w:val="center"/>
                </w:tcPr>
                <w:p>
                  <w:pPr>
                    <w:widowControl/>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aps w:val="0"/>
                      <w:color w:val="auto"/>
                      <w:kern w:val="0"/>
                      <w:sz w:val="21"/>
                      <w:szCs w:val="21"/>
                    </w:rPr>
                    <w:t>1</w:t>
                  </w:r>
                </w:p>
              </w:tc>
              <w:tc>
                <w:tcPr>
                  <w:tcW w:w="0" w:type="auto"/>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80</w:t>
                  </w:r>
                </w:p>
              </w:tc>
              <w:tc>
                <w:tcPr>
                  <w:tcW w:w="345" w:type="pct"/>
                  <w:vMerge w:val="continue"/>
                  <w:vAlign w:val="center"/>
                </w:tcPr>
                <w:p>
                  <w:pPr>
                    <w:adjustRightInd w:val="0"/>
                    <w:snapToGrid w:val="0"/>
                    <w:jc w:val="center"/>
                    <w:rPr>
                      <w:rFonts w:hint="eastAsia" w:ascii="Times New Roman" w:hAnsi="Times New Roman" w:eastAsia="宋体"/>
                      <w:color w:val="auto"/>
                      <w:szCs w:val="21"/>
                    </w:rPr>
                  </w:pP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66</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22</w:t>
                  </w:r>
                </w:p>
              </w:tc>
              <w:tc>
                <w:tcPr>
                  <w:tcW w:w="0" w:type="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28</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20</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70</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85</w:t>
                  </w:r>
                </w:p>
              </w:tc>
              <w:tc>
                <w:tcPr>
                  <w:tcW w:w="0" w:type="auto"/>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98</w:t>
                  </w:r>
                </w:p>
              </w:tc>
              <w:tc>
                <w:tcPr>
                  <w:tcW w:w="281" w:type="pct"/>
                  <w:vMerge w:val="continue"/>
                  <w:vAlign w:val="center"/>
                </w:tcPr>
                <w:p>
                  <w:pPr>
                    <w:adjustRightInd w:val="0"/>
                    <w:snapToGrid w:val="0"/>
                    <w:jc w:val="center"/>
                    <w:rPr>
                      <w:rFonts w:hint="eastAsia" w:ascii="Times New Roman" w:hAnsi="Times New Roman" w:eastAsia="宋体"/>
                      <w:color w:val="auto"/>
                      <w:szCs w:val="21"/>
                    </w:rPr>
                  </w:pPr>
                </w:p>
              </w:tc>
              <w:tc>
                <w:tcPr>
                  <w:tcW w:w="0" w:type="auto"/>
                  <w:vAlign w:val="center"/>
                </w:tcPr>
                <w:p>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25</w:t>
                  </w:r>
                </w:p>
              </w:tc>
            </w:tr>
          </w:tbl>
          <w:p>
            <w:pPr>
              <w:tabs>
                <w:tab w:val="left" w:pos="567"/>
                <w:tab w:val="left" w:pos="1843"/>
              </w:tabs>
              <w:adjustRightInd w:val="0"/>
              <w:snapToGrid w:val="0"/>
              <w:rPr>
                <w:rFonts w:ascii="Times New Roman" w:hAnsi="Times New Roman" w:eastAsia="宋体"/>
                <w:color w:val="auto"/>
                <w:szCs w:val="21"/>
              </w:rPr>
            </w:pPr>
            <w:r>
              <w:rPr>
                <w:rFonts w:ascii="Times New Roman" w:hAnsi="Times New Roman" w:eastAsia="宋体"/>
                <w:color w:val="auto"/>
                <w:szCs w:val="21"/>
              </w:rPr>
              <w:t>备注：根据《噪声污染控制工程》（高等教育出版社，洪宗辉）中资料，砖墙的隔声量为49</w:t>
            </w:r>
            <w:r>
              <w:rPr>
                <w:rFonts w:hint="eastAsia" w:ascii="Times New Roman" w:hAnsi="Times New Roman" w:eastAsia="宋体"/>
                <w:color w:val="auto"/>
                <w:szCs w:val="21"/>
              </w:rPr>
              <w:t xml:space="preserve"> </w:t>
            </w:r>
            <w:r>
              <w:rPr>
                <w:rFonts w:ascii="Times New Roman" w:hAnsi="Times New Roman" w:eastAsia="宋体"/>
                <w:color w:val="auto"/>
                <w:szCs w:val="21"/>
              </w:rPr>
              <w:t>dB（A）。考虑到门窗面积和开窗对隔声的负面影响，实际隔声量在25</w:t>
            </w:r>
            <w:r>
              <w:rPr>
                <w:rFonts w:hint="eastAsia" w:ascii="Times New Roman" w:hAnsi="Times New Roman" w:eastAsia="宋体"/>
                <w:color w:val="auto"/>
                <w:szCs w:val="21"/>
              </w:rPr>
              <w:t xml:space="preserve"> </w:t>
            </w:r>
            <w:r>
              <w:rPr>
                <w:rFonts w:ascii="Times New Roman" w:hAnsi="Times New Roman" w:eastAsia="宋体"/>
                <w:color w:val="auto"/>
                <w:szCs w:val="21"/>
              </w:rPr>
              <w:t>dB（A）左右</w:t>
            </w:r>
            <w:r>
              <w:rPr>
                <w:rFonts w:hint="eastAsia" w:ascii="Times New Roman" w:hAnsi="Times New Roman" w:eastAsia="宋体"/>
                <w:color w:val="auto"/>
                <w:szCs w:val="21"/>
              </w:rPr>
              <w:t>。</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②降噪措施</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bCs/>
                <w:color w:val="auto"/>
                <w:sz w:val="24"/>
              </w:rPr>
              <w:t>本</w:t>
            </w:r>
            <w:r>
              <w:rPr>
                <w:rFonts w:ascii="Times New Roman" w:hAnsi="Times New Roman" w:eastAsia="宋体"/>
                <w:bCs/>
                <w:color w:val="auto"/>
                <w:sz w:val="24"/>
              </w:rPr>
              <w:t>项目噪声源主要来</w:t>
            </w:r>
            <w:r>
              <w:rPr>
                <w:rFonts w:hint="eastAsia"/>
                <w:bCs/>
                <w:color w:val="auto"/>
                <w:sz w:val="24"/>
                <w:lang w:val="en-US" w:eastAsia="zh-CN"/>
              </w:rPr>
              <w:t>自</w:t>
            </w:r>
            <w:r>
              <w:rPr>
                <w:rFonts w:hint="eastAsia" w:ascii="Times New Roman" w:hAnsi="Times New Roman" w:eastAsia="宋体"/>
                <w:bCs/>
                <w:color w:val="auto"/>
                <w:sz w:val="24"/>
                <w:lang w:val="en-US" w:eastAsia="zh-CN"/>
              </w:rPr>
              <w:t>喷漆房</w:t>
            </w:r>
            <w:r>
              <w:rPr>
                <w:rFonts w:ascii="Times New Roman" w:hAnsi="Times New Roman" w:eastAsia="宋体"/>
                <w:bCs/>
                <w:color w:val="auto"/>
                <w:sz w:val="24"/>
              </w:rPr>
              <w:t>等设备，其噪声声级在</w:t>
            </w:r>
            <w:r>
              <w:rPr>
                <w:rFonts w:hint="eastAsia" w:ascii="Times New Roman" w:hAnsi="Times New Roman" w:eastAsia="宋体"/>
                <w:bCs/>
                <w:color w:val="auto"/>
                <w:sz w:val="24"/>
              </w:rPr>
              <w:t>75</w:t>
            </w:r>
            <w:r>
              <w:rPr>
                <w:rFonts w:ascii="Times New Roman" w:hAnsi="Times New Roman" w:eastAsia="宋体"/>
                <w:bCs/>
                <w:color w:val="auto"/>
                <w:sz w:val="24"/>
              </w:rPr>
              <w:t>~</w:t>
            </w:r>
            <w:r>
              <w:rPr>
                <w:rFonts w:hint="eastAsia" w:ascii="Times New Roman" w:hAnsi="Times New Roman" w:eastAsia="宋体"/>
                <w:bCs/>
                <w:color w:val="auto"/>
                <w:sz w:val="24"/>
              </w:rPr>
              <w:t>85</w:t>
            </w:r>
            <w:r>
              <w:rPr>
                <w:rFonts w:ascii="Times New Roman" w:hAnsi="Times New Roman" w:eastAsia="宋体"/>
                <w:bCs/>
                <w:color w:val="auto"/>
                <w:sz w:val="24"/>
              </w:rPr>
              <w:t>dB(A)之间</w:t>
            </w:r>
            <w:r>
              <w:rPr>
                <w:rFonts w:ascii="Times New Roman" w:hAnsi="Times New Roman" w:eastAsia="宋体"/>
                <w:color w:val="auto"/>
                <w:sz w:val="24"/>
              </w:rPr>
              <w:t>。项目采取的主要噪声防治措施为：</w:t>
            </w:r>
            <w:r>
              <w:rPr>
                <w:rFonts w:hint="eastAsia" w:ascii="Times New Roman" w:hAnsi="Times New Roman" w:eastAsia="宋体" w:cs="宋体"/>
                <w:color w:val="auto"/>
                <w:sz w:val="24"/>
              </w:rPr>
              <w:t>①</w:t>
            </w:r>
            <w:r>
              <w:rPr>
                <w:rFonts w:hint="eastAsia" w:ascii="Times New Roman" w:hAnsi="Times New Roman" w:eastAsia="宋体"/>
                <w:color w:val="auto"/>
                <w:sz w:val="24"/>
              </w:rPr>
              <w:t>选用低</w:t>
            </w:r>
            <w:r>
              <w:rPr>
                <w:rFonts w:ascii="Times New Roman" w:hAnsi="Times New Roman" w:eastAsia="宋体"/>
                <w:color w:val="auto"/>
                <w:sz w:val="24"/>
              </w:rPr>
              <w:t>噪声设备、低噪声工艺；</w:t>
            </w:r>
            <w:r>
              <w:rPr>
                <w:rFonts w:hint="eastAsia" w:ascii="Times New Roman" w:hAnsi="Times New Roman" w:eastAsia="宋体"/>
                <w:color w:val="auto"/>
                <w:sz w:val="24"/>
              </w:rPr>
              <w:t>采用</w:t>
            </w:r>
            <w:r>
              <w:rPr>
                <w:rFonts w:ascii="Times New Roman" w:hAnsi="Times New Roman" w:eastAsia="宋体"/>
                <w:color w:val="auto"/>
                <w:sz w:val="24"/>
              </w:rPr>
              <w:t>声学控制措施，如对</w:t>
            </w:r>
            <w:r>
              <w:rPr>
                <w:rFonts w:hint="eastAsia" w:ascii="Times New Roman" w:hAnsi="Times New Roman" w:eastAsia="宋体"/>
                <w:color w:val="auto"/>
                <w:sz w:val="24"/>
              </w:rPr>
              <w:t>声</w:t>
            </w:r>
            <w:r>
              <w:rPr>
                <w:rFonts w:ascii="Times New Roman" w:hAnsi="Times New Roman" w:eastAsia="宋体"/>
                <w:color w:val="auto"/>
                <w:sz w:val="24"/>
              </w:rPr>
              <w:t>源采用吸声、消声、隔声</w:t>
            </w:r>
            <w:r>
              <w:rPr>
                <w:rFonts w:hint="eastAsia" w:ascii="Times New Roman" w:hAnsi="Times New Roman" w:eastAsia="宋体"/>
                <w:color w:val="auto"/>
                <w:sz w:val="24"/>
              </w:rPr>
              <w:t>、</w:t>
            </w:r>
            <w:r>
              <w:rPr>
                <w:rFonts w:ascii="Times New Roman" w:hAnsi="Times New Roman" w:eastAsia="宋体"/>
                <w:color w:val="auto"/>
                <w:sz w:val="24"/>
              </w:rPr>
              <w:t>减振等措施；</w:t>
            </w:r>
            <w:r>
              <w:rPr>
                <w:rFonts w:hint="eastAsia" w:ascii="Times New Roman" w:hAnsi="Times New Roman" w:eastAsia="宋体"/>
                <w:color w:val="auto"/>
                <w:sz w:val="24"/>
              </w:rPr>
              <w:t>改进</w:t>
            </w:r>
            <w:r>
              <w:rPr>
                <w:rFonts w:ascii="Times New Roman" w:hAnsi="Times New Roman" w:eastAsia="宋体"/>
                <w:color w:val="auto"/>
                <w:sz w:val="24"/>
              </w:rPr>
              <w:t>工艺</w:t>
            </w:r>
            <w:r>
              <w:rPr>
                <w:rFonts w:hint="eastAsia" w:ascii="Times New Roman" w:hAnsi="Times New Roman" w:eastAsia="宋体"/>
                <w:color w:val="auto"/>
                <w:sz w:val="24"/>
              </w:rPr>
              <w:t>、</w:t>
            </w:r>
            <w:r>
              <w:rPr>
                <w:rFonts w:ascii="Times New Roman" w:hAnsi="Times New Roman" w:eastAsia="宋体"/>
                <w:color w:val="auto"/>
                <w:sz w:val="24"/>
              </w:rPr>
              <w:t>设施结构和操作方法等；</w:t>
            </w:r>
            <w:r>
              <w:rPr>
                <w:rFonts w:hint="eastAsia" w:ascii="Times New Roman" w:hAnsi="Times New Roman" w:eastAsia="宋体" w:cs="宋体"/>
                <w:color w:val="auto"/>
                <w:sz w:val="24"/>
              </w:rPr>
              <w:t>②</w:t>
            </w:r>
            <w:r>
              <w:rPr>
                <w:rFonts w:ascii="Times New Roman" w:hAnsi="Times New Roman" w:eastAsia="宋体"/>
                <w:color w:val="auto"/>
                <w:sz w:val="24"/>
              </w:rPr>
              <w:t>用橡胶等软质材料制成垫片或利用弹簧部件垫在设备下面，对设备基础设置减振措施，可起到减振作用；</w:t>
            </w:r>
            <w:r>
              <w:rPr>
                <w:rFonts w:hint="eastAsia" w:ascii="Times New Roman" w:hAnsi="Times New Roman" w:eastAsia="宋体" w:cs="宋体"/>
                <w:color w:val="auto"/>
                <w:sz w:val="24"/>
              </w:rPr>
              <w:t>③</w:t>
            </w:r>
            <w:r>
              <w:rPr>
                <w:rFonts w:ascii="Times New Roman" w:hAnsi="Times New Roman" w:eastAsia="宋体"/>
                <w:color w:val="auto"/>
                <w:sz w:val="24"/>
              </w:rPr>
              <w:t>物料装卸时应轻抓轻放，以减轻对周边环境的影响；</w:t>
            </w:r>
            <w:r>
              <w:rPr>
                <w:rFonts w:hint="eastAsia" w:ascii="Times New Roman" w:hAnsi="Times New Roman" w:eastAsia="宋体" w:cs="宋体"/>
                <w:color w:val="auto"/>
                <w:sz w:val="24"/>
              </w:rPr>
              <w:t>④</w:t>
            </w:r>
            <w:r>
              <w:rPr>
                <w:rFonts w:ascii="Times New Roman" w:hAnsi="Times New Roman" w:eastAsia="宋体"/>
                <w:color w:val="auto"/>
                <w:sz w:val="24"/>
              </w:rPr>
              <w:t>合理安排工作时间；</w:t>
            </w:r>
            <w:r>
              <w:rPr>
                <w:rFonts w:hint="eastAsia" w:ascii="Times New Roman" w:hAnsi="Times New Roman" w:eastAsia="宋体" w:cs="宋体"/>
                <w:color w:val="auto"/>
                <w:sz w:val="24"/>
              </w:rPr>
              <w:t>⑤</w:t>
            </w:r>
            <w:r>
              <w:rPr>
                <w:rFonts w:ascii="Times New Roman" w:hAnsi="Times New Roman" w:eastAsia="宋体"/>
                <w:color w:val="auto"/>
                <w:sz w:val="24"/>
              </w:rPr>
              <w:t>厂内设置绿化带</w:t>
            </w:r>
            <w:r>
              <w:rPr>
                <w:rFonts w:hint="eastAsia" w:ascii="Times New Roman" w:hAnsi="Times New Roman" w:eastAsia="宋体"/>
                <w:color w:val="auto"/>
                <w:sz w:val="24"/>
              </w:rPr>
              <w:t>；⑥设置</w:t>
            </w:r>
            <w:r>
              <w:rPr>
                <w:rFonts w:ascii="Times New Roman" w:hAnsi="Times New Roman" w:eastAsia="宋体"/>
                <w:color w:val="auto"/>
                <w:sz w:val="24"/>
              </w:rPr>
              <w:t>声屏障等措施，包括直立式、折板式</w:t>
            </w:r>
            <w:r>
              <w:rPr>
                <w:rFonts w:hint="eastAsia" w:ascii="Times New Roman" w:hAnsi="Times New Roman" w:eastAsia="宋体"/>
                <w:color w:val="auto"/>
                <w:sz w:val="24"/>
              </w:rPr>
              <w:t>、</w:t>
            </w:r>
            <w:r>
              <w:rPr>
                <w:rFonts w:ascii="Times New Roman" w:hAnsi="Times New Roman" w:eastAsia="宋体"/>
                <w:color w:val="auto"/>
                <w:sz w:val="24"/>
              </w:rPr>
              <w:t>半封闭、全封闭等类型措施。采取上述隔声、降噪措施后，厂界噪声可以达标排放</w:t>
            </w:r>
            <w:r>
              <w:rPr>
                <w:rFonts w:hint="eastAsia" w:ascii="Times New Roman" w:hAnsi="Times New Roman" w:eastAsia="宋体"/>
                <w:color w:val="auto"/>
                <w:sz w:val="24"/>
              </w:rPr>
              <w:t>。</w:t>
            </w:r>
          </w:p>
          <w:p>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rPr>
              <w:t>（3）噪声预测结果</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根据项目的噪声排放特点，结合《环境影响评价技术导则 声环境》（HJ2.4-2021）的要求，综合考虑隔声和距离衰减的因素，噪声源强分析如下表所示。</w:t>
            </w:r>
          </w:p>
          <w:p>
            <w:pPr>
              <w:adjustRightInd w:val="0"/>
              <w:snapToGrid w:val="0"/>
              <w:jc w:val="center"/>
              <w:rPr>
                <w:rFonts w:hint="eastAsia" w:ascii="Times New Roman" w:hAnsi="Times New Roman" w:eastAsia="宋体"/>
                <w:b/>
                <w:bCs/>
                <w:color w:val="auto"/>
                <w:kern w:val="0"/>
              </w:rPr>
            </w:pPr>
            <w:r>
              <w:rPr>
                <w:rFonts w:ascii="Times New Roman" w:hAnsi="Times New Roman" w:eastAsia="宋体"/>
                <w:b/>
                <w:color w:val="auto"/>
              </w:rPr>
              <w:t>表4-</w:t>
            </w:r>
            <w:r>
              <w:rPr>
                <w:rFonts w:hint="eastAsia" w:ascii="Times New Roman" w:hAnsi="Times New Roman" w:eastAsia="宋体"/>
                <w:b/>
                <w:color w:val="auto"/>
                <w:lang w:val="en-US" w:eastAsia="zh-CN"/>
              </w:rPr>
              <w:t>2</w:t>
            </w:r>
            <w:r>
              <w:rPr>
                <w:rFonts w:hint="eastAsia"/>
                <w:b/>
                <w:color w:val="auto"/>
                <w:lang w:val="en-US" w:eastAsia="zh-CN"/>
              </w:rPr>
              <w:t>3</w:t>
            </w:r>
            <w:r>
              <w:rPr>
                <w:rFonts w:hint="eastAsia" w:ascii="Times New Roman" w:hAnsi="Times New Roman" w:eastAsia="宋体"/>
                <w:b/>
                <w:color w:val="auto"/>
              </w:rPr>
              <w:t xml:space="preserve"> 本项目主要噪声源强核算一览表</w:t>
            </w:r>
            <w:r>
              <w:rPr>
                <w:rFonts w:hint="eastAsia" w:ascii="Times New Roman" w:hAnsi="Times New Roman" w:eastAsia="宋体"/>
                <w:b/>
                <w:bCs/>
                <w:color w:val="auto"/>
                <w:kern w:val="0"/>
              </w:rPr>
              <w:t>（dB</w:t>
            </w:r>
            <w:r>
              <w:rPr>
                <w:rFonts w:ascii="Times New Roman" w:hAnsi="Times New Roman" w:eastAsia="宋体"/>
                <w:b/>
                <w:bCs/>
                <w:color w:val="auto"/>
                <w:kern w:val="0"/>
              </w:rPr>
              <w:t>（A）</w:t>
            </w:r>
            <w:r>
              <w:rPr>
                <w:rFonts w:hint="eastAsia" w:ascii="Times New Roman" w:hAnsi="Times New Roman" w:eastAsia="宋体"/>
                <w:b/>
                <w:bCs/>
                <w:color w:val="auto"/>
                <w:kern w:val="0"/>
              </w:rPr>
              <w:t>）</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70"/>
              <w:gridCol w:w="850"/>
              <w:gridCol w:w="839"/>
              <w:gridCol w:w="802"/>
              <w:gridCol w:w="599"/>
              <w:gridCol w:w="598"/>
              <w:gridCol w:w="587"/>
              <w:gridCol w:w="610"/>
              <w:gridCol w:w="671"/>
              <w:gridCol w:w="753"/>
              <w:gridCol w:w="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8" w:type="pct"/>
                  <w:vMerge w:val="restar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kern w:val="0"/>
                      <w:szCs w:val="21"/>
                    </w:rPr>
                  </w:pPr>
                  <w:r>
                    <w:rPr>
                      <w:rFonts w:hint="eastAsia" w:ascii="Times New Roman" w:hAnsi="Times New Roman" w:eastAsia="宋体"/>
                      <w:b/>
                      <w:bCs/>
                      <w:color w:val="auto"/>
                      <w:kern w:val="0"/>
                      <w:szCs w:val="21"/>
                    </w:rPr>
                    <w:t>序号</w:t>
                  </w:r>
                </w:p>
              </w:tc>
              <w:tc>
                <w:tcPr>
                  <w:tcW w:w="414" w:type="pct"/>
                  <w:vMerge w:val="restar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kern w:val="0"/>
                      <w:szCs w:val="21"/>
                    </w:rPr>
                  </w:pPr>
                  <w:r>
                    <w:rPr>
                      <w:rFonts w:hint="eastAsia" w:ascii="Times New Roman" w:hAnsi="Times New Roman" w:eastAsia="宋体"/>
                      <w:b/>
                      <w:bCs/>
                      <w:color w:val="auto"/>
                      <w:kern w:val="0"/>
                      <w:szCs w:val="21"/>
                    </w:rPr>
                    <w:t>噪声源</w:t>
                  </w:r>
                </w:p>
              </w:tc>
              <w:tc>
                <w:tcPr>
                  <w:tcW w:w="526" w:type="pct"/>
                  <w:vMerge w:val="restar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kern w:val="0"/>
                      <w:szCs w:val="21"/>
                    </w:rPr>
                  </w:pPr>
                  <w:r>
                    <w:rPr>
                      <w:rFonts w:hint="eastAsia" w:ascii="Times New Roman" w:hAnsi="Times New Roman" w:eastAsia="宋体"/>
                      <w:b/>
                      <w:bCs/>
                      <w:color w:val="auto"/>
                      <w:kern w:val="0"/>
                      <w:szCs w:val="21"/>
                    </w:rPr>
                    <w:t>等效源强dB（A）</w:t>
                  </w:r>
                </w:p>
              </w:tc>
              <w:tc>
                <w:tcPr>
                  <w:tcW w:w="519" w:type="pct"/>
                  <w:vMerge w:val="restar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kern w:val="0"/>
                      <w:szCs w:val="21"/>
                    </w:rPr>
                  </w:pPr>
                  <w:r>
                    <w:rPr>
                      <w:rFonts w:hint="eastAsia" w:ascii="Times New Roman" w:hAnsi="Times New Roman" w:eastAsia="宋体"/>
                      <w:b/>
                      <w:bCs/>
                      <w:color w:val="auto"/>
                      <w:kern w:val="0"/>
                      <w:szCs w:val="21"/>
                    </w:rPr>
                    <w:t>降噪量dB（A）</w:t>
                  </w:r>
                </w:p>
              </w:tc>
              <w:tc>
                <w:tcPr>
                  <w:tcW w:w="496" w:type="pct"/>
                  <w:vMerge w:val="restar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kern w:val="0"/>
                      <w:szCs w:val="21"/>
                    </w:rPr>
                  </w:pPr>
                  <w:r>
                    <w:rPr>
                      <w:rFonts w:hint="eastAsia" w:ascii="Times New Roman" w:hAnsi="Times New Roman" w:eastAsia="宋体"/>
                      <w:b/>
                      <w:bCs/>
                      <w:color w:val="auto"/>
                      <w:kern w:val="0"/>
                      <w:szCs w:val="21"/>
                    </w:rPr>
                    <w:t>降噪后等效源强（m）</w:t>
                  </w:r>
                </w:p>
              </w:tc>
              <w:tc>
                <w:tcPr>
                  <w:tcW w:w="2844" w:type="pct"/>
                  <w:gridSpan w:val="7"/>
                  <w:tcBorders>
                    <w:tl2br w:val="nil"/>
                    <w:tr2bl w:val="nil"/>
                  </w:tcBorders>
                  <w:noWrap/>
                  <w:vAlign w:val="center"/>
                </w:tcPr>
                <w:p>
                  <w:pPr>
                    <w:tabs>
                      <w:tab w:val="left" w:pos="277"/>
                      <w:tab w:val="left" w:pos="600"/>
                      <w:tab w:val="left" w:pos="780"/>
                      <w:tab w:val="left" w:pos="2517"/>
                    </w:tabs>
                    <w:jc w:val="center"/>
                    <w:textAlignment w:val="baseline"/>
                    <w:rPr>
                      <w:rFonts w:hint="eastAsia" w:ascii="Times New Roman" w:hAnsi="Times New Roman" w:eastAsia="宋体"/>
                      <w:b/>
                      <w:bCs/>
                      <w:color w:val="auto"/>
                      <w:kern w:val="0"/>
                      <w:szCs w:val="21"/>
                    </w:rPr>
                  </w:pPr>
                  <w:r>
                    <w:rPr>
                      <w:rFonts w:hint="eastAsia" w:ascii="Times New Roman" w:hAnsi="Times New Roman" w:eastAsia="宋体"/>
                      <w:b/>
                      <w:bCs/>
                      <w:color w:val="auto"/>
                      <w:kern w:val="0"/>
                      <w:szCs w:val="21"/>
                    </w:rPr>
                    <w:t>距离衰减后预测点贡献值dB（A）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8" w:type="pct"/>
                  <w:vMerge w:val="continue"/>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color w:val="auto"/>
                    </w:rPr>
                  </w:pPr>
                </w:p>
              </w:tc>
              <w:tc>
                <w:tcPr>
                  <w:tcW w:w="414" w:type="pct"/>
                  <w:vMerge w:val="continue"/>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color w:val="auto"/>
                    </w:rPr>
                  </w:pPr>
                </w:p>
              </w:tc>
              <w:tc>
                <w:tcPr>
                  <w:tcW w:w="526" w:type="pct"/>
                  <w:vMerge w:val="continue"/>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color w:val="auto"/>
                    </w:rPr>
                  </w:pPr>
                </w:p>
              </w:tc>
              <w:tc>
                <w:tcPr>
                  <w:tcW w:w="519" w:type="pct"/>
                  <w:vMerge w:val="continue"/>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color w:val="auto"/>
                    </w:rPr>
                  </w:pPr>
                </w:p>
              </w:tc>
              <w:tc>
                <w:tcPr>
                  <w:tcW w:w="496" w:type="pct"/>
                  <w:vMerge w:val="continue"/>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color w:val="auto"/>
                    </w:rPr>
                  </w:pPr>
                </w:p>
              </w:tc>
              <w:tc>
                <w:tcPr>
                  <w:tcW w:w="370" w:type="pc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rPr>
                  </w:pPr>
                  <w:r>
                    <w:rPr>
                      <w:rFonts w:hint="eastAsia" w:ascii="Times New Roman" w:hAnsi="Times New Roman" w:eastAsia="宋体"/>
                      <w:b/>
                      <w:bCs/>
                      <w:color w:val="auto"/>
                    </w:rPr>
                    <w:t>东</w:t>
                  </w:r>
                </w:p>
              </w:tc>
              <w:tc>
                <w:tcPr>
                  <w:tcW w:w="370" w:type="pc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rPr>
                  </w:pPr>
                  <w:r>
                    <w:rPr>
                      <w:rFonts w:hint="eastAsia" w:ascii="Times New Roman" w:hAnsi="Times New Roman" w:eastAsia="宋体"/>
                      <w:b/>
                      <w:bCs/>
                      <w:color w:val="auto"/>
                    </w:rPr>
                    <w:t>南</w:t>
                  </w:r>
                </w:p>
              </w:tc>
              <w:tc>
                <w:tcPr>
                  <w:tcW w:w="363" w:type="pc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rPr>
                  </w:pPr>
                  <w:r>
                    <w:rPr>
                      <w:rFonts w:hint="eastAsia" w:ascii="Times New Roman" w:hAnsi="Times New Roman" w:eastAsia="宋体"/>
                      <w:b/>
                      <w:bCs/>
                      <w:color w:val="auto"/>
                    </w:rPr>
                    <w:t>西</w:t>
                  </w:r>
                </w:p>
              </w:tc>
              <w:tc>
                <w:tcPr>
                  <w:tcW w:w="377" w:type="pc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rPr>
                  </w:pPr>
                  <w:r>
                    <w:rPr>
                      <w:rFonts w:hint="eastAsia" w:ascii="Times New Roman" w:hAnsi="Times New Roman" w:eastAsia="宋体"/>
                      <w:b/>
                      <w:bCs/>
                      <w:color w:val="auto"/>
                    </w:rPr>
                    <w:t>北</w:t>
                  </w:r>
                </w:p>
              </w:tc>
              <w:tc>
                <w:tcPr>
                  <w:tcW w:w="415" w:type="pc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rPr>
                  </w:pPr>
                  <w:r>
                    <w:rPr>
                      <w:rFonts w:hint="eastAsia" w:ascii="Times New Roman" w:hAnsi="Times New Roman" w:eastAsia="宋体"/>
                      <w:b/>
                      <w:bCs/>
                      <w:color w:val="auto"/>
                    </w:rPr>
                    <w:t>南侧敏感点1</w:t>
                  </w:r>
                </w:p>
              </w:tc>
              <w:tc>
                <w:tcPr>
                  <w:tcW w:w="466" w:type="pct"/>
                  <w:tcBorders>
                    <w:tl2br w:val="nil"/>
                    <w:tr2bl w:val="nil"/>
                  </w:tcBorders>
                  <w:noWrap/>
                  <w:vAlign w:val="center"/>
                </w:tcPr>
                <w:p>
                  <w:pPr>
                    <w:tabs>
                      <w:tab w:val="left" w:pos="277"/>
                      <w:tab w:val="left" w:pos="600"/>
                      <w:tab w:val="left" w:pos="780"/>
                      <w:tab w:val="left" w:pos="2517"/>
                    </w:tabs>
                    <w:jc w:val="center"/>
                    <w:textAlignment w:val="baseline"/>
                    <w:rPr>
                      <w:rFonts w:ascii="Times New Roman" w:hAnsi="Times New Roman" w:eastAsia="宋体"/>
                      <w:b/>
                      <w:bCs/>
                      <w:color w:val="auto"/>
                    </w:rPr>
                  </w:pPr>
                  <w:r>
                    <w:rPr>
                      <w:rFonts w:hint="eastAsia" w:ascii="Times New Roman" w:hAnsi="Times New Roman" w:eastAsia="宋体"/>
                      <w:b/>
                      <w:bCs/>
                      <w:color w:val="auto"/>
                    </w:rPr>
                    <w:t>南侧敏感点2</w:t>
                  </w:r>
                </w:p>
              </w:tc>
              <w:tc>
                <w:tcPr>
                  <w:tcW w:w="480" w:type="pct"/>
                  <w:tcBorders>
                    <w:tl2br w:val="nil"/>
                    <w:tr2bl w:val="nil"/>
                  </w:tcBorders>
                  <w:noWrap/>
                  <w:vAlign w:val="center"/>
                </w:tcPr>
                <w:p>
                  <w:pPr>
                    <w:tabs>
                      <w:tab w:val="left" w:pos="277"/>
                      <w:tab w:val="left" w:pos="600"/>
                      <w:tab w:val="left" w:pos="780"/>
                      <w:tab w:val="left" w:pos="2517"/>
                    </w:tabs>
                    <w:jc w:val="center"/>
                    <w:textAlignment w:val="baseline"/>
                    <w:rPr>
                      <w:rFonts w:hint="eastAsia" w:ascii="Times New Roman" w:hAnsi="Times New Roman" w:eastAsia="宋体"/>
                      <w:b/>
                      <w:bCs/>
                      <w:color w:val="auto"/>
                      <w:lang w:eastAsia="zh-CN"/>
                    </w:rPr>
                  </w:pPr>
                  <w:r>
                    <w:rPr>
                      <w:rFonts w:hint="eastAsia" w:ascii="Times New Roman" w:hAnsi="Times New Roman" w:eastAsia="宋体"/>
                      <w:b/>
                      <w:bCs/>
                      <w:color w:val="auto"/>
                    </w:rPr>
                    <w:t>南侧敏感点</w:t>
                  </w:r>
                  <w:r>
                    <w:rPr>
                      <w:rFonts w:hint="eastAsia" w:ascii="Times New Roman" w:hAnsi="Times New Roman" w:eastAsia="宋体"/>
                      <w:b/>
                      <w:bCs/>
                      <w:color w:val="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 w:type="pct"/>
                  <w:tcBorders>
                    <w:tl2br w:val="nil"/>
                    <w:tr2bl w:val="nil"/>
                  </w:tcBorders>
                  <w:noWrap/>
                  <w:vAlign w:val="center"/>
                </w:tcPr>
                <w:p>
                  <w:pPr>
                    <w:jc w:val="center"/>
                    <w:rPr>
                      <w:rFonts w:ascii="Times New Roman" w:hAnsi="Times New Roman" w:eastAsia="宋体"/>
                      <w:bCs/>
                      <w:color w:val="auto"/>
                      <w:szCs w:val="21"/>
                    </w:rPr>
                  </w:pPr>
                  <w:r>
                    <w:rPr>
                      <w:rFonts w:ascii="Times New Roman" w:hAnsi="Times New Roman" w:eastAsia="宋体"/>
                      <w:color w:val="auto"/>
                      <w:szCs w:val="21"/>
                    </w:rPr>
                    <w:t>1</w:t>
                  </w:r>
                </w:p>
              </w:tc>
              <w:tc>
                <w:tcPr>
                  <w:tcW w:w="414" w:type="pct"/>
                  <w:tcBorders>
                    <w:tl2br w:val="nil"/>
                    <w:tr2bl w:val="nil"/>
                  </w:tcBorders>
                  <w:noWrap/>
                  <w:vAlign w:val="center"/>
                </w:tcPr>
                <w:p>
                  <w:pPr>
                    <w:pStyle w:val="9"/>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喷漆房</w:t>
                  </w:r>
                </w:p>
              </w:tc>
              <w:tc>
                <w:tcPr>
                  <w:tcW w:w="526" w:type="pct"/>
                  <w:tcBorders>
                    <w:tl2br w:val="nil"/>
                    <w:tr2bl w:val="nil"/>
                  </w:tcBorders>
                  <w:noWrap/>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85</w:t>
                  </w:r>
                </w:p>
              </w:tc>
              <w:tc>
                <w:tcPr>
                  <w:tcW w:w="519" w:type="pct"/>
                  <w:tcBorders>
                    <w:tl2br w:val="nil"/>
                    <w:tr2bl w:val="nil"/>
                  </w:tcBorders>
                  <w:noWrap/>
                  <w:vAlign w:val="center"/>
                </w:tcPr>
                <w:p>
                  <w:pPr>
                    <w:pStyle w:val="9"/>
                    <w:jc w:val="center"/>
                    <w:rPr>
                      <w:rFonts w:ascii="Times New Roman" w:hAnsi="Times New Roman" w:eastAsia="宋体"/>
                      <w:bCs/>
                      <w:color w:val="auto"/>
                      <w:szCs w:val="21"/>
                    </w:rPr>
                  </w:pPr>
                  <w:r>
                    <w:rPr>
                      <w:rFonts w:ascii="Times New Roman" w:hAnsi="Times New Roman" w:eastAsia="宋体"/>
                      <w:bCs/>
                      <w:color w:val="auto"/>
                      <w:szCs w:val="21"/>
                    </w:rPr>
                    <w:t>2</w:t>
                  </w:r>
                  <w:r>
                    <w:rPr>
                      <w:rFonts w:hint="eastAsia" w:ascii="Times New Roman" w:hAnsi="Times New Roman" w:eastAsia="宋体"/>
                      <w:bCs/>
                      <w:color w:val="auto"/>
                      <w:szCs w:val="21"/>
                    </w:rPr>
                    <w:t>5</w:t>
                  </w:r>
                </w:p>
              </w:tc>
              <w:tc>
                <w:tcPr>
                  <w:tcW w:w="496" w:type="pct"/>
                  <w:tcBorders>
                    <w:tl2br w:val="nil"/>
                    <w:tr2bl w:val="nil"/>
                  </w:tcBorders>
                  <w:noWrap/>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60</w:t>
                  </w:r>
                </w:p>
              </w:tc>
              <w:tc>
                <w:tcPr>
                  <w:tcW w:w="370"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28</w:t>
                  </w:r>
                </w:p>
              </w:tc>
              <w:tc>
                <w:tcPr>
                  <w:tcW w:w="370"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56</w:t>
                  </w:r>
                </w:p>
              </w:tc>
              <w:tc>
                <w:tcPr>
                  <w:tcW w:w="363"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58</w:t>
                  </w:r>
                </w:p>
              </w:tc>
              <w:tc>
                <w:tcPr>
                  <w:tcW w:w="377"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42</w:t>
                  </w:r>
                </w:p>
              </w:tc>
              <w:tc>
                <w:tcPr>
                  <w:tcW w:w="415"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93</w:t>
                  </w:r>
                </w:p>
              </w:tc>
              <w:tc>
                <w:tcPr>
                  <w:tcW w:w="466"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95</w:t>
                  </w:r>
                </w:p>
              </w:tc>
              <w:tc>
                <w:tcPr>
                  <w:tcW w:w="480" w:type="pct"/>
                  <w:tcBorders>
                    <w:tl2br w:val="nil"/>
                    <w:tr2bl w:val="nil"/>
                  </w:tcBorders>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 w:type="pct"/>
                  <w:tcBorders>
                    <w:tl2br w:val="nil"/>
                    <w:tr2bl w:val="nil"/>
                  </w:tcBorders>
                  <w:noWrap/>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414" w:type="pct"/>
                  <w:tcBorders>
                    <w:tl2br w:val="nil"/>
                    <w:tr2bl w:val="nil"/>
                  </w:tcBorders>
                  <w:noWrap/>
                  <w:vAlign w:val="center"/>
                </w:tcPr>
                <w:p>
                  <w:pPr>
                    <w:spacing w:line="320" w:lineRule="exact"/>
                    <w:ind w:firstLine="0" w:firstLineChars="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aps w:val="0"/>
                      <w:color w:val="auto"/>
                      <w:sz w:val="21"/>
                      <w:szCs w:val="21"/>
                    </w:rPr>
                    <w:t>卧式镗铣床</w:t>
                  </w:r>
                </w:p>
              </w:tc>
              <w:tc>
                <w:tcPr>
                  <w:tcW w:w="52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75</w:t>
                  </w:r>
                </w:p>
              </w:tc>
              <w:tc>
                <w:tcPr>
                  <w:tcW w:w="519" w:type="pct"/>
                  <w:tcBorders>
                    <w:tl2br w:val="nil"/>
                    <w:tr2bl w:val="nil"/>
                  </w:tcBorders>
                  <w:noWrap/>
                  <w:vAlign w:val="center"/>
                </w:tcPr>
                <w:p>
                  <w:pPr>
                    <w:pStyle w:val="9"/>
                    <w:jc w:val="center"/>
                    <w:rPr>
                      <w:rFonts w:ascii="Times New Roman" w:hAnsi="Times New Roman" w:eastAsia="宋体"/>
                      <w:bCs/>
                      <w:color w:val="auto"/>
                      <w:szCs w:val="21"/>
                    </w:rPr>
                  </w:pPr>
                  <w:r>
                    <w:rPr>
                      <w:rFonts w:ascii="Times New Roman" w:hAnsi="Times New Roman" w:eastAsia="宋体"/>
                      <w:bCs/>
                      <w:color w:val="auto"/>
                      <w:szCs w:val="21"/>
                    </w:rPr>
                    <w:t>2</w:t>
                  </w:r>
                  <w:r>
                    <w:rPr>
                      <w:rFonts w:hint="eastAsia" w:ascii="Times New Roman" w:hAnsi="Times New Roman" w:eastAsia="宋体"/>
                      <w:bCs/>
                      <w:color w:val="auto"/>
                      <w:szCs w:val="21"/>
                    </w:rPr>
                    <w:t>5</w:t>
                  </w:r>
                </w:p>
              </w:tc>
              <w:tc>
                <w:tcPr>
                  <w:tcW w:w="49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37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78</w:t>
                  </w:r>
                </w:p>
              </w:tc>
              <w:tc>
                <w:tcPr>
                  <w:tcW w:w="37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p>
              </w:tc>
              <w:tc>
                <w:tcPr>
                  <w:tcW w:w="363"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p>
              </w:tc>
              <w:tc>
                <w:tcPr>
                  <w:tcW w:w="377"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415"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62</w:t>
                  </w:r>
                </w:p>
              </w:tc>
              <w:tc>
                <w:tcPr>
                  <w:tcW w:w="466"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74</w:t>
                  </w:r>
                </w:p>
              </w:tc>
              <w:tc>
                <w:tcPr>
                  <w:tcW w:w="48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414" w:type="pct"/>
                  <w:tcBorders>
                    <w:tl2br w:val="nil"/>
                    <w:tr2bl w:val="nil"/>
                  </w:tcBorders>
                  <w:noWrap/>
                  <w:vAlign w:val="center"/>
                </w:tcPr>
                <w:p>
                  <w:pPr>
                    <w:pStyle w:val="9"/>
                    <w:adjustRightInd w:val="0"/>
                    <w:snapToGrid w:val="0"/>
                    <w:jc w:val="center"/>
                    <w:rPr>
                      <w:rFonts w:hint="eastAsia" w:ascii="Times New Roman" w:hAnsi="Times New Roman" w:eastAsia="宋体" w:cs="Times New Roman"/>
                      <w:caps w:val="0"/>
                      <w:color w:val="auto"/>
                      <w:kern w:val="0"/>
                      <w:sz w:val="21"/>
                      <w:szCs w:val="21"/>
                      <w:lang w:val="en-US" w:eastAsia="zh-CN" w:bidi="ar-SA"/>
                    </w:rPr>
                  </w:pPr>
                  <w:r>
                    <w:rPr>
                      <w:rFonts w:hint="eastAsia" w:ascii="Times New Roman" w:hAnsi="Times New Roman" w:eastAsia="宋体" w:cs="Times New Roman"/>
                      <w:caps w:val="0"/>
                      <w:color w:val="auto"/>
                      <w:sz w:val="21"/>
                      <w:szCs w:val="21"/>
                      <w:lang w:val="en-US" w:eastAsia="zh-CN"/>
                    </w:rPr>
                    <w:t>碳刨机</w:t>
                  </w:r>
                </w:p>
              </w:tc>
              <w:tc>
                <w:tcPr>
                  <w:tcW w:w="52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83</w:t>
                  </w:r>
                </w:p>
              </w:tc>
              <w:tc>
                <w:tcPr>
                  <w:tcW w:w="519" w:type="pct"/>
                  <w:tcBorders>
                    <w:tl2br w:val="nil"/>
                    <w:tr2bl w:val="nil"/>
                  </w:tcBorders>
                  <w:noWrap/>
                  <w:vAlign w:val="center"/>
                </w:tcPr>
                <w:p>
                  <w:pPr>
                    <w:pStyle w:val="9"/>
                    <w:jc w:val="center"/>
                    <w:rPr>
                      <w:rFonts w:ascii="Times New Roman" w:hAnsi="Times New Roman" w:eastAsia="宋体"/>
                      <w:bCs/>
                      <w:color w:val="auto"/>
                      <w:szCs w:val="21"/>
                    </w:rPr>
                  </w:pPr>
                  <w:r>
                    <w:rPr>
                      <w:rFonts w:ascii="Times New Roman" w:hAnsi="Times New Roman" w:eastAsia="宋体"/>
                      <w:bCs/>
                      <w:color w:val="auto"/>
                      <w:szCs w:val="21"/>
                    </w:rPr>
                    <w:t>2</w:t>
                  </w:r>
                  <w:r>
                    <w:rPr>
                      <w:rFonts w:hint="eastAsia" w:ascii="Times New Roman" w:hAnsi="Times New Roman" w:eastAsia="宋体"/>
                      <w:bCs/>
                      <w:color w:val="auto"/>
                      <w:szCs w:val="21"/>
                    </w:rPr>
                    <w:t>5</w:t>
                  </w:r>
                </w:p>
              </w:tc>
              <w:tc>
                <w:tcPr>
                  <w:tcW w:w="49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58</w:t>
                  </w:r>
                </w:p>
              </w:tc>
              <w:tc>
                <w:tcPr>
                  <w:tcW w:w="37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w:t>
                  </w:r>
                </w:p>
              </w:tc>
              <w:tc>
                <w:tcPr>
                  <w:tcW w:w="37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63"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30</w:t>
                  </w:r>
                </w:p>
              </w:tc>
              <w:tc>
                <w:tcPr>
                  <w:tcW w:w="377"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18</w:t>
                  </w:r>
                </w:p>
              </w:tc>
              <w:tc>
                <w:tcPr>
                  <w:tcW w:w="415"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65</w:t>
                  </w:r>
                </w:p>
              </w:tc>
              <w:tc>
                <w:tcPr>
                  <w:tcW w:w="466"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80</w:t>
                  </w:r>
                </w:p>
              </w:tc>
              <w:tc>
                <w:tcPr>
                  <w:tcW w:w="48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98" w:type="pct"/>
                  <w:tcBorders>
                    <w:tl2br w:val="nil"/>
                    <w:tr2bl w:val="nil"/>
                  </w:tcBorders>
                  <w:noWrap/>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w:t>
                  </w:r>
                </w:p>
              </w:tc>
              <w:tc>
                <w:tcPr>
                  <w:tcW w:w="414" w:type="pct"/>
                  <w:tcBorders>
                    <w:tl2br w:val="nil"/>
                    <w:tr2bl w:val="nil"/>
                  </w:tcBorders>
                  <w:noWrap/>
                  <w:vAlign w:val="center"/>
                </w:tcPr>
                <w:p>
                  <w:pPr>
                    <w:pStyle w:val="9"/>
                    <w:adjustRightInd w:val="0"/>
                    <w:snapToGrid w:val="0"/>
                    <w:jc w:val="center"/>
                    <w:rPr>
                      <w:rFonts w:hint="eastAsia" w:ascii="Times New Roman" w:hAnsi="Times New Roman" w:eastAsia="宋体" w:cs="Times New Roman"/>
                      <w:caps w:val="0"/>
                      <w:color w:val="auto"/>
                      <w:kern w:val="2"/>
                      <w:sz w:val="21"/>
                      <w:szCs w:val="21"/>
                      <w:lang w:val="en-US" w:eastAsia="zh-CN" w:bidi="ar-SA"/>
                    </w:rPr>
                  </w:pPr>
                  <w:r>
                    <w:rPr>
                      <w:rFonts w:hint="eastAsia" w:ascii="Times New Roman" w:hAnsi="Times New Roman" w:eastAsia="宋体" w:cs="Times New Roman"/>
                      <w:caps w:val="0"/>
                      <w:color w:val="auto"/>
                      <w:sz w:val="21"/>
                      <w:szCs w:val="21"/>
                      <w:lang w:val="en-US" w:eastAsia="zh-CN"/>
                    </w:rPr>
                    <w:t>数控龙门加工中心</w:t>
                  </w:r>
                </w:p>
              </w:tc>
              <w:tc>
                <w:tcPr>
                  <w:tcW w:w="52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80</w:t>
                  </w:r>
                </w:p>
              </w:tc>
              <w:tc>
                <w:tcPr>
                  <w:tcW w:w="519" w:type="pct"/>
                  <w:tcBorders>
                    <w:tl2br w:val="nil"/>
                    <w:tr2bl w:val="nil"/>
                  </w:tcBorders>
                  <w:noWrap/>
                  <w:vAlign w:val="center"/>
                </w:tcPr>
                <w:p>
                  <w:pPr>
                    <w:pStyle w:val="9"/>
                    <w:jc w:val="center"/>
                    <w:rPr>
                      <w:rFonts w:ascii="Times New Roman" w:hAnsi="Times New Roman" w:eastAsia="宋体"/>
                      <w:bCs/>
                      <w:color w:val="auto"/>
                      <w:szCs w:val="21"/>
                    </w:rPr>
                  </w:pPr>
                  <w:r>
                    <w:rPr>
                      <w:rFonts w:ascii="Times New Roman" w:hAnsi="Times New Roman" w:eastAsia="宋体"/>
                      <w:bCs/>
                      <w:color w:val="auto"/>
                      <w:szCs w:val="21"/>
                    </w:rPr>
                    <w:t>2</w:t>
                  </w:r>
                  <w:r>
                    <w:rPr>
                      <w:rFonts w:hint="eastAsia" w:ascii="Times New Roman" w:hAnsi="Times New Roman" w:eastAsia="宋体"/>
                      <w:bCs/>
                      <w:color w:val="auto"/>
                      <w:szCs w:val="21"/>
                    </w:rPr>
                    <w:t>5</w:t>
                  </w:r>
                </w:p>
              </w:tc>
              <w:tc>
                <w:tcPr>
                  <w:tcW w:w="49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55</w:t>
                  </w:r>
                </w:p>
              </w:tc>
              <w:tc>
                <w:tcPr>
                  <w:tcW w:w="37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37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w:t>
                  </w:r>
                </w:p>
              </w:tc>
              <w:tc>
                <w:tcPr>
                  <w:tcW w:w="363"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28</w:t>
                  </w:r>
                </w:p>
              </w:tc>
              <w:tc>
                <w:tcPr>
                  <w:tcW w:w="377"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415"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w:t>
                  </w:r>
                </w:p>
              </w:tc>
              <w:tc>
                <w:tcPr>
                  <w:tcW w:w="466"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85</w:t>
                  </w:r>
                </w:p>
              </w:tc>
              <w:tc>
                <w:tcPr>
                  <w:tcW w:w="480" w:type="pct"/>
                  <w:tcBorders>
                    <w:tl2br w:val="nil"/>
                    <w:tr2bl w:val="nil"/>
                  </w:tcBorders>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13" w:type="pct"/>
                  <w:gridSpan w:val="2"/>
                  <w:tcBorders>
                    <w:tl2br w:val="nil"/>
                    <w:tr2bl w:val="nil"/>
                  </w:tcBorders>
                  <w:noWrap/>
                  <w:vAlign w:val="center"/>
                </w:tcPr>
                <w:p>
                  <w:pPr>
                    <w:widowControl/>
                    <w:jc w:val="center"/>
                    <w:textAlignment w:val="center"/>
                    <w:rPr>
                      <w:rFonts w:ascii="Times New Roman" w:hAnsi="Times New Roman" w:eastAsia="宋体"/>
                      <w:color w:val="auto"/>
                      <w:kern w:val="0"/>
                      <w:szCs w:val="21"/>
                    </w:rPr>
                  </w:pPr>
                  <w:r>
                    <w:rPr>
                      <w:rFonts w:hint="eastAsia" w:ascii="Times New Roman" w:hAnsi="Times New Roman" w:eastAsia="宋体"/>
                      <w:b/>
                      <w:bCs/>
                      <w:color w:val="auto"/>
                      <w:kern w:val="0"/>
                      <w:szCs w:val="21"/>
                    </w:rPr>
                    <w:t>贡献值</w:t>
                  </w:r>
                </w:p>
              </w:tc>
              <w:tc>
                <w:tcPr>
                  <w:tcW w:w="1542" w:type="pct"/>
                  <w:gridSpan w:val="3"/>
                  <w:tcBorders>
                    <w:tl2br w:val="nil"/>
                    <w:tr2bl w:val="nil"/>
                  </w:tcBorders>
                  <w:noWrap/>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w:t>
                  </w:r>
                </w:p>
              </w:tc>
              <w:tc>
                <w:tcPr>
                  <w:tcW w:w="370"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31.7</w:t>
                  </w:r>
                </w:p>
              </w:tc>
              <w:tc>
                <w:tcPr>
                  <w:tcW w:w="370"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34.8</w:t>
                  </w:r>
                </w:p>
              </w:tc>
              <w:tc>
                <w:tcPr>
                  <w:tcW w:w="363"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31.9</w:t>
                  </w:r>
                </w:p>
              </w:tc>
              <w:tc>
                <w:tcPr>
                  <w:tcW w:w="377"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35.5</w:t>
                  </w:r>
                </w:p>
              </w:tc>
              <w:tc>
                <w:tcPr>
                  <w:tcW w:w="415"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25.5</w:t>
                  </w:r>
                </w:p>
              </w:tc>
              <w:tc>
                <w:tcPr>
                  <w:tcW w:w="466"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24.3</w:t>
                  </w:r>
                </w:p>
              </w:tc>
              <w:tc>
                <w:tcPr>
                  <w:tcW w:w="480" w:type="pct"/>
                  <w:tcBorders>
                    <w:tl2br w:val="nil"/>
                    <w:tr2bl w:val="nil"/>
                  </w:tcBorders>
                  <w:noWrap/>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23.0</w:t>
                  </w:r>
                </w:p>
              </w:tc>
            </w:tr>
          </w:tbl>
          <w:p>
            <w:pPr>
              <w:spacing w:before="120" w:beforeLines="50"/>
              <w:jc w:val="center"/>
              <w:rPr>
                <w:rFonts w:ascii="Times New Roman" w:hAnsi="Times New Roman" w:eastAsia="宋体"/>
                <w:b/>
                <w:color w:val="auto"/>
                <w:szCs w:val="21"/>
              </w:rPr>
            </w:pPr>
            <w:r>
              <w:rPr>
                <w:rFonts w:ascii="Times New Roman" w:hAnsi="Times New Roman" w:eastAsia="宋体"/>
                <w:b/>
                <w:color w:val="auto"/>
                <w:szCs w:val="21"/>
              </w:rPr>
              <w:t>表4-</w:t>
            </w:r>
            <w:r>
              <w:rPr>
                <w:rFonts w:hint="eastAsia" w:ascii="Times New Roman" w:hAnsi="Times New Roman" w:eastAsia="宋体"/>
                <w:b/>
                <w:color w:val="auto"/>
                <w:szCs w:val="21"/>
                <w:lang w:val="en-US" w:eastAsia="zh-CN"/>
              </w:rPr>
              <w:t>2</w:t>
            </w:r>
            <w:r>
              <w:rPr>
                <w:rFonts w:hint="eastAsia"/>
                <w:b/>
                <w:color w:val="auto"/>
                <w:szCs w:val="21"/>
                <w:lang w:val="en-US" w:eastAsia="zh-CN"/>
              </w:rPr>
              <w:t>4</w:t>
            </w:r>
            <w:r>
              <w:rPr>
                <w:rFonts w:ascii="Times New Roman" w:hAnsi="Times New Roman" w:eastAsia="宋体"/>
                <w:b/>
                <w:color w:val="auto"/>
                <w:szCs w:val="21"/>
              </w:rPr>
              <w:t xml:space="preserve">  项目</w:t>
            </w:r>
            <w:r>
              <w:rPr>
                <w:rFonts w:hint="eastAsia" w:ascii="Times New Roman" w:hAnsi="Times New Roman" w:eastAsia="宋体"/>
                <w:b/>
                <w:color w:val="auto"/>
                <w:szCs w:val="21"/>
                <w:lang w:val="en-US" w:eastAsia="zh-CN"/>
              </w:rPr>
              <w:t>厂界</w:t>
            </w:r>
            <w:r>
              <w:rPr>
                <w:rFonts w:ascii="Times New Roman" w:hAnsi="Times New Roman" w:eastAsia="宋体"/>
                <w:b/>
                <w:color w:val="auto"/>
                <w:szCs w:val="21"/>
              </w:rPr>
              <w:t>噪声预测结果表     单位：dB(A)</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1894"/>
              <w:gridCol w:w="1610"/>
              <w:gridCol w:w="1576"/>
              <w:gridCol w:w="14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38" w:type="pct"/>
                  <w:vMerge w:val="restar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预测点位</w:t>
                  </w:r>
                </w:p>
              </w:tc>
              <w:tc>
                <w:tcPr>
                  <w:tcW w:w="1172"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lang w:val="en-US" w:eastAsia="zh-CN"/>
                    </w:rPr>
                    <w:t>现状</w:t>
                  </w:r>
                  <w:r>
                    <w:rPr>
                      <w:rFonts w:ascii="Times New Roman" w:hAnsi="Times New Roman" w:eastAsia="宋体"/>
                      <w:b/>
                      <w:bCs/>
                      <w:color w:val="auto"/>
                      <w:szCs w:val="21"/>
                    </w:rPr>
                    <w:t>值</w:t>
                  </w:r>
                  <w:r>
                    <w:rPr>
                      <w:rFonts w:hint="eastAsia" w:ascii="Times New Roman" w:hAnsi="Times New Roman" w:eastAsia="宋体" w:cs="Times New Roman"/>
                      <w:b/>
                      <w:bCs w:val="0"/>
                      <w:color w:val="auto"/>
                      <w:szCs w:val="21"/>
                      <w:lang w:val="en-US" w:eastAsia="zh-CN"/>
                    </w:rPr>
                    <w:t>/dB(A)</w:t>
                  </w:r>
                </w:p>
              </w:tc>
              <w:tc>
                <w:tcPr>
                  <w:tcW w:w="997"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贡献值</w:t>
                  </w:r>
                  <w:r>
                    <w:rPr>
                      <w:rFonts w:hint="eastAsia" w:ascii="Times New Roman" w:hAnsi="Times New Roman" w:eastAsia="宋体" w:cs="Times New Roman"/>
                      <w:b/>
                      <w:bCs w:val="0"/>
                      <w:color w:val="auto"/>
                      <w:szCs w:val="21"/>
                      <w:lang w:val="en-US" w:eastAsia="zh-CN"/>
                    </w:rPr>
                    <w:t>/dB(A)</w:t>
                  </w:r>
                </w:p>
              </w:tc>
              <w:tc>
                <w:tcPr>
                  <w:tcW w:w="975"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叠背景后噪声值</w:t>
                  </w:r>
                  <w:r>
                    <w:rPr>
                      <w:rFonts w:hint="eastAsia" w:ascii="Times New Roman" w:hAnsi="Times New Roman" w:eastAsia="宋体" w:cs="Times New Roman"/>
                      <w:b/>
                      <w:bCs w:val="0"/>
                      <w:color w:val="auto"/>
                      <w:szCs w:val="21"/>
                      <w:lang w:val="en-US" w:eastAsia="zh-CN"/>
                    </w:rPr>
                    <w:t>/dB(A)</w:t>
                  </w:r>
                </w:p>
              </w:tc>
              <w:tc>
                <w:tcPr>
                  <w:tcW w:w="915"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执行标准</w:t>
                  </w:r>
                  <w:r>
                    <w:rPr>
                      <w:rFonts w:hint="eastAsia" w:ascii="Times New Roman" w:hAnsi="Times New Roman" w:eastAsia="宋体" w:cs="Times New Roman"/>
                      <w:b/>
                      <w:bCs w:val="0"/>
                      <w:color w:val="auto"/>
                      <w:szCs w:val="21"/>
                      <w:lang w:val="en-US" w:eastAsia="zh-CN"/>
                    </w:rPr>
                    <w:t>/dB(A)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38" w:type="pct"/>
                  <w:vMerge w:val="continue"/>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p>
              </w:tc>
              <w:tc>
                <w:tcPr>
                  <w:tcW w:w="1172"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昼间</w:t>
                  </w:r>
                </w:p>
              </w:tc>
              <w:tc>
                <w:tcPr>
                  <w:tcW w:w="997"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昼间</w:t>
                  </w:r>
                </w:p>
              </w:tc>
              <w:tc>
                <w:tcPr>
                  <w:tcW w:w="975"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昼间</w:t>
                  </w:r>
                </w:p>
              </w:tc>
              <w:tc>
                <w:tcPr>
                  <w:tcW w:w="915" w:type="pct"/>
                  <w:tcBorders>
                    <w:tl2br w:val="nil"/>
                    <w:tr2bl w:val="nil"/>
                  </w:tcBorders>
                  <w:vAlign w:val="center"/>
                </w:tcPr>
                <w:p>
                  <w:pPr>
                    <w:pStyle w:val="9"/>
                    <w:widowControl/>
                    <w:spacing w:line="320" w:lineRule="exact"/>
                    <w:jc w:val="center"/>
                    <w:rPr>
                      <w:rFonts w:ascii="Times New Roman" w:hAnsi="Times New Roman" w:eastAsia="宋体"/>
                      <w:b/>
                      <w:bCs/>
                      <w:color w:val="auto"/>
                      <w:szCs w:val="21"/>
                    </w:rPr>
                  </w:pPr>
                  <w:r>
                    <w:rPr>
                      <w:rFonts w:ascii="Times New Roman" w:hAnsi="Times New Roman" w:eastAsia="宋体"/>
                      <w:b/>
                      <w:bCs/>
                      <w:color w:val="auto"/>
                      <w:szCs w:val="21"/>
                    </w:rPr>
                    <w:t>昼间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38" w:type="pct"/>
                  <w:tcBorders>
                    <w:tl2br w:val="nil"/>
                    <w:tr2bl w:val="nil"/>
                  </w:tcBorders>
                  <w:vAlign w:val="center"/>
                </w:tcPr>
                <w:p>
                  <w:pPr>
                    <w:jc w:val="center"/>
                    <w:rPr>
                      <w:rFonts w:ascii="Times New Roman" w:hAnsi="Times New Roman" w:eastAsia="宋体"/>
                      <w:bCs/>
                      <w:color w:val="auto"/>
                      <w:szCs w:val="21"/>
                    </w:rPr>
                  </w:pPr>
                  <w:r>
                    <w:rPr>
                      <w:rFonts w:ascii="Times New Roman" w:hAnsi="Times New Roman" w:eastAsia="宋体"/>
                      <w:bCs/>
                      <w:color w:val="auto"/>
                      <w:szCs w:val="21"/>
                    </w:rPr>
                    <w:t>N1</w:t>
                  </w:r>
                  <w:r>
                    <w:rPr>
                      <w:rFonts w:hint="eastAsia" w:ascii="Times New Roman" w:hAnsi="Times New Roman" w:eastAsia="宋体"/>
                      <w:bCs/>
                      <w:color w:val="auto"/>
                      <w:szCs w:val="21"/>
                    </w:rPr>
                    <w:t>东</w:t>
                  </w:r>
                  <w:r>
                    <w:rPr>
                      <w:rFonts w:ascii="Times New Roman" w:hAnsi="Times New Roman" w:eastAsia="宋体"/>
                      <w:bCs/>
                      <w:color w:val="auto"/>
                      <w:szCs w:val="21"/>
                    </w:rPr>
                    <w:t>厂界</w:t>
                  </w:r>
                </w:p>
              </w:tc>
              <w:tc>
                <w:tcPr>
                  <w:tcW w:w="11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62.9</w:t>
                  </w:r>
                </w:p>
              </w:tc>
              <w:tc>
                <w:tcPr>
                  <w:tcW w:w="997"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31.7</w:t>
                  </w:r>
                </w:p>
              </w:tc>
              <w:tc>
                <w:tcPr>
                  <w:tcW w:w="9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62.9</w:t>
                  </w:r>
                </w:p>
              </w:tc>
              <w:tc>
                <w:tcPr>
                  <w:tcW w:w="915" w:type="pct"/>
                  <w:tcBorders>
                    <w:tl2br w:val="nil"/>
                    <w:tr2bl w:val="nil"/>
                  </w:tcBorders>
                  <w:vAlign w:val="center"/>
                </w:tcPr>
                <w:p>
                  <w:pPr>
                    <w:autoSpaceDE w:val="0"/>
                    <w:autoSpaceDN w:val="0"/>
                    <w:adjustRightInd w:val="0"/>
                    <w:jc w:val="center"/>
                    <w:rPr>
                      <w:rFonts w:ascii="Times New Roman" w:hAnsi="Times New Roman" w:eastAsia="宋体"/>
                      <w:color w:val="auto"/>
                      <w:szCs w:val="21"/>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38" w:type="pct"/>
                  <w:tcBorders>
                    <w:tl2br w:val="nil"/>
                    <w:tr2bl w:val="nil"/>
                  </w:tcBorders>
                  <w:vAlign w:val="center"/>
                </w:tcPr>
                <w:p>
                  <w:pPr>
                    <w:jc w:val="center"/>
                    <w:rPr>
                      <w:rFonts w:ascii="Times New Roman" w:hAnsi="Times New Roman" w:eastAsia="宋体"/>
                      <w:bCs/>
                      <w:color w:val="auto"/>
                      <w:szCs w:val="21"/>
                    </w:rPr>
                  </w:pPr>
                  <w:r>
                    <w:rPr>
                      <w:rFonts w:ascii="Times New Roman" w:hAnsi="Times New Roman" w:eastAsia="宋体"/>
                      <w:bCs/>
                      <w:color w:val="auto"/>
                      <w:szCs w:val="21"/>
                    </w:rPr>
                    <w:t>N2</w:t>
                  </w:r>
                  <w:r>
                    <w:rPr>
                      <w:rFonts w:hint="eastAsia" w:ascii="Times New Roman" w:hAnsi="Times New Roman" w:eastAsia="宋体"/>
                      <w:bCs/>
                      <w:color w:val="auto"/>
                      <w:szCs w:val="21"/>
                    </w:rPr>
                    <w:t>南</w:t>
                  </w:r>
                  <w:r>
                    <w:rPr>
                      <w:rFonts w:ascii="Times New Roman" w:hAnsi="Times New Roman" w:eastAsia="宋体"/>
                      <w:bCs/>
                      <w:color w:val="auto"/>
                      <w:szCs w:val="21"/>
                    </w:rPr>
                    <w:t>厂界</w:t>
                  </w:r>
                </w:p>
              </w:tc>
              <w:tc>
                <w:tcPr>
                  <w:tcW w:w="11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62.1</w:t>
                  </w:r>
                </w:p>
              </w:tc>
              <w:tc>
                <w:tcPr>
                  <w:tcW w:w="997"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34.8</w:t>
                  </w:r>
                </w:p>
              </w:tc>
              <w:tc>
                <w:tcPr>
                  <w:tcW w:w="9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62.1</w:t>
                  </w:r>
                </w:p>
              </w:tc>
              <w:tc>
                <w:tcPr>
                  <w:tcW w:w="915" w:type="pct"/>
                  <w:tcBorders>
                    <w:tl2br w:val="nil"/>
                    <w:tr2bl w:val="nil"/>
                  </w:tcBorders>
                  <w:vAlign w:val="center"/>
                </w:tcPr>
                <w:p>
                  <w:pPr>
                    <w:autoSpaceDE w:val="0"/>
                    <w:autoSpaceDN w:val="0"/>
                    <w:adjustRightInd w:val="0"/>
                    <w:jc w:val="center"/>
                    <w:rPr>
                      <w:rFonts w:ascii="Times New Roman" w:hAnsi="Times New Roman" w:eastAsia="宋体"/>
                      <w:color w:val="auto"/>
                      <w:szCs w:val="21"/>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938" w:type="pct"/>
                  <w:tcBorders>
                    <w:tl2br w:val="nil"/>
                    <w:tr2bl w:val="nil"/>
                  </w:tcBorders>
                  <w:vAlign w:val="center"/>
                </w:tcPr>
                <w:p>
                  <w:pPr>
                    <w:jc w:val="center"/>
                    <w:rPr>
                      <w:rFonts w:ascii="Times New Roman" w:hAnsi="Times New Roman" w:eastAsia="宋体"/>
                      <w:bCs/>
                      <w:color w:val="auto"/>
                      <w:szCs w:val="21"/>
                    </w:rPr>
                  </w:pPr>
                  <w:r>
                    <w:rPr>
                      <w:rFonts w:ascii="Times New Roman" w:hAnsi="Times New Roman" w:eastAsia="宋体"/>
                      <w:bCs/>
                      <w:color w:val="auto"/>
                      <w:szCs w:val="21"/>
                    </w:rPr>
                    <w:t>N3</w:t>
                  </w:r>
                  <w:r>
                    <w:rPr>
                      <w:rFonts w:hint="eastAsia" w:ascii="Times New Roman" w:hAnsi="Times New Roman" w:eastAsia="宋体"/>
                      <w:bCs/>
                      <w:color w:val="auto"/>
                      <w:szCs w:val="21"/>
                    </w:rPr>
                    <w:t>西</w:t>
                  </w:r>
                  <w:r>
                    <w:rPr>
                      <w:rFonts w:ascii="Times New Roman" w:hAnsi="Times New Roman" w:eastAsia="宋体"/>
                      <w:bCs/>
                      <w:color w:val="auto"/>
                      <w:szCs w:val="21"/>
                    </w:rPr>
                    <w:t>厂界</w:t>
                  </w:r>
                </w:p>
              </w:tc>
              <w:tc>
                <w:tcPr>
                  <w:tcW w:w="11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61.3</w:t>
                  </w:r>
                </w:p>
              </w:tc>
              <w:tc>
                <w:tcPr>
                  <w:tcW w:w="997"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31.9</w:t>
                  </w:r>
                </w:p>
              </w:tc>
              <w:tc>
                <w:tcPr>
                  <w:tcW w:w="9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61.3</w:t>
                  </w:r>
                </w:p>
              </w:tc>
              <w:tc>
                <w:tcPr>
                  <w:tcW w:w="915" w:type="pct"/>
                  <w:tcBorders>
                    <w:tl2br w:val="nil"/>
                    <w:tr2bl w:val="nil"/>
                  </w:tcBorders>
                  <w:vAlign w:val="center"/>
                </w:tcPr>
                <w:p>
                  <w:pPr>
                    <w:autoSpaceDE w:val="0"/>
                    <w:autoSpaceDN w:val="0"/>
                    <w:adjustRightInd w:val="0"/>
                    <w:jc w:val="center"/>
                    <w:rPr>
                      <w:rFonts w:ascii="Times New Roman" w:hAnsi="Times New Roman" w:eastAsia="宋体"/>
                      <w:color w:val="auto"/>
                      <w:szCs w:val="21"/>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38" w:type="pct"/>
                  <w:tcBorders>
                    <w:tl2br w:val="nil"/>
                    <w:tr2bl w:val="nil"/>
                  </w:tcBorders>
                  <w:vAlign w:val="center"/>
                </w:tcPr>
                <w:p>
                  <w:pPr>
                    <w:jc w:val="center"/>
                    <w:rPr>
                      <w:rFonts w:ascii="Times New Roman" w:hAnsi="Times New Roman" w:eastAsia="宋体"/>
                      <w:bCs/>
                      <w:color w:val="auto"/>
                      <w:szCs w:val="21"/>
                    </w:rPr>
                  </w:pPr>
                  <w:r>
                    <w:rPr>
                      <w:rFonts w:ascii="Times New Roman" w:hAnsi="Times New Roman" w:eastAsia="宋体"/>
                      <w:bCs/>
                      <w:color w:val="auto"/>
                      <w:szCs w:val="21"/>
                    </w:rPr>
                    <w:t>N4</w:t>
                  </w:r>
                  <w:r>
                    <w:rPr>
                      <w:rFonts w:hint="eastAsia" w:ascii="Times New Roman" w:hAnsi="Times New Roman" w:eastAsia="宋体"/>
                      <w:bCs/>
                      <w:color w:val="auto"/>
                      <w:szCs w:val="21"/>
                    </w:rPr>
                    <w:t>北</w:t>
                  </w:r>
                  <w:r>
                    <w:rPr>
                      <w:rFonts w:ascii="Times New Roman" w:hAnsi="Times New Roman" w:eastAsia="宋体"/>
                      <w:bCs/>
                      <w:color w:val="auto"/>
                      <w:szCs w:val="21"/>
                    </w:rPr>
                    <w:t>厂界</w:t>
                  </w:r>
                </w:p>
              </w:tc>
              <w:tc>
                <w:tcPr>
                  <w:tcW w:w="11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58.8</w:t>
                  </w:r>
                </w:p>
              </w:tc>
              <w:tc>
                <w:tcPr>
                  <w:tcW w:w="997" w:type="pc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35.5</w:t>
                  </w:r>
                </w:p>
              </w:tc>
              <w:tc>
                <w:tcPr>
                  <w:tcW w:w="9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58.8</w:t>
                  </w:r>
                </w:p>
              </w:tc>
              <w:tc>
                <w:tcPr>
                  <w:tcW w:w="915" w:type="pct"/>
                  <w:tcBorders>
                    <w:tl2br w:val="nil"/>
                    <w:tr2bl w:val="nil"/>
                  </w:tcBorders>
                  <w:vAlign w:val="center"/>
                </w:tcPr>
                <w:p>
                  <w:pPr>
                    <w:autoSpaceDE w:val="0"/>
                    <w:autoSpaceDN w:val="0"/>
                    <w:adjustRightInd w:val="0"/>
                    <w:jc w:val="center"/>
                    <w:rPr>
                      <w:rFonts w:ascii="Times New Roman" w:hAnsi="Times New Roman" w:eastAsia="宋体"/>
                      <w:color w:val="auto"/>
                      <w:szCs w:val="21"/>
                    </w:rPr>
                  </w:pPr>
                  <w:r>
                    <w:rPr>
                      <w:rFonts w:hint="eastAsia" w:ascii="Times New Roman" w:hAnsi="Times New Roman" w:eastAsia="宋体"/>
                      <w:color w:val="auto"/>
                      <w:szCs w:val="21"/>
                    </w:rPr>
                    <w:t>6</w:t>
                  </w:r>
                  <w:r>
                    <w:rPr>
                      <w:rFonts w:hint="eastAsia" w:ascii="Times New Roman" w:hAnsi="Times New Roman" w:eastAsia="宋体"/>
                      <w:color w:val="auto"/>
                      <w:szCs w:val="21"/>
                      <w:lang w:val="en-US" w:eastAsia="zh-CN"/>
                    </w:rPr>
                    <w:t>5</w:t>
                  </w:r>
                </w:p>
              </w:tc>
            </w:tr>
          </w:tbl>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b/>
                <w:color w:val="auto"/>
                <w:szCs w:val="21"/>
                <w:lang w:val="en-US" w:eastAsia="zh-CN"/>
              </w:rPr>
            </w:pPr>
            <w:r>
              <w:rPr>
                <w:rFonts w:hint="eastAsia"/>
                <w:b/>
                <w:color w:val="auto"/>
                <w:szCs w:val="21"/>
                <w:lang w:val="en-US" w:eastAsia="zh-CN"/>
              </w:rPr>
              <w:t>注：现状值来自企业于2025年1月16日委托南通科瑞环境科技有限公司对项目各厂界的昼间噪声实测（监测报告编号：（2025）科瑞（环）字第（002）号）。</w:t>
            </w:r>
          </w:p>
          <w:p>
            <w:pPr>
              <w:pStyle w:val="31"/>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b/>
                <w:color w:val="auto"/>
                <w:szCs w:val="21"/>
                <w:lang w:val="en-US" w:eastAsia="zh-CN"/>
              </w:rPr>
            </w:pPr>
            <w:r>
              <w:rPr>
                <w:rFonts w:ascii="Times New Roman" w:hAnsi="Times New Roman" w:eastAsia="宋体"/>
                <w:b/>
                <w:color w:val="auto"/>
                <w:szCs w:val="21"/>
              </w:rPr>
              <w:t>表4-</w:t>
            </w:r>
            <w:r>
              <w:rPr>
                <w:rFonts w:hint="eastAsia" w:ascii="Times New Roman" w:hAnsi="Times New Roman" w:eastAsia="宋体"/>
                <w:b/>
                <w:color w:val="auto"/>
                <w:szCs w:val="21"/>
                <w:lang w:val="en-US" w:eastAsia="zh-CN"/>
              </w:rPr>
              <w:t>2</w:t>
            </w:r>
            <w:r>
              <w:rPr>
                <w:rFonts w:hint="eastAsia"/>
                <w:b/>
                <w:color w:val="auto"/>
                <w:szCs w:val="21"/>
                <w:lang w:val="en-US" w:eastAsia="zh-CN"/>
              </w:rPr>
              <w:t>5</w:t>
            </w:r>
            <w:r>
              <w:rPr>
                <w:rFonts w:ascii="Times New Roman" w:hAnsi="Times New Roman" w:eastAsia="宋体"/>
                <w:b/>
                <w:color w:val="auto"/>
                <w:szCs w:val="21"/>
              </w:rPr>
              <w:t xml:space="preserve">  项目</w:t>
            </w:r>
            <w:r>
              <w:rPr>
                <w:rFonts w:hint="eastAsia" w:ascii="Times New Roman" w:hAnsi="Times New Roman" w:eastAsia="宋体" w:cs="Times New Roman"/>
                <w:b/>
                <w:bCs w:val="0"/>
                <w:color w:val="auto"/>
                <w:szCs w:val="21"/>
                <w:lang w:val="en-US" w:eastAsia="zh-CN"/>
              </w:rPr>
              <w:t>声环境保护目标</w:t>
            </w:r>
            <w:r>
              <w:rPr>
                <w:rFonts w:ascii="Times New Roman" w:hAnsi="Times New Roman" w:eastAsia="宋体"/>
                <w:b/>
                <w:color w:val="auto"/>
                <w:szCs w:val="21"/>
              </w:rPr>
              <w:t>噪声预测结果表     单位：dB(A</w:t>
            </w:r>
            <w:r>
              <w:rPr>
                <w:rFonts w:hint="eastAsia" w:ascii="Times New Roman" w:hAnsi="Times New Roman" w:eastAsia="宋体"/>
                <w:b/>
                <w:color w:val="auto"/>
                <w:szCs w:val="21"/>
                <w:lang w:val="en-US" w:eastAsia="zh-CN"/>
              </w:rPr>
              <w:t>)</w:t>
            </w:r>
          </w:p>
          <w:tbl>
            <w:tblPr>
              <w:tblStyle w:val="22"/>
              <w:tblW w:w="810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356"/>
              <w:gridCol w:w="901"/>
              <w:gridCol w:w="901"/>
              <w:gridCol w:w="901"/>
              <w:gridCol w:w="901"/>
              <w:gridCol w:w="901"/>
              <w:gridCol w:w="901"/>
              <w:gridCol w:w="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 w:type="dxa"/>
                  <w:vMerge w:val="restart"/>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序号</w:t>
                  </w:r>
                </w:p>
              </w:tc>
              <w:tc>
                <w:tcPr>
                  <w:tcW w:w="1356" w:type="dxa"/>
                  <w:vMerge w:val="restart"/>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声环境保护目标名称</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噪声背景值/dB(A)</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噪声现状值/dB(A)</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噪声标准/dB(A)</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噪声贡献值/dB(A)</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噪声预测值/dB(A)</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较现状增量/dB(A)</w:t>
                  </w: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 w:type="dxa"/>
                  <w:vMerge w:val="continue"/>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p>
              </w:tc>
              <w:tc>
                <w:tcPr>
                  <w:tcW w:w="1356" w:type="dxa"/>
                  <w:vMerge w:val="continue"/>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p>
              </w:tc>
              <w:tc>
                <w:tcPr>
                  <w:tcW w:w="901" w:type="dxa"/>
                  <w:tcBorders>
                    <w:tl2br w:val="nil"/>
                    <w:tr2bl w:val="nil"/>
                  </w:tcBorders>
                  <w:vAlign w:val="center"/>
                </w:tcPr>
                <w:p>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c>
                <w:tcPr>
                  <w:tcW w:w="901" w:type="dxa"/>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c>
                <w:tcPr>
                  <w:tcW w:w="901" w:type="dxa"/>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c>
                <w:tcPr>
                  <w:tcW w:w="901" w:type="dxa"/>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c>
                <w:tcPr>
                  <w:tcW w:w="901" w:type="dxa"/>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c>
                <w:tcPr>
                  <w:tcW w:w="901" w:type="dxa"/>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c>
                <w:tcPr>
                  <w:tcW w:w="901" w:type="dxa"/>
                  <w:tcBorders>
                    <w:tl2br w:val="nil"/>
                    <w:tr2bl w:val="nil"/>
                  </w:tcBorders>
                  <w:vAlign w:val="center"/>
                </w:tcPr>
                <w:p>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1356" w:type="dxa"/>
                  <w:tcBorders>
                    <w:tl2br w:val="nil"/>
                    <w:tr2bl w:val="nil"/>
                  </w:tcBorders>
                  <w:vAlign w:val="center"/>
                </w:tcPr>
                <w:p>
                  <w:pPr>
                    <w:jc w:val="center"/>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bCs/>
                      <w:color w:val="auto"/>
                      <w:szCs w:val="21"/>
                    </w:rPr>
                    <w:t>N5</w:t>
                  </w:r>
                  <w:r>
                    <w:rPr>
                      <w:rFonts w:hint="eastAsia" w:ascii="Times New Roman" w:hAnsi="Times New Roman" w:eastAsia="宋体"/>
                      <w:bCs/>
                      <w:color w:val="auto"/>
                      <w:szCs w:val="21"/>
                    </w:rPr>
                    <w:t>南侧敏感点1</w:t>
                  </w:r>
                  <w:r>
                    <w:rPr>
                      <w:rFonts w:hint="eastAsia" w:ascii="Times New Roman" w:hAnsi="Times New Roman" w:eastAsia="宋体"/>
                      <w:bCs/>
                      <w:color w:val="auto"/>
                      <w:szCs w:val="21"/>
                      <w:lang w:eastAsia="zh-CN"/>
                    </w:rPr>
                    <w:t>（</w:t>
                  </w:r>
                  <w:r>
                    <w:rPr>
                      <w:rFonts w:hint="eastAsia"/>
                      <w:bCs/>
                      <w:color w:val="auto"/>
                      <w:szCs w:val="21"/>
                      <w:lang w:val="en-US" w:eastAsia="zh-CN"/>
                    </w:rPr>
                    <w:t>下原居委28组</w:t>
                  </w:r>
                  <w:r>
                    <w:rPr>
                      <w:rFonts w:hint="eastAsia" w:ascii="Times New Roman" w:hAnsi="Times New Roman" w:eastAsia="宋体"/>
                      <w:bCs/>
                      <w:color w:val="auto"/>
                      <w:szCs w:val="21"/>
                      <w:lang w:eastAsia="zh-CN"/>
                    </w:rPr>
                    <w:t>）</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53.4</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w:t>
                  </w:r>
                </w:p>
              </w:tc>
              <w:tc>
                <w:tcPr>
                  <w:tcW w:w="901"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25.</w:t>
                  </w:r>
                  <w:r>
                    <w:rPr>
                      <w:rFonts w:hint="eastAsia"/>
                      <w:color w:val="auto"/>
                      <w:szCs w:val="21"/>
                      <w:lang w:val="en-US" w:eastAsia="zh-CN"/>
                    </w:rPr>
                    <w:t>5</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53.4</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1356" w:type="dxa"/>
                  <w:tcBorders>
                    <w:tl2br w:val="nil"/>
                    <w:tr2bl w:val="nil"/>
                  </w:tcBorders>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Cs w:val="21"/>
                    </w:rPr>
                    <w:t>N6南侧敏感点</w:t>
                  </w:r>
                  <w:r>
                    <w:rPr>
                      <w:rFonts w:hint="eastAsia" w:ascii="Times New Roman" w:hAnsi="Times New Roman" w:eastAsia="宋体"/>
                      <w:bCs/>
                      <w:color w:val="auto"/>
                      <w:szCs w:val="21"/>
                      <w:lang w:val="en-US" w:eastAsia="zh-CN"/>
                    </w:rPr>
                    <w:t>2</w:t>
                  </w:r>
                  <w:r>
                    <w:rPr>
                      <w:rFonts w:hint="eastAsia" w:ascii="Times New Roman" w:hAnsi="Times New Roman" w:eastAsia="宋体"/>
                      <w:bCs/>
                      <w:color w:val="auto"/>
                      <w:szCs w:val="21"/>
                      <w:lang w:eastAsia="zh-CN"/>
                    </w:rPr>
                    <w:t>（</w:t>
                  </w:r>
                  <w:r>
                    <w:rPr>
                      <w:rFonts w:hint="eastAsia"/>
                      <w:bCs/>
                      <w:color w:val="auto"/>
                      <w:szCs w:val="21"/>
                      <w:lang w:val="en-US" w:eastAsia="zh-CN"/>
                    </w:rPr>
                    <w:t>下原居委28组</w:t>
                  </w:r>
                  <w:r>
                    <w:rPr>
                      <w:rFonts w:hint="eastAsia" w:ascii="Times New Roman" w:hAnsi="Times New Roman" w:eastAsia="宋体"/>
                      <w:bCs/>
                      <w:color w:val="auto"/>
                      <w:szCs w:val="21"/>
                      <w:lang w:eastAsia="zh-CN"/>
                    </w:rPr>
                    <w:t>）</w:t>
                  </w:r>
                </w:p>
              </w:tc>
              <w:tc>
                <w:tcPr>
                  <w:tcW w:w="901" w:type="dxa"/>
                  <w:tcBorders>
                    <w:tl2br w:val="nil"/>
                    <w:tr2bl w:val="nil"/>
                  </w:tcBorders>
                  <w:vAlign w:val="center"/>
                </w:tcPr>
                <w:p>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48.6</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w:t>
                  </w:r>
                </w:p>
              </w:tc>
              <w:tc>
                <w:tcPr>
                  <w:tcW w:w="901" w:type="dxa"/>
                  <w:tcBorders>
                    <w:tl2br w:val="nil"/>
                    <w:tr2bl w:val="nil"/>
                  </w:tcBorders>
                  <w:vAlign w:val="center"/>
                </w:tcPr>
                <w:p>
                  <w:pPr>
                    <w:pStyle w:val="33"/>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Cs w:val="21"/>
                      <w:lang w:val="en-US" w:eastAsia="zh-CN"/>
                    </w:rPr>
                    <w:t>24.3</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48.6</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1356" w:type="dxa"/>
                  <w:tcBorders>
                    <w:tl2br w:val="nil"/>
                    <w:tr2bl w:val="nil"/>
                  </w:tcBorders>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bCs/>
                      <w:color w:val="auto"/>
                      <w:szCs w:val="21"/>
                      <w:lang w:val="en-US" w:eastAsia="zh-CN"/>
                    </w:rPr>
                    <w:t>N7南侧敏感点3（</w:t>
                  </w:r>
                  <w:r>
                    <w:rPr>
                      <w:rFonts w:hint="eastAsia"/>
                      <w:bCs/>
                      <w:color w:val="auto"/>
                      <w:szCs w:val="21"/>
                      <w:lang w:val="en-US" w:eastAsia="zh-CN"/>
                    </w:rPr>
                    <w:t>下原居委28组</w:t>
                  </w:r>
                  <w:r>
                    <w:rPr>
                      <w:rFonts w:hint="eastAsia" w:ascii="Times New Roman" w:hAnsi="Times New Roman" w:eastAsia="宋体"/>
                      <w:bCs/>
                      <w:color w:val="auto"/>
                      <w:szCs w:val="21"/>
                      <w:lang w:val="en-US" w:eastAsia="zh-CN"/>
                    </w:rPr>
                    <w:t>）</w:t>
                  </w:r>
                </w:p>
              </w:tc>
              <w:tc>
                <w:tcPr>
                  <w:tcW w:w="901" w:type="dxa"/>
                  <w:tcBorders>
                    <w:tl2br w:val="nil"/>
                    <w:tr2bl w:val="nil"/>
                  </w:tcBorders>
                  <w:vAlign w:val="center"/>
                </w:tcPr>
                <w:p>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49.6</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w:t>
                  </w:r>
                </w:p>
              </w:tc>
              <w:tc>
                <w:tcPr>
                  <w:tcW w:w="901" w:type="dxa"/>
                  <w:tcBorders>
                    <w:tl2br w:val="nil"/>
                    <w:tr2bl w:val="nil"/>
                  </w:tcBorders>
                  <w:vAlign w:val="center"/>
                </w:tcPr>
                <w:p>
                  <w:pPr>
                    <w:pStyle w:val="33"/>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Cs w:val="21"/>
                      <w:lang w:val="en-US" w:eastAsia="zh-CN"/>
                    </w:rPr>
                    <w:t>23.0</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49.6</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90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达标</w:t>
                  </w:r>
                </w:p>
              </w:tc>
            </w:tr>
          </w:tbl>
          <w:p>
            <w:pPr>
              <w:pStyle w:val="31"/>
              <w:spacing w:line="360" w:lineRule="auto"/>
              <w:ind w:firstLine="480" w:firstLineChars="200"/>
              <w:jc w:val="left"/>
              <w:rPr>
                <w:rFonts w:ascii="Times New Roman" w:hAnsi="Times New Roman" w:eastAsia="宋体"/>
                <w:b w:val="0"/>
                <w:bCs w:val="0"/>
                <w:color w:val="auto"/>
                <w:sz w:val="24"/>
              </w:rPr>
            </w:pPr>
            <w:r>
              <w:rPr>
                <w:rFonts w:hint="eastAsia" w:ascii="Times New Roman" w:hAnsi="Times New Roman" w:eastAsia="宋体"/>
                <w:b w:val="0"/>
                <w:bCs w:val="0"/>
                <w:color w:val="auto"/>
                <w:sz w:val="24"/>
              </w:rPr>
              <w:t>建设项目生产设备产生的噪声经墙体隔声、隔声罩隔声和距离衰减后，厂界噪声满足《工业企业厂界环境噪声排放标准》（GB12348-2008）</w:t>
            </w:r>
            <w:r>
              <w:rPr>
                <w:rFonts w:hint="eastAsia" w:ascii="Times New Roman" w:hAnsi="Times New Roman" w:eastAsia="宋体"/>
                <w:b w:val="0"/>
                <w:bCs w:val="0"/>
                <w:color w:val="auto"/>
                <w:sz w:val="24"/>
                <w:lang w:val="en-US" w:eastAsia="zh-CN"/>
              </w:rPr>
              <w:t>3</w:t>
            </w:r>
            <w:r>
              <w:rPr>
                <w:rFonts w:hint="eastAsia" w:ascii="Times New Roman" w:hAnsi="Times New Roman" w:eastAsia="宋体"/>
                <w:b w:val="0"/>
                <w:bCs w:val="0"/>
                <w:color w:val="auto"/>
                <w:sz w:val="24"/>
              </w:rPr>
              <w:t>类标准要求。</w:t>
            </w:r>
            <w:r>
              <w:rPr>
                <w:rFonts w:hint="eastAsia" w:ascii="Times New Roman" w:hAnsi="Times New Roman" w:eastAsia="宋体"/>
                <w:b w:val="0"/>
                <w:bCs w:val="0"/>
                <w:color w:val="auto"/>
                <w:sz w:val="24"/>
                <w:lang w:val="en-US"/>
              </w:rPr>
              <w:t>南</w:t>
            </w:r>
            <w:r>
              <w:rPr>
                <w:rFonts w:hint="eastAsia" w:ascii="Times New Roman" w:hAnsi="Times New Roman" w:eastAsia="宋体"/>
                <w:b w:val="0"/>
                <w:bCs w:val="0"/>
                <w:color w:val="auto"/>
                <w:sz w:val="24"/>
              </w:rPr>
              <w:t>侧</w:t>
            </w:r>
            <w:r>
              <w:rPr>
                <w:rFonts w:hint="eastAsia" w:ascii="Times New Roman" w:hAnsi="Times New Roman" w:eastAsia="宋体"/>
                <w:b w:val="0"/>
                <w:bCs w:val="0"/>
                <w:color w:val="auto"/>
                <w:sz w:val="24"/>
                <w:lang w:val="en-US"/>
              </w:rPr>
              <w:t>敏感点</w:t>
            </w:r>
            <w:r>
              <w:rPr>
                <w:rFonts w:ascii="Times New Roman" w:hAnsi="Times New Roman" w:eastAsia="宋体"/>
                <w:b w:val="0"/>
                <w:bCs w:val="0"/>
                <w:color w:val="auto"/>
                <w:sz w:val="24"/>
              </w:rPr>
              <w:t>声环境保护目标噪声满足《声环境质量标准》</w:t>
            </w:r>
            <w:r>
              <w:rPr>
                <w:rFonts w:hint="eastAsia" w:ascii="Times New Roman" w:hAnsi="Times New Roman" w:eastAsia="宋体"/>
                <w:b w:val="0"/>
                <w:bCs w:val="0"/>
                <w:color w:val="auto"/>
                <w:sz w:val="24"/>
              </w:rPr>
              <w:t>（</w:t>
            </w:r>
            <w:r>
              <w:rPr>
                <w:rFonts w:ascii="Times New Roman" w:hAnsi="Times New Roman" w:eastAsia="宋体"/>
                <w:b w:val="0"/>
                <w:bCs w:val="0"/>
                <w:color w:val="auto"/>
                <w:sz w:val="24"/>
              </w:rPr>
              <w:t>GB3096-2008</w:t>
            </w:r>
            <w:r>
              <w:rPr>
                <w:rFonts w:hint="eastAsia" w:ascii="Times New Roman" w:hAnsi="Times New Roman" w:eastAsia="宋体"/>
                <w:b w:val="0"/>
                <w:bCs w:val="0"/>
                <w:color w:val="auto"/>
                <w:sz w:val="24"/>
              </w:rPr>
              <w:t>）</w:t>
            </w:r>
            <w:r>
              <w:rPr>
                <w:rFonts w:hint="eastAsia" w:ascii="Times New Roman" w:hAnsi="Times New Roman" w:eastAsia="宋体"/>
                <w:b w:val="0"/>
                <w:bCs w:val="0"/>
                <w:color w:val="auto"/>
                <w:sz w:val="24"/>
                <w:lang w:val="en-US" w:eastAsia="zh-CN"/>
              </w:rPr>
              <w:t>2</w:t>
            </w:r>
            <w:r>
              <w:rPr>
                <w:rFonts w:ascii="Times New Roman" w:hAnsi="Times New Roman" w:eastAsia="宋体"/>
                <w:b w:val="0"/>
                <w:bCs w:val="0"/>
                <w:color w:val="auto"/>
                <w:sz w:val="24"/>
              </w:rPr>
              <w:t>类标准。</w:t>
            </w:r>
            <w:r>
              <w:rPr>
                <w:rFonts w:hint="eastAsia" w:ascii="Times New Roman" w:hAnsi="Times New Roman" w:eastAsia="宋体"/>
                <w:b w:val="0"/>
                <w:bCs w:val="0"/>
                <w:color w:val="auto"/>
                <w:sz w:val="24"/>
              </w:rPr>
              <w:t>因此，建设项目对周围声环境影响较小，不会产生噪声扰民现象</w:t>
            </w:r>
            <w:r>
              <w:rPr>
                <w:rFonts w:ascii="Times New Roman" w:hAnsi="Times New Roman" w:eastAsia="宋体"/>
                <w:b w:val="0"/>
                <w:bCs w:val="0"/>
                <w:color w:val="auto"/>
                <w:sz w:val="24"/>
              </w:rPr>
              <w:t>。</w:t>
            </w:r>
          </w:p>
          <w:p>
            <w:pPr>
              <w:tabs>
                <w:tab w:val="left" w:pos="567"/>
                <w:tab w:val="left" w:pos="1843"/>
              </w:tabs>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（4）噪声监测要求</w:t>
            </w:r>
          </w:p>
          <w:p>
            <w:pPr>
              <w:tabs>
                <w:tab w:val="left" w:pos="567"/>
                <w:tab w:val="left" w:pos="1843"/>
              </w:tabs>
              <w:adjustRightInd w:val="0"/>
              <w:snapToGrid w:val="0"/>
              <w:spacing w:line="360" w:lineRule="auto"/>
              <w:ind w:firstLine="480"/>
              <w:rPr>
                <w:rFonts w:ascii="Times New Roman" w:hAnsi="Times New Roman" w:eastAsia="宋体"/>
                <w:color w:val="auto"/>
                <w:sz w:val="24"/>
              </w:rPr>
            </w:pPr>
            <w:r>
              <w:rPr>
                <w:rFonts w:hint="eastAsia" w:ascii="Times New Roman" w:hAnsi="Times New Roman" w:eastAsia="宋体"/>
                <w:color w:val="auto"/>
                <w:sz w:val="24"/>
              </w:rPr>
              <w:t>①污染源监测计划</w:t>
            </w:r>
          </w:p>
          <w:p>
            <w:pPr>
              <w:tabs>
                <w:tab w:val="left" w:pos="567"/>
                <w:tab w:val="left" w:pos="1843"/>
              </w:tabs>
              <w:adjustRightInd w:val="0"/>
              <w:snapToGrid w:val="0"/>
              <w:spacing w:line="360" w:lineRule="auto"/>
              <w:ind w:firstLine="480"/>
              <w:rPr>
                <w:rFonts w:ascii="Times New Roman" w:hAnsi="Times New Roman" w:eastAsia="宋体"/>
                <w:color w:val="auto"/>
                <w:sz w:val="24"/>
              </w:rPr>
            </w:pPr>
            <w:r>
              <w:rPr>
                <w:rFonts w:hint="eastAsia" w:ascii="Times New Roman" w:hAnsi="Times New Roman" w:eastAsia="宋体"/>
                <w:color w:val="auto"/>
                <w:sz w:val="24"/>
              </w:rPr>
              <w:t>根据《排污单位自行监测技术指南 总则》（</w:t>
            </w:r>
            <w:r>
              <w:rPr>
                <w:rFonts w:ascii="Times New Roman" w:hAnsi="Times New Roman" w:eastAsia="宋体"/>
                <w:color w:val="auto"/>
                <w:sz w:val="24"/>
              </w:rPr>
              <w:t>HJ819-2017</w:t>
            </w:r>
            <w:r>
              <w:rPr>
                <w:rFonts w:hint="eastAsia" w:ascii="Times New Roman" w:hAnsi="Times New Roman" w:eastAsia="宋体"/>
                <w:color w:val="auto"/>
                <w:sz w:val="24"/>
              </w:rPr>
              <w:t>），厂界噪声最低监测频次为季度，厂界及周边敏感点噪声监测频次为一季度开展一次，并在噪声监测点附近醒目处设置环境保护图形标志牌，噪声环境监测要求见表4-2</w:t>
            </w:r>
            <w:r>
              <w:rPr>
                <w:rFonts w:hint="eastAsia"/>
                <w:color w:val="auto"/>
                <w:sz w:val="24"/>
                <w:lang w:val="en-US" w:eastAsia="zh-CN"/>
              </w:rPr>
              <w:t>6</w:t>
            </w:r>
            <w:r>
              <w:rPr>
                <w:rFonts w:hint="eastAsia" w:ascii="Times New Roman" w:hAnsi="Times New Roman" w:eastAsia="宋体"/>
                <w:color w:val="auto"/>
                <w:sz w:val="24"/>
              </w:rPr>
              <w:t>。</w:t>
            </w:r>
          </w:p>
          <w:p>
            <w:pPr>
              <w:jc w:val="center"/>
              <w:rPr>
                <w:rFonts w:ascii="Times New Roman" w:hAnsi="Times New Roman" w:eastAsia="宋体"/>
                <w:b/>
                <w:color w:val="auto"/>
                <w:kern w:val="0"/>
                <w:szCs w:val="21"/>
              </w:rPr>
            </w:pPr>
            <w:r>
              <w:rPr>
                <w:rFonts w:hint="eastAsia" w:ascii="Times New Roman" w:hAnsi="Times New Roman" w:eastAsia="宋体"/>
                <w:b/>
                <w:color w:val="auto"/>
                <w:kern w:val="0"/>
                <w:szCs w:val="21"/>
              </w:rPr>
              <w:t>表4-2</w:t>
            </w:r>
            <w:r>
              <w:rPr>
                <w:rFonts w:hint="eastAsia"/>
                <w:b/>
                <w:color w:val="auto"/>
                <w:kern w:val="0"/>
                <w:szCs w:val="21"/>
                <w:lang w:val="en-US" w:eastAsia="zh-CN"/>
              </w:rPr>
              <w:t>6</w:t>
            </w:r>
            <w:r>
              <w:rPr>
                <w:rFonts w:hint="eastAsia" w:ascii="Times New Roman" w:hAnsi="Times New Roman" w:eastAsia="宋体"/>
                <w:b/>
                <w:color w:val="auto"/>
                <w:kern w:val="0"/>
                <w:szCs w:val="21"/>
              </w:rPr>
              <w:t xml:space="preserve">  噪声环境监测要求</w:t>
            </w:r>
          </w:p>
          <w:tbl>
            <w:tblPr>
              <w:tblStyle w:val="21"/>
              <w:tblW w:w="49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65"/>
              <w:gridCol w:w="1525"/>
              <w:gridCol w:w="1289"/>
              <w:gridCol w:w="3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类别</w:t>
                  </w:r>
                </w:p>
              </w:tc>
              <w:tc>
                <w:tcPr>
                  <w:tcW w:w="848" w:type="pct"/>
                  <w:tcBorders>
                    <w:tl2br w:val="nil"/>
                    <w:tr2bl w:val="nil"/>
                  </w:tcBorders>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监测位置</w:t>
                  </w:r>
                </w:p>
              </w:tc>
              <w:tc>
                <w:tcPr>
                  <w:tcW w:w="947" w:type="pct"/>
                  <w:tcBorders>
                    <w:tl2br w:val="nil"/>
                    <w:tr2bl w:val="nil"/>
                  </w:tcBorders>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监测项目</w:t>
                  </w:r>
                </w:p>
              </w:tc>
              <w:tc>
                <w:tcPr>
                  <w:tcW w:w="801" w:type="pct"/>
                  <w:tcBorders>
                    <w:tl2br w:val="nil"/>
                    <w:tr2bl w:val="nil"/>
                  </w:tcBorders>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监测频次</w:t>
                  </w:r>
                </w:p>
              </w:tc>
              <w:tc>
                <w:tcPr>
                  <w:tcW w:w="1983" w:type="pct"/>
                  <w:tcBorders>
                    <w:tl2br w:val="nil"/>
                    <w:tr2bl w:val="nil"/>
                  </w:tcBorders>
                  <w:vAlign w:val="center"/>
                </w:tcPr>
                <w:p>
                  <w:pPr>
                    <w:adjustRightInd w:val="0"/>
                    <w:snapToGrid w:val="0"/>
                    <w:spacing w:line="320" w:lineRule="exact"/>
                    <w:jc w:val="center"/>
                    <w:rPr>
                      <w:rFonts w:ascii="Times New Roman" w:hAnsi="Times New Roman" w:eastAsia="宋体"/>
                      <w:b/>
                      <w:bCs/>
                      <w:color w:val="auto"/>
                      <w:szCs w:val="21"/>
                    </w:rPr>
                  </w:pPr>
                  <w:r>
                    <w:rPr>
                      <w:rFonts w:hint="eastAsia" w:ascii="Times New Roman" w:hAnsi="Times New Roman" w:eastAsia="宋体"/>
                      <w:b/>
                      <w:bCs/>
                      <w:color w:val="auto"/>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噪声</w:t>
                  </w:r>
                </w:p>
              </w:tc>
              <w:tc>
                <w:tcPr>
                  <w:tcW w:w="84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厂界外1m</w:t>
                  </w:r>
                </w:p>
              </w:tc>
              <w:tc>
                <w:tcPr>
                  <w:tcW w:w="947"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color w:val="auto"/>
                      <w:szCs w:val="21"/>
                      <w:lang w:val="en-US" w:eastAsia="zh-CN"/>
                    </w:rPr>
                    <w:t>昼间噪声，</w:t>
                  </w:r>
                  <w:r>
                    <w:rPr>
                      <w:rFonts w:hint="eastAsia" w:ascii="Times New Roman" w:hAnsi="Times New Roman" w:eastAsia="宋体"/>
                      <w:color w:val="auto"/>
                      <w:szCs w:val="21"/>
                    </w:rPr>
                    <w:t>连续等效A声级</w:t>
                  </w:r>
                </w:p>
              </w:tc>
              <w:tc>
                <w:tcPr>
                  <w:tcW w:w="801"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每季度一次</w:t>
                  </w:r>
                </w:p>
              </w:tc>
              <w:tc>
                <w:tcPr>
                  <w:tcW w:w="198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《工业企业厂界环境噪声排放标准》（GB12348-2008）</w:t>
                  </w:r>
                  <w:r>
                    <w:rPr>
                      <w:rFonts w:hint="eastAsia" w:ascii="Times New Roman" w:hAnsi="Times New Roman" w:eastAsia="宋体"/>
                      <w:color w:val="auto"/>
                      <w:szCs w:val="21"/>
                      <w:lang w:val="en-US" w:eastAsia="zh-CN"/>
                    </w:rPr>
                    <w:t>3</w:t>
                  </w:r>
                  <w:r>
                    <w:rPr>
                      <w:rFonts w:ascii="Times New Roman" w:hAnsi="Times New Roman" w:eastAsia="宋体"/>
                      <w:color w:val="auto"/>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848" w:type="pct"/>
                  <w:tcBorders>
                    <w:tl2br w:val="nil"/>
                    <w:tr2bl w:val="nil"/>
                  </w:tcBorders>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南侧敏感点</w:t>
                  </w:r>
                  <w:bookmarkStart w:id="27" w:name="OLE_LINK24"/>
                  <w:r>
                    <w:rPr>
                      <w:rFonts w:hint="eastAsia"/>
                      <w:color w:val="auto"/>
                      <w:lang w:eastAsia="zh-CN"/>
                    </w:rPr>
                    <w:t>（</w:t>
                  </w:r>
                  <w:r>
                    <w:rPr>
                      <w:rFonts w:hint="eastAsia"/>
                      <w:color w:val="auto"/>
                      <w:lang w:val="en-US" w:eastAsia="zh-CN"/>
                    </w:rPr>
                    <w:t>下原居委28组</w:t>
                  </w:r>
                  <w:r>
                    <w:rPr>
                      <w:rFonts w:hint="eastAsia"/>
                      <w:color w:val="auto"/>
                      <w:lang w:eastAsia="zh-CN"/>
                    </w:rPr>
                    <w:t>）</w:t>
                  </w:r>
                  <w:bookmarkEnd w:id="27"/>
                </w:p>
              </w:tc>
              <w:tc>
                <w:tcPr>
                  <w:tcW w:w="947"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color w:val="auto"/>
                      <w:szCs w:val="21"/>
                      <w:lang w:val="en-US" w:eastAsia="zh-CN"/>
                    </w:rPr>
                    <w:t>昼间噪声，</w:t>
                  </w:r>
                  <w:r>
                    <w:rPr>
                      <w:rFonts w:hint="eastAsia" w:ascii="Times New Roman" w:hAnsi="Times New Roman" w:eastAsia="宋体"/>
                      <w:color w:val="auto"/>
                      <w:szCs w:val="21"/>
                    </w:rPr>
                    <w:t>连续等效A声级</w:t>
                  </w:r>
                </w:p>
              </w:tc>
              <w:tc>
                <w:tcPr>
                  <w:tcW w:w="801"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每季度一次</w:t>
                  </w:r>
                </w:p>
              </w:tc>
              <w:tc>
                <w:tcPr>
                  <w:tcW w:w="1983"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《声环境质量标准》</w:t>
                  </w:r>
                  <w:r>
                    <w:rPr>
                      <w:rFonts w:hint="eastAsia" w:ascii="Times New Roman" w:hAnsi="Times New Roman" w:eastAsia="宋体"/>
                      <w:color w:val="auto"/>
                      <w:szCs w:val="21"/>
                    </w:rPr>
                    <w:t>（</w:t>
                  </w:r>
                  <w:r>
                    <w:rPr>
                      <w:rFonts w:ascii="Times New Roman" w:hAnsi="Times New Roman" w:eastAsia="宋体"/>
                      <w:color w:val="auto"/>
                      <w:szCs w:val="21"/>
                    </w:rPr>
                    <w:t>GB3096-2008</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2</w:t>
                  </w:r>
                  <w:r>
                    <w:rPr>
                      <w:rFonts w:ascii="Times New Roman" w:hAnsi="Times New Roman" w:eastAsia="宋体"/>
                      <w:color w:val="auto"/>
                      <w:szCs w:val="21"/>
                    </w:rPr>
                    <w:t>类标准</w:t>
                  </w:r>
                </w:p>
              </w:tc>
            </w:tr>
          </w:tbl>
          <w:p>
            <w:pPr>
              <w:spacing w:line="360" w:lineRule="auto"/>
              <w:ind w:firstLine="480" w:firstLineChars="200"/>
              <w:rPr>
                <w:rFonts w:ascii="Times New Roman" w:hAnsi="Times New Roman" w:eastAsia="宋体"/>
                <w:color w:val="auto"/>
                <w:kern w:val="0"/>
                <w:sz w:val="24"/>
              </w:rPr>
            </w:pPr>
            <w:r>
              <w:rPr>
                <w:rFonts w:ascii="Times New Roman" w:hAnsi="Times New Roman" w:eastAsia="宋体"/>
                <w:color w:val="auto"/>
                <w:kern w:val="0"/>
                <w:sz w:val="24"/>
              </w:rPr>
              <w:fldChar w:fldCharType="begin"/>
            </w:r>
            <w:r>
              <w:rPr>
                <w:rFonts w:ascii="Times New Roman" w:hAnsi="Times New Roman" w:eastAsia="宋体"/>
                <w:color w:val="auto"/>
                <w:kern w:val="0"/>
                <w:sz w:val="24"/>
              </w:rPr>
              <w:instrText xml:space="preserve"> </w:instrText>
            </w:r>
            <w:r>
              <w:rPr>
                <w:rFonts w:hint="eastAsia" w:ascii="Times New Roman" w:hAnsi="Times New Roman" w:eastAsia="宋体"/>
                <w:color w:val="auto"/>
                <w:kern w:val="0"/>
                <w:sz w:val="24"/>
              </w:rPr>
              <w:instrText xml:space="preserve">= 2 \* GB3</w:instrText>
            </w:r>
            <w:r>
              <w:rPr>
                <w:rFonts w:ascii="Times New Roman" w:hAnsi="Times New Roman" w:eastAsia="宋体"/>
                <w:color w:val="auto"/>
                <w:kern w:val="0"/>
                <w:sz w:val="24"/>
              </w:rPr>
              <w:instrText xml:space="preserve"> </w:instrText>
            </w:r>
            <w:r>
              <w:rPr>
                <w:rFonts w:ascii="Times New Roman" w:hAnsi="Times New Roman" w:eastAsia="宋体"/>
                <w:color w:val="auto"/>
                <w:kern w:val="0"/>
                <w:sz w:val="24"/>
              </w:rPr>
              <w:fldChar w:fldCharType="separate"/>
            </w:r>
            <w:r>
              <w:rPr>
                <w:rFonts w:hint="eastAsia" w:ascii="Times New Roman" w:hAnsi="Times New Roman" w:eastAsia="宋体"/>
                <w:color w:val="auto"/>
                <w:kern w:val="0"/>
                <w:sz w:val="24"/>
              </w:rPr>
              <w:t>②</w:t>
            </w:r>
            <w:r>
              <w:rPr>
                <w:rFonts w:ascii="Times New Roman" w:hAnsi="Times New Roman" w:eastAsia="宋体"/>
                <w:color w:val="auto"/>
                <w:kern w:val="0"/>
                <w:sz w:val="24"/>
              </w:rPr>
              <w:fldChar w:fldCharType="end"/>
            </w:r>
            <w:r>
              <w:rPr>
                <w:rFonts w:ascii="Times New Roman" w:hAnsi="Times New Roman" w:eastAsia="宋体"/>
                <w:color w:val="auto"/>
                <w:sz w:val="24"/>
              </w:rPr>
              <w:t>“三同时”验收监测计划</w:t>
            </w:r>
          </w:p>
          <w:p>
            <w:pPr>
              <w:spacing w:line="360" w:lineRule="auto"/>
              <w:ind w:firstLine="480" w:firstLineChars="200"/>
              <w:rPr>
                <w:rFonts w:ascii="Times New Roman" w:hAnsi="Times New Roman" w:eastAsia="宋体"/>
                <w:b/>
                <w:color w:val="auto"/>
                <w:sz w:val="24"/>
              </w:rPr>
            </w:pPr>
            <w:r>
              <w:rPr>
                <w:rFonts w:ascii="Times New Roman" w:hAnsi="Times New Roman" w:eastAsia="宋体"/>
                <w:color w:val="auto"/>
                <w:sz w:val="24"/>
              </w:rPr>
              <w:t>根据《建设项目竣工环境保护验收技术指南 污染影响类》，</w:t>
            </w:r>
            <w:r>
              <w:rPr>
                <w:rFonts w:ascii="Times New Roman" w:hAnsi="Times New Roman" w:eastAsia="宋体"/>
                <w:bCs/>
                <w:color w:val="auto"/>
                <w:sz w:val="24"/>
              </w:rPr>
              <w:t>建设项目需针对</w:t>
            </w:r>
            <w:r>
              <w:rPr>
                <w:rFonts w:hint="eastAsia" w:ascii="Times New Roman" w:hAnsi="Times New Roman" w:eastAsia="宋体"/>
                <w:bCs/>
                <w:color w:val="auto"/>
                <w:sz w:val="24"/>
              </w:rPr>
              <w:t>噪声</w:t>
            </w:r>
            <w:r>
              <w:rPr>
                <w:rFonts w:ascii="Times New Roman" w:hAnsi="Times New Roman" w:eastAsia="宋体"/>
                <w:bCs/>
                <w:color w:val="auto"/>
                <w:sz w:val="24"/>
              </w:rPr>
              <w:t>污染源制定验收监测计划。</w:t>
            </w:r>
            <w:r>
              <w:rPr>
                <w:rFonts w:hint="eastAsia" w:ascii="Times New Roman" w:hAnsi="Times New Roman" w:eastAsia="宋体"/>
                <w:color w:val="auto"/>
                <w:sz w:val="24"/>
              </w:rPr>
              <w:t>本项目噪声</w:t>
            </w:r>
            <w:r>
              <w:rPr>
                <w:rFonts w:ascii="Times New Roman" w:hAnsi="Times New Roman" w:eastAsia="宋体"/>
                <w:color w:val="auto"/>
                <w:sz w:val="24"/>
              </w:rPr>
              <w:t>监测点、监测项目及监测频次</w:t>
            </w:r>
            <w:r>
              <w:rPr>
                <w:rFonts w:ascii="Times New Roman" w:hAnsi="Times New Roman" w:eastAsia="宋体"/>
                <w:bCs/>
                <w:color w:val="auto"/>
                <w:sz w:val="24"/>
              </w:rPr>
              <w:t>见</w:t>
            </w:r>
            <w:r>
              <w:rPr>
                <w:rFonts w:hint="eastAsia" w:ascii="Times New Roman" w:hAnsi="Times New Roman" w:eastAsia="宋体"/>
                <w:bCs/>
                <w:color w:val="auto"/>
                <w:sz w:val="24"/>
              </w:rPr>
              <w:t>下表</w:t>
            </w:r>
            <w:r>
              <w:rPr>
                <w:rFonts w:ascii="Times New Roman" w:hAnsi="Times New Roman" w:eastAsia="宋体"/>
                <w:bCs/>
                <w:color w:val="auto"/>
                <w:sz w:val="24"/>
              </w:rPr>
              <w:t>。</w:t>
            </w:r>
          </w:p>
          <w:p>
            <w:pPr>
              <w:tabs>
                <w:tab w:val="left" w:pos="1593"/>
              </w:tabs>
              <w:adjustRightInd w:val="0"/>
              <w:snapToGrid w:val="0"/>
              <w:ind w:firstLine="422" w:firstLineChars="200"/>
              <w:jc w:val="center"/>
              <w:rPr>
                <w:rFonts w:ascii="Times New Roman" w:hAnsi="Times New Roman" w:eastAsia="宋体"/>
                <w:b/>
                <w:color w:val="auto"/>
                <w:szCs w:val="21"/>
              </w:rPr>
            </w:pPr>
            <w:r>
              <w:rPr>
                <w:rFonts w:ascii="Times New Roman" w:hAnsi="Times New Roman" w:eastAsia="宋体"/>
                <w:b/>
                <w:color w:val="auto"/>
                <w:szCs w:val="21"/>
              </w:rPr>
              <w:t>表</w:t>
            </w:r>
            <w:r>
              <w:rPr>
                <w:rFonts w:hint="eastAsia" w:ascii="Times New Roman" w:hAnsi="Times New Roman" w:eastAsia="宋体"/>
                <w:b/>
                <w:color w:val="auto"/>
                <w:szCs w:val="21"/>
              </w:rPr>
              <w:t>4-2</w:t>
            </w:r>
            <w:r>
              <w:rPr>
                <w:rFonts w:hint="eastAsia"/>
                <w:b/>
                <w:color w:val="auto"/>
                <w:szCs w:val="21"/>
                <w:lang w:val="en-US" w:eastAsia="zh-CN"/>
              </w:rPr>
              <w:t>7</w:t>
            </w:r>
            <w:r>
              <w:rPr>
                <w:rFonts w:hint="eastAsia" w:ascii="Times New Roman" w:hAnsi="Times New Roman" w:eastAsia="宋体"/>
                <w:b/>
                <w:color w:val="auto"/>
                <w:szCs w:val="21"/>
              </w:rPr>
              <w:t xml:space="preserve"> </w:t>
            </w:r>
            <w:r>
              <w:rPr>
                <w:rFonts w:ascii="Times New Roman" w:hAnsi="Times New Roman" w:eastAsia="宋体"/>
                <w:b/>
                <w:color w:val="auto"/>
                <w:szCs w:val="21"/>
              </w:rPr>
              <w:t>建设项目</w:t>
            </w:r>
            <w:r>
              <w:rPr>
                <w:rFonts w:hint="eastAsia" w:ascii="Times New Roman" w:hAnsi="Times New Roman" w:eastAsia="宋体"/>
                <w:b/>
                <w:color w:val="auto"/>
                <w:szCs w:val="21"/>
              </w:rPr>
              <w:t>噪声</w:t>
            </w:r>
            <w:r>
              <w:rPr>
                <w:rFonts w:ascii="Times New Roman" w:hAnsi="Times New Roman" w:eastAsia="宋体"/>
                <w:b/>
                <w:color w:val="auto"/>
                <w:szCs w:val="21"/>
              </w:rPr>
              <w:t>验收监测方案</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418"/>
              <w:gridCol w:w="1888"/>
              <w:gridCol w:w="1636"/>
              <w:gridCol w:w="1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3" w:type="pct"/>
                  <w:gridSpan w:val="2"/>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监测点位置</w:t>
                  </w:r>
                </w:p>
              </w:tc>
              <w:tc>
                <w:tcPr>
                  <w:tcW w:w="1169" w:type="pct"/>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监测项目</w:t>
                  </w:r>
                </w:p>
              </w:tc>
              <w:tc>
                <w:tcPr>
                  <w:tcW w:w="1013" w:type="pct"/>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监测频次</w:t>
                  </w:r>
                </w:p>
              </w:tc>
              <w:tc>
                <w:tcPr>
                  <w:tcW w:w="783" w:type="pct"/>
                  <w:tcBorders>
                    <w:tl2br w:val="nil"/>
                    <w:tr2bl w:val="nil"/>
                  </w:tcBorders>
                  <w:vAlign w:val="center"/>
                </w:tcPr>
                <w:p>
                  <w:pPr>
                    <w:adjustRightInd w:val="0"/>
                    <w:snapToGrid w:val="0"/>
                    <w:jc w:val="center"/>
                    <w:textAlignment w:val="baseline"/>
                    <w:rPr>
                      <w:rFonts w:ascii="Times New Roman" w:hAnsi="Times New Roman" w:eastAsia="宋体"/>
                      <w:b/>
                      <w:color w:val="auto"/>
                      <w:szCs w:val="21"/>
                    </w:rPr>
                  </w:pPr>
                  <w:r>
                    <w:rPr>
                      <w:rFonts w:ascii="Times New Roman" w:hAnsi="Times New Roman" w:eastAsia="宋体"/>
                      <w:b/>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restar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噪声</w:t>
                  </w:r>
                </w:p>
              </w:tc>
              <w:tc>
                <w:tcPr>
                  <w:tcW w:w="1496"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四周</w:t>
                  </w:r>
                  <w:r>
                    <w:rPr>
                      <w:rFonts w:ascii="Times New Roman" w:hAnsi="Times New Roman" w:eastAsia="宋体"/>
                      <w:color w:val="auto"/>
                      <w:szCs w:val="21"/>
                    </w:rPr>
                    <w:t>厂界</w:t>
                  </w:r>
                </w:p>
              </w:tc>
              <w:tc>
                <w:tcPr>
                  <w:tcW w:w="1169" w:type="pct"/>
                  <w:tcBorders>
                    <w:tl2br w:val="nil"/>
                    <w:tr2bl w:val="nil"/>
                  </w:tcBorders>
                  <w:vAlign w:val="center"/>
                </w:tcPr>
                <w:p>
                  <w:pPr>
                    <w:tabs>
                      <w:tab w:val="left" w:pos="277"/>
                      <w:tab w:val="left" w:pos="600"/>
                      <w:tab w:val="left" w:pos="780"/>
                      <w:tab w:val="left" w:pos="2517"/>
                    </w:tabs>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等效声级Leq（A）</w:t>
                  </w:r>
                </w:p>
              </w:tc>
              <w:tc>
                <w:tcPr>
                  <w:tcW w:w="1013" w:type="pct"/>
                  <w:tcBorders>
                    <w:tl2br w:val="nil"/>
                    <w:tr2bl w:val="nil"/>
                  </w:tcBorders>
                  <w:vAlign w:val="center"/>
                </w:tcPr>
                <w:p>
                  <w:pPr>
                    <w:tabs>
                      <w:tab w:val="left" w:pos="277"/>
                      <w:tab w:val="left" w:pos="600"/>
                      <w:tab w:val="left" w:pos="780"/>
                      <w:tab w:val="left" w:pos="2517"/>
                    </w:tabs>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2天×</w:t>
                  </w:r>
                  <w:r>
                    <w:rPr>
                      <w:rFonts w:hint="eastAsia" w:ascii="Times New Roman" w:hAnsi="Times New Roman" w:eastAsia="宋体"/>
                      <w:color w:val="auto"/>
                      <w:kern w:val="0"/>
                      <w:szCs w:val="21"/>
                      <w:lang w:val="en-US" w:eastAsia="zh-CN"/>
                    </w:rPr>
                    <w:t>1</w:t>
                  </w:r>
                  <w:r>
                    <w:rPr>
                      <w:rFonts w:ascii="Times New Roman" w:hAnsi="Times New Roman" w:eastAsia="宋体"/>
                      <w:color w:val="auto"/>
                      <w:kern w:val="0"/>
                      <w:szCs w:val="21"/>
                    </w:rPr>
                    <w:t>次/天</w:t>
                  </w:r>
                </w:p>
              </w:tc>
              <w:tc>
                <w:tcPr>
                  <w:tcW w:w="783" w:type="pct"/>
                  <w:tcBorders>
                    <w:tl2br w:val="nil"/>
                    <w:tr2bl w:val="nil"/>
                  </w:tcBorders>
                  <w:vAlign w:val="center"/>
                </w:tcPr>
                <w:p>
                  <w:pPr>
                    <w:tabs>
                      <w:tab w:val="left" w:pos="277"/>
                      <w:tab w:val="left" w:pos="600"/>
                      <w:tab w:val="left" w:pos="780"/>
                      <w:tab w:val="left" w:pos="2517"/>
                    </w:tabs>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昼</w:t>
                  </w:r>
                  <w:r>
                    <w:rPr>
                      <w:rFonts w:hint="eastAsia" w:ascii="Times New Roman" w:hAnsi="Times New Roman" w:eastAsia="宋体"/>
                      <w:color w:val="auto"/>
                      <w:kern w:val="0"/>
                      <w:szCs w:val="21"/>
                      <w:lang w:val="en-US" w:eastAsia="zh-CN"/>
                    </w:rPr>
                    <w:t>间</w:t>
                  </w:r>
                  <w:r>
                    <w:rPr>
                      <w:rFonts w:hint="eastAsia" w:ascii="Times New Roman" w:hAnsi="Times New Roman" w:eastAsia="宋体"/>
                      <w:color w:val="auto"/>
                      <w:kern w:val="0"/>
                      <w:szCs w:val="21"/>
                    </w:rPr>
                    <w:t>1</w:t>
                  </w:r>
                  <w:r>
                    <w:rPr>
                      <w:rFonts w:hint="eastAsia" w:ascii="Times New Roman" w:hAnsi="Times New Roman" w:eastAsia="宋体" w:cs="宋体"/>
                      <w:color w:val="auto"/>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p>
              </w:tc>
              <w:tc>
                <w:tcPr>
                  <w:tcW w:w="1496" w:type="pct"/>
                  <w:tcBorders>
                    <w:tl2br w:val="nil"/>
                    <w:tr2bl w:val="nil"/>
                  </w:tcBorders>
                  <w:vAlign w:val="center"/>
                </w:tcPr>
                <w:p>
                  <w:pPr>
                    <w:adjustRightInd w:val="0"/>
                    <w:snapToGrid w:val="0"/>
                    <w:jc w:val="center"/>
                    <w:textAlignment w:val="baseline"/>
                    <w:rPr>
                      <w:rFonts w:ascii="Times New Roman" w:hAnsi="Times New Roman" w:eastAsia="宋体"/>
                      <w:color w:val="auto"/>
                      <w:szCs w:val="21"/>
                    </w:rPr>
                  </w:pPr>
                  <w:r>
                    <w:rPr>
                      <w:rFonts w:hint="eastAsia" w:ascii="Times New Roman" w:hAnsi="Times New Roman" w:eastAsia="宋体"/>
                      <w:color w:val="auto"/>
                      <w:szCs w:val="21"/>
                    </w:rPr>
                    <w:t>南侧敏感点</w:t>
                  </w:r>
                  <w:r>
                    <w:rPr>
                      <w:rFonts w:hint="eastAsia"/>
                      <w:color w:val="auto"/>
                      <w:lang w:eastAsia="zh-CN"/>
                    </w:rPr>
                    <w:t>（</w:t>
                  </w:r>
                  <w:r>
                    <w:rPr>
                      <w:rFonts w:hint="eastAsia"/>
                      <w:color w:val="auto"/>
                      <w:lang w:val="en-US" w:eastAsia="zh-CN"/>
                    </w:rPr>
                    <w:t>下原居委28组</w:t>
                  </w:r>
                  <w:r>
                    <w:rPr>
                      <w:rFonts w:hint="eastAsia"/>
                      <w:color w:val="auto"/>
                      <w:lang w:eastAsia="zh-CN"/>
                    </w:rPr>
                    <w:t>）</w:t>
                  </w:r>
                </w:p>
              </w:tc>
              <w:tc>
                <w:tcPr>
                  <w:tcW w:w="1942" w:type="dxa"/>
                  <w:tcBorders>
                    <w:tl2br w:val="nil"/>
                    <w:tr2bl w:val="nil"/>
                  </w:tcBorders>
                  <w:vAlign w:val="center"/>
                </w:tcPr>
                <w:p>
                  <w:pPr>
                    <w:tabs>
                      <w:tab w:val="left" w:pos="277"/>
                      <w:tab w:val="left" w:pos="600"/>
                      <w:tab w:val="left" w:pos="780"/>
                      <w:tab w:val="left" w:pos="2517"/>
                    </w:tabs>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等效声级Leq（A）</w:t>
                  </w:r>
                </w:p>
              </w:tc>
              <w:tc>
                <w:tcPr>
                  <w:tcW w:w="1683" w:type="dxa"/>
                  <w:tcBorders>
                    <w:tl2br w:val="nil"/>
                    <w:tr2bl w:val="nil"/>
                  </w:tcBorders>
                  <w:vAlign w:val="center"/>
                </w:tcPr>
                <w:p>
                  <w:pPr>
                    <w:tabs>
                      <w:tab w:val="left" w:pos="277"/>
                      <w:tab w:val="left" w:pos="600"/>
                      <w:tab w:val="left" w:pos="780"/>
                      <w:tab w:val="left" w:pos="2517"/>
                    </w:tabs>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2天×</w:t>
                  </w:r>
                  <w:r>
                    <w:rPr>
                      <w:rFonts w:hint="eastAsia" w:ascii="Times New Roman" w:hAnsi="Times New Roman" w:eastAsia="宋体"/>
                      <w:color w:val="auto"/>
                      <w:kern w:val="0"/>
                      <w:szCs w:val="21"/>
                      <w:lang w:val="en-US" w:eastAsia="zh-CN"/>
                    </w:rPr>
                    <w:t>1</w:t>
                  </w:r>
                  <w:r>
                    <w:rPr>
                      <w:rFonts w:ascii="Times New Roman" w:hAnsi="Times New Roman" w:eastAsia="宋体"/>
                      <w:color w:val="auto"/>
                      <w:kern w:val="0"/>
                      <w:szCs w:val="21"/>
                    </w:rPr>
                    <w:t>次/天</w:t>
                  </w:r>
                </w:p>
              </w:tc>
              <w:tc>
                <w:tcPr>
                  <w:tcW w:w="1302" w:type="dxa"/>
                  <w:tcBorders>
                    <w:tl2br w:val="nil"/>
                    <w:tr2bl w:val="nil"/>
                  </w:tcBorders>
                  <w:vAlign w:val="center"/>
                </w:tcPr>
                <w:p>
                  <w:pPr>
                    <w:tabs>
                      <w:tab w:val="left" w:pos="277"/>
                      <w:tab w:val="left" w:pos="600"/>
                      <w:tab w:val="left" w:pos="780"/>
                      <w:tab w:val="left" w:pos="2517"/>
                    </w:tabs>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昼</w:t>
                  </w:r>
                  <w:r>
                    <w:rPr>
                      <w:rFonts w:hint="eastAsia" w:ascii="Times New Roman" w:hAnsi="Times New Roman" w:eastAsia="宋体"/>
                      <w:color w:val="auto"/>
                      <w:kern w:val="0"/>
                      <w:szCs w:val="21"/>
                      <w:lang w:val="en-US" w:eastAsia="zh-CN"/>
                    </w:rPr>
                    <w:t>间</w:t>
                  </w:r>
                  <w:r>
                    <w:rPr>
                      <w:rFonts w:hint="eastAsia" w:ascii="Times New Roman" w:hAnsi="Times New Roman" w:eastAsia="宋体"/>
                      <w:color w:val="auto"/>
                      <w:kern w:val="0"/>
                      <w:szCs w:val="21"/>
                    </w:rPr>
                    <w:t>1</w:t>
                  </w:r>
                  <w:r>
                    <w:rPr>
                      <w:rFonts w:hint="eastAsia" w:ascii="Times New Roman" w:hAnsi="Times New Roman" w:eastAsia="宋体" w:cs="宋体"/>
                      <w:color w:val="auto"/>
                      <w:kern w:val="0"/>
                      <w:szCs w:val="21"/>
                    </w:rPr>
                    <w:t>次</w:t>
                  </w:r>
                </w:p>
              </w:tc>
            </w:tr>
          </w:tbl>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（四）固体废物</w:t>
            </w:r>
          </w:p>
          <w:p>
            <w:pPr>
              <w:adjustRightInd w:val="0"/>
              <w:snapToGrid w:val="0"/>
              <w:spacing w:line="360" w:lineRule="auto"/>
              <w:ind w:firstLine="482" w:firstLineChars="200"/>
              <w:rPr>
                <w:rFonts w:ascii="Times New Roman" w:hAnsi="Times New Roman" w:eastAsia="宋体"/>
                <w:color w:val="auto"/>
                <w:sz w:val="24"/>
              </w:rPr>
            </w:pPr>
            <w:r>
              <w:rPr>
                <w:rFonts w:hint="eastAsia" w:ascii="Times New Roman" w:hAnsi="Times New Roman" w:eastAsia="宋体"/>
                <w:b/>
                <w:bCs/>
                <w:color w:val="auto"/>
                <w:sz w:val="24"/>
              </w:rPr>
              <w:t>（1）固废源强</w:t>
            </w:r>
          </w:p>
          <w:p>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val="en-US" w:eastAsia="zh-CN"/>
              </w:rPr>
              <w:t>本次技改</w:t>
            </w:r>
            <w:r>
              <w:rPr>
                <w:rFonts w:hint="eastAsia" w:ascii="Times New Roman" w:hAnsi="Times New Roman" w:eastAsia="宋体"/>
                <w:color w:val="auto"/>
                <w:sz w:val="24"/>
              </w:rPr>
              <w:t>项目生产过程中产生的固体废物主要为危险废物和生活垃圾。</w:t>
            </w:r>
          </w:p>
          <w:p>
            <w:pPr>
              <w:adjustRightInd w:val="0"/>
              <w:snapToGrid w:val="0"/>
              <w:spacing w:line="360" w:lineRule="auto"/>
              <w:ind w:firstLine="482" w:firstLineChars="200"/>
              <w:rPr>
                <w:rFonts w:ascii="Times New Roman" w:hAnsi="Times New Roman" w:eastAsia="宋体"/>
                <w:color w:val="auto"/>
                <w:sz w:val="24"/>
              </w:rPr>
            </w:pPr>
            <w:r>
              <w:rPr>
                <w:rFonts w:hint="eastAsia" w:ascii="Times New Roman" w:hAnsi="Times New Roman" w:eastAsia="宋体"/>
                <w:b/>
                <w:bCs/>
                <w:color w:val="auto"/>
                <w:sz w:val="24"/>
              </w:rPr>
              <w:t>生活垃圾：</w:t>
            </w:r>
            <w:r>
              <w:rPr>
                <w:rFonts w:hint="eastAsia" w:ascii="Times New Roman" w:hAnsi="Times New Roman" w:eastAsia="宋体"/>
                <w:color w:val="auto"/>
                <w:sz w:val="24"/>
              </w:rPr>
              <w:t>本次</w:t>
            </w:r>
            <w:r>
              <w:rPr>
                <w:rFonts w:hint="eastAsia" w:ascii="Times New Roman" w:hAnsi="Times New Roman" w:eastAsia="宋体"/>
                <w:color w:val="auto"/>
                <w:sz w:val="24"/>
                <w:lang w:val="en-US" w:eastAsia="zh-CN"/>
              </w:rPr>
              <w:t>技改</w:t>
            </w:r>
            <w:r>
              <w:rPr>
                <w:rFonts w:hint="eastAsia" w:ascii="Times New Roman" w:hAnsi="Times New Roman" w:eastAsia="宋体"/>
                <w:color w:val="auto"/>
                <w:sz w:val="24"/>
              </w:rPr>
              <w:t>项目拟新增</w:t>
            </w:r>
            <w:r>
              <w:rPr>
                <w:rFonts w:ascii="Times New Roman" w:hAnsi="Times New Roman" w:eastAsia="宋体"/>
                <w:color w:val="auto"/>
                <w:sz w:val="24"/>
              </w:rPr>
              <w:t>员工</w:t>
            </w:r>
            <w:r>
              <w:rPr>
                <w:rFonts w:hint="eastAsia" w:ascii="Times New Roman" w:hAnsi="Times New Roman" w:eastAsia="宋体"/>
                <w:color w:val="auto"/>
                <w:sz w:val="24"/>
                <w:lang w:val="en-US" w:eastAsia="zh-CN"/>
              </w:rPr>
              <w:t>10</w:t>
            </w:r>
            <w:r>
              <w:rPr>
                <w:rFonts w:ascii="Times New Roman" w:hAnsi="Times New Roman" w:eastAsia="宋体"/>
                <w:color w:val="auto"/>
                <w:sz w:val="24"/>
              </w:rPr>
              <w:t>人，全年工作天数以</w:t>
            </w:r>
            <w:r>
              <w:rPr>
                <w:rFonts w:hint="eastAsia" w:ascii="Times New Roman" w:hAnsi="Times New Roman" w:eastAsia="宋体"/>
                <w:color w:val="auto"/>
                <w:sz w:val="24"/>
                <w:lang w:val="en-US" w:eastAsia="zh-CN"/>
              </w:rPr>
              <w:t>300</w:t>
            </w:r>
            <w:r>
              <w:rPr>
                <w:rFonts w:ascii="Times New Roman" w:hAnsi="Times New Roman" w:eastAsia="宋体"/>
                <w:color w:val="auto"/>
                <w:sz w:val="24"/>
              </w:rPr>
              <w:t>天计，生活垃圾产生量按0.5 kg/人•d计，职工生活垃圾</w:t>
            </w:r>
            <w:r>
              <w:rPr>
                <w:rFonts w:hint="eastAsia" w:ascii="Times New Roman" w:hAnsi="Times New Roman" w:eastAsia="宋体"/>
                <w:color w:val="auto"/>
                <w:sz w:val="24"/>
                <w:lang w:val="en-US" w:eastAsia="zh-CN"/>
              </w:rPr>
              <w:t>1.5</w:t>
            </w:r>
            <w:r>
              <w:rPr>
                <w:rFonts w:ascii="Times New Roman" w:hAnsi="Times New Roman" w:eastAsia="宋体"/>
                <w:color w:val="auto"/>
                <w:sz w:val="24"/>
              </w:rPr>
              <w:t>t/a，属于一般固废，由环卫部门统一清运。</w:t>
            </w:r>
          </w:p>
          <w:p>
            <w:pPr>
              <w:adjustRightInd w:val="0"/>
              <w:snapToGrid w:val="0"/>
              <w:spacing w:line="360" w:lineRule="auto"/>
              <w:ind w:firstLine="482" w:firstLineChars="200"/>
              <w:rPr>
                <w:rFonts w:ascii="Times New Roman" w:hAnsi="Times New Roman" w:eastAsia="宋体"/>
                <w:b/>
                <w:bCs/>
                <w:color w:val="auto"/>
                <w:sz w:val="24"/>
              </w:rPr>
            </w:pPr>
            <w:r>
              <w:rPr>
                <w:rFonts w:hint="eastAsia" w:ascii="Times New Roman" w:hAnsi="Times New Roman" w:eastAsia="宋体"/>
                <w:b/>
                <w:bCs/>
                <w:color w:val="auto"/>
                <w:sz w:val="24"/>
              </w:rPr>
              <w:t>危险废物：</w:t>
            </w:r>
          </w:p>
          <w:p>
            <w:pPr>
              <w:pStyle w:val="55"/>
              <w:spacing w:line="360" w:lineRule="auto"/>
              <w:ind w:firstLine="48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漆渣：本项目喷涂过程中固体组分掉落形成漆渣。据物料衡算涂装过程中漆渣产生量为</w:t>
            </w:r>
            <w:r>
              <w:rPr>
                <w:rFonts w:hint="eastAsia" w:ascii="Times New Roman" w:hAnsi="Times New Roman" w:eastAsia="宋体"/>
                <w:color w:val="auto"/>
                <w:sz w:val="24"/>
                <w:highlight w:val="none"/>
                <w:lang w:val="en-US" w:eastAsia="zh-CN"/>
              </w:rPr>
              <w:t>0.414</w:t>
            </w:r>
            <w:r>
              <w:rPr>
                <w:rFonts w:hint="eastAsia" w:ascii="Times New Roman" w:hAnsi="Times New Roman" w:eastAsia="宋体"/>
                <w:color w:val="auto"/>
                <w:sz w:val="24"/>
                <w:lang w:val="en-US" w:eastAsia="zh-CN"/>
              </w:rPr>
              <w:t>t/a。根据《国家危险废物名录》（2025年版），漆渣属于危险废物，类别为HW12（900-252-12），委托有资质的单位处置。</w:t>
            </w:r>
          </w:p>
          <w:p>
            <w:pPr>
              <w:pStyle w:val="55"/>
              <w:spacing w:line="360" w:lineRule="auto"/>
              <w:ind w:firstLine="480"/>
              <w:rPr>
                <w:rFonts w:ascii="Times New Roman" w:hAnsi="Times New Roman" w:eastAsia="宋体"/>
                <w:color w:val="auto"/>
                <w:sz w:val="24"/>
              </w:rPr>
            </w:pPr>
            <w:r>
              <w:rPr>
                <w:rFonts w:hint="eastAsia" w:ascii="Times New Roman" w:hAnsi="Times New Roman" w:eastAsia="宋体"/>
                <w:color w:val="auto"/>
                <w:sz w:val="24"/>
              </w:rPr>
              <w:t>废活性炭：本项目活</w:t>
            </w:r>
            <w:r>
              <w:rPr>
                <w:rFonts w:ascii="Times New Roman" w:hAnsi="Times New Roman" w:eastAsia="宋体"/>
                <w:color w:val="auto"/>
                <w:sz w:val="24"/>
              </w:rPr>
              <w:t>性炭</w:t>
            </w:r>
            <w:r>
              <w:rPr>
                <w:rFonts w:hint="eastAsia" w:ascii="Times New Roman" w:hAnsi="Times New Roman" w:eastAsia="宋体"/>
                <w:color w:val="auto"/>
                <w:sz w:val="24"/>
              </w:rPr>
              <w:t>用量约</w:t>
            </w:r>
            <w:r>
              <w:rPr>
                <w:rFonts w:hint="eastAsia" w:ascii="Times New Roman" w:hAnsi="Times New Roman"/>
                <w:color w:val="auto"/>
                <w:sz w:val="24"/>
                <w:lang w:val="en-US" w:eastAsia="zh-CN"/>
              </w:rPr>
              <w:t>14.55</w:t>
            </w:r>
            <w:r>
              <w:rPr>
                <w:rFonts w:hint="eastAsia" w:ascii="Times New Roman" w:hAnsi="Times New Roman" w:eastAsia="宋体"/>
                <w:color w:val="auto"/>
                <w:sz w:val="24"/>
              </w:rPr>
              <w:t>t/a</w:t>
            </w:r>
            <w:r>
              <w:rPr>
                <w:rFonts w:ascii="Times New Roman" w:hAnsi="Times New Roman" w:eastAsia="宋体"/>
                <w:color w:val="auto"/>
                <w:sz w:val="24"/>
              </w:rPr>
              <w:t>，吸附的有机废气量</w:t>
            </w:r>
            <w:r>
              <w:rPr>
                <w:rFonts w:hint="eastAsia" w:ascii="Times New Roman" w:hAnsi="Times New Roman" w:eastAsia="宋体"/>
                <w:color w:val="auto"/>
                <w:sz w:val="24"/>
              </w:rPr>
              <w:t>为</w:t>
            </w:r>
            <w:r>
              <w:rPr>
                <w:rFonts w:hint="eastAsia" w:ascii="Times New Roman" w:hAnsi="Times New Roman" w:eastAsia="宋体"/>
                <w:color w:val="auto"/>
                <w:sz w:val="24"/>
                <w:lang w:val="en-US" w:eastAsia="zh-CN"/>
              </w:rPr>
              <w:t>1.3855</w:t>
            </w:r>
            <w:r>
              <w:rPr>
                <w:rFonts w:ascii="Times New Roman" w:hAnsi="Times New Roman" w:eastAsia="宋体"/>
                <w:color w:val="auto"/>
                <w:sz w:val="24"/>
              </w:rPr>
              <w:t>t/a，</w:t>
            </w:r>
            <w:r>
              <w:rPr>
                <w:rFonts w:hint="eastAsia" w:ascii="Times New Roman" w:hAnsi="Times New Roman" w:eastAsia="宋体"/>
                <w:color w:val="auto"/>
                <w:sz w:val="24"/>
              </w:rPr>
              <w:t>则</w:t>
            </w:r>
            <w:r>
              <w:rPr>
                <w:rFonts w:ascii="Times New Roman" w:hAnsi="Times New Roman" w:eastAsia="宋体"/>
                <w:color w:val="auto"/>
                <w:sz w:val="24"/>
              </w:rPr>
              <w:t>本项目废活性炭产生量约</w:t>
            </w:r>
            <w:r>
              <w:rPr>
                <w:rFonts w:hint="eastAsia" w:ascii="Times New Roman" w:hAnsi="Times New Roman"/>
                <w:color w:val="auto"/>
                <w:sz w:val="24"/>
                <w:lang w:val="en-US" w:eastAsia="zh-CN"/>
              </w:rPr>
              <w:t>15.94</w:t>
            </w:r>
            <w:r>
              <w:rPr>
                <w:rFonts w:ascii="Times New Roman" w:hAnsi="Times New Roman" w:eastAsia="宋体"/>
                <w:color w:val="auto"/>
                <w:sz w:val="24"/>
              </w:rPr>
              <w:t>t/a，</w:t>
            </w:r>
            <w:r>
              <w:rPr>
                <w:rFonts w:ascii="Times New Roman" w:hAnsi="Times New Roman" w:eastAsia="宋体"/>
                <w:color w:val="auto"/>
                <w:kern w:val="24"/>
                <w:sz w:val="24"/>
              </w:rPr>
              <w:t>属于危险废物，类别为HW49 （900-039-49）</w:t>
            </w:r>
            <w:r>
              <w:rPr>
                <w:rFonts w:ascii="Times New Roman" w:hAnsi="Times New Roman" w:eastAsia="宋体"/>
                <w:color w:val="auto"/>
                <w:sz w:val="24"/>
              </w:rPr>
              <w:t>委托有资质单位处置。</w:t>
            </w:r>
          </w:p>
          <w:p>
            <w:pPr>
              <w:adjustRightInd w:val="0"/>
              <w:snapToGrid w:val="0"/>
              <w:spacing w:line="360" w:lineRule="auto"/>
              <w:ind w:firstLine="480" w:firstLineChars="200"/>
              <w:rPr>
                <w:rStyle w:val="25"/>
                <w:rFonts w:hint="eastAsia" w:ascii="Times New Roman" w:hAnsi="Times New Roman" w:eastAsia="宋体"/>
                <w:color w:val="auto"/>
                <w:kern w:val="0"/>
                <w:sz w:val="24"/>
              </w:rPr>
            </w:pPr>
            <w:r>
              <w:rPr>
                <w:rFonts w:ascii="Times New Roman" w:hAnsi="Times New Roman" w:eastAsia="宋体"/>
                <w:color w:val="auto"/>
                <w:sz w:val="24"/>
              </w:rPr>
              <w:t>废包装</w:t>
            </w:r>
            <w:r>
              <w:rPr>
                <w:rStyle w:val="25"/>
                <w:rFonts w:hint="eastAsia" w:ascii="Times New Roman" w:hAnsi="Times New Roman" w:eastAsia="宋体"/>
                <w:color w:val="auto"/>
                <w:kern w:val="0"/>
                <w:sz w:val="24"/>
              </w:rPr>
              <w:t>桶：</w:t>
            </w:r>
            <w:r>
              <w:rPr>
                <w:rStyle w:val="25"/>
                <w:rFonts w:hint="eastAsia" w:ascii="Times New Roman" w:hAnsi="Times New Roman" w:eastAsia="宋体"/>
                <w:color w:val="auto"/>
                <w:kern w:val="0"/>
                <w:sz w:val="24"/>
                <w:lang w:val="en-US" w:eastAsia="zh-CN"/>
              </w:rPr>
              <w:t>本项目使用的油漆量约为4.71t/a，稀释剂总量为1.04t/a，油漆每桶25kg计，稀释剂以每桶10kg计；则全年产生废油漆包装桶189个，废稀释剂空桶为104个，每个油漆空桶重约2kg，稀释剂空桶重约1kg，则废包装桶产生量约为0.482t/a，对照《国家危险废物名录》（2025</w:t>
            </w:r>
            <w:r>
              <w:rPr>
                <w:rFonts w:hint="eastAsia" w:ascii="Times New Roman" w:hAnsi="Times New Roman" w:eastAsia="宋体"/>
                <w:color w:val="auto"/>
                <w:sz w:val="24"/>
                <w:lang w:val="en-US" w:eastAsia="zh-CN"/>
              </w:rPr>
              <w:t>年</w:t>
            </w:r>
            <w:r>
              <w:rPr>
                <w:rStyle w:val="25"/>
                <w:rFonts w:hint="eastAsia" w:ascii="Times New Roman" w:hAnsi="Times New Roman" w:eastAsia="宋体"/>
                <w:color w:val="auto"/>
                <w:kern w:val="0"/>
                <w:sz w:val="24"/>
                <w:lang w:val="en-US" w:eastAsia="zh-CN"/>
              </w:rPr>
              <w:t>版），废包装桶属于危险废物，类别为HW49（900-041-49），委托有资质单位处置。</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olor w:val="auto"/>
                <w:kern w:val="24"/>
                <w:sz w:val="24"/>
                <w:lang w:val="en-US" w:eastAsia="zh-CN"/>
              </w:rPr>
            </w:pPr>
            <w:r>
              <w:rPr>
                <w:rFonts w:hint="eastAsia" w:ascii="Times New Roman" w:hAnsi="Times New Roman" w:eastAsia="宋体"/>
                <w:color w:val="auto"/>
                <w:kern w:val="24"/>
                <w:sz w:val="24"/>
                <w:lang w:val="en-US" w:eastAsia="zh-CN"/>
              </w:rPr>
              <w:t>废过滤材料：</w:t>
            </w:r>
            <w:r>
              <w:rPr>
                <w:rFonts w:hint="eastAsia" w:ascii="Times New Roman" w:hAnsi="Times New Roman" w:eastAsia="宋体"/>
                <w:color w:val="auto"/>
                <w:sz w:val="24"/>
                <w:szCs w:val="24"/>
              </w:rPr>
              <w:t>根据《漆雾高效干式净化法的关键—过滤材料》文中干式过滤材料数据，容尘量取4.5kg/m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，重量取500g/m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。项目进入</w:t>
            </w:r>
            <w:r>
              <w:rPr>
                <w:rFonts w:hint="eastAsia" w:ascii="Times New Roman" w:hAnsi="Times New Roman" w:eastAsia="宋体"/>
                <w:color w:val="auto"/>
                <w:sz w:val="24"/>
                <w:szCs w:val="24"/>
                <w:lang w:eastAsia="zh-CN"/>
              </w:rPr>
              <w:t>漆雾处理装置</w:t>
            </w:r>
            <w:r>
              <w:rPr>
                <w:rFonts w:hint="eastAsia" w:ascii="Times New Roman" w:hAnsi="Times New Roman" w:eastAsia="宋体"/>
                <w:color w:val="auto"/>
                <w:sz w:val="24"/>
                <w:szCs w:val="24"/>
              </w:rPr>
              <w:t>的漆雾为</w:t>
            </w:r>
            <w:r>
              <w:rPr>
                <w:rFonts w:hint="eastAsia" w:ascii="Times New Roman" w:hAnsi="Times New Roman" w:eastAsia="宋体"/>
                <w:color w:val="auto"/>
                <w:sz w:val="24"/>
                <w:szCs w:val="24"/>
                <w:lang w:val="en-US" w:eastAsia="zh-CN"/>
              </w:rPr>
              <w:t>0.7569</w:t>
            </w:r>
            <w:r>
              <w:rPr>
                <w:rFonts w:hint="eastAsia" w:ascii="Times New Roman" w:hAnsi="Times New Roman" w:eastAsia="宋体"/>
                <w:color w:val="auto"/>
                <w:sz w:val="24"/>
                <w:szCs w:val="24"/>
              </w:rPr>
              <w:t>t/a，则过滤</w:t>
            </w:r>
            <w:r>
              <w:rPr>
                <w:rFonts w:hint="eastAsia" w:ascii="Times New Roman" w:hAnsi="Times New Roman" w:eastAsia="宋体"/>
                <w:color w:val="auto"/>
                <w:sz w:val="24"/>
                <w:szCs w:val="24"/>
                <w:lang w:eastAsia="zh-CN"/>
              </w:rPr>
              <w:t>材料</w:t>
            </w:r>
            <w:r>
              <w:rPr>
                <w:rFonts w:hint="eastAsia" w:ascii="Times New Roman" w:hAnsi="Times New Roman" w:eastAsia="宋体"/>
                <w:color w:val="auto"/>
                <w:sz w:val="24"/>
                <w:szCs w:val="24"/>
              </w:rPr>
              <w:t>用量约为</w:t>
            </w:r>
            <w:r>
              <w:rPr>
                <w:rFonts w:hint="eastAsia" w:ascii="Times New Roman" w:hAnsi="Times New Roman" w:eastAsia="宋体"/>
                <w:color w:val="auto"/>
                <w:sz w:val="24"/>
                <w:szCs w:val="24"/>
                <w:lang w:val="en-US" w:eastAsia="zh-CN"/>
              </w:rPr>
              <w:t>0.084</w:t>
            </w:r>
            <w:r>
              <w:rPr>
                <w:rFonts w:hint="eastAsia" w:ascii="Times New Roman" w:hAnsi="Times New Roman" w:eastAsia="宋体"/>
                <w:color w:val="auto"/>
                <w:sz w:val="24"/>
                <w:szCs w:val="24"/>
              </w:rPr>
              <w:t>t/a，</w:t>
            </w:r>
            <w:r>
              <w:rPr>
                <w:rFonts w:hint="eastAsia" w:ascii="Times New Roman" w:hAnsi="Times New Roman" w:eastAsia="宋体"/>
                <w:color w:val="auto"/>
                <w:sz w:val="24"/>
                <w:szCs w:val="24"/>
                <w:lang w:eastAsia="zh-CN"/>
              </w:rPr>
              <w:t>废漆雾吸附材料（包括废过滤棉和废纸质过滤器）</w:t>
            </w:r>
            <w:r>
              <w:rPr>
                <w:rFonts w:hint="eastAsia" w:ascii="Times New Roman" w:hAnsi="Times New Roman" w:eastAsia="宋体"/>
                <w:color w:val="auto"/>
                <w:sz w:val="24"/>
                <w:szCs w:val="24"/>
              </w:rPr>
              <w:t>产生为</w:t>
            </w:r>
            <w:r>
              <w:rPr>
                <w:rFonts w:hint="eastAsia" w:ascii="Times New Roman" w:hAnsi="Times New Roman" w:eastAsia="宋体"/>
                <w:color w:val="auto"/>
                <w:sz w:val="24"/>
                <w:szCs w:val="24"/>
                <w:lang w:val="en-US" w:eastAsia="zh-CN"/>
              </w:rPr>
              <w:t>0.841</w:t>
            </w:r>
            <w:r>
              <w:rPr>
                <w:rFonts w:hint="eastAsia"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对照《国家危险废物名录》（2025</w:t>
            </w:r>
            <w:r>
              <w:rPr>
                <w:rFonts w:hint="eastAsia" w:ascii="Times New Roman" w:hAnsi="Times New Roman" w:eastAsia="宋体"/>
                <w:color w:val="auto"/>
                <w:sz w:val="24"/>
                <w:lang w:val="en-US" w:eastAsia="zh-CN"/>
              </w:rPr>
              <w:t>年</w:t>
            </w:r>
            <w:r>
              <w:rPr>
                <w:rFonts w:hint="eastAsia" w:ascii="Times New Roman" w:hAnsi="Times New Roman" w:eastAsia="宋体"/>
                <w:color w:val="auto"/>
                <w:sz w:val="24"/>
                <w:szCs w:val="24"/>
                <w:lang w:val="en-US" w:eastAsia="zh-CN"/>
              </w:rPr>
              <w:t>版），</w:t>
            </w:r>
            <w:r>
              <w:rPr>
                <w:rFonts w:hint="eastAsia" w:ascii="Times New Roman" w:hAnsi="Times New Roman" w:eastAsia="宋体" w:cs="Times New Roman"/>
                <w:color w:val="auto"/>
                <w:sz w:val="24"/>
                <w:szCs w:val="24"/>
                <w:lang w:val="en-US" w:eastAsia="zh-CN"/>
              </w:rPr>
              <w:t>废过滤材料</w:t>
            </w:r>
            <w:r>
              <w:rPr>
                <w:rFonts w:hint="eastAsia" w:ascii="Times New Roman" w:hAnsi="Times New Roman" w:eastAsia="宋体"/>
                <w:color w:val="auto"/>
                <w:sz w:val="24"/>
                <w:szCs w:val="24"/>
              </w:rPr>
              <w:t>属于危险废物</w:t>
            </w: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类别为HW49（900-041-49），</w:t>
            </w:r>
            <w:r>
              <w:rPr>
                <w:rFonts w:ascii="Times New Roman" w:hAnsi="Times New Roman" w:eastAsia="宋体"/>
                <w:color w:val="auto"/>
                <w:sz w:val="24"/>
                <w:szCs w:val="24"/>
              </w:rPr>
              <w:t>必须委托有资质单位处置</w:t>
            </w:r>
            <w:r>
              <w:rPr>
                <w:rFonts w:hint="eastAsia" w:ascii="Times New Roman" w:hAnsi="Times New Roman" w:eastAsia="宋体"/>
                <w:color w:val="auto"/>
                <w:sz w:val="24"/>
                <w:szCs w:val="24"/>
              </w:rPr>
              <w:t>。</w:t>
            </w:r>
          </w:p>
          <w:p>
            <w:pPr>
              <w:spacing w:line="360" w:lineRule="auto"/>
              <w:ind w:firstLine="480" w:firstLineChars="200"/>
              <w:rPr>
                <w:color w:val="auto"/>
                <w:sz w:val="24"/>
                <w:szCs w:val="24"/>
              </w:rPr>
            </w:pPr>
            <w:r>
              <w:rPr>
                <w:rFonts w:hint="eastAsia" w:ascii="Times New Roman" w:hAnsi="Times New Roman" w:eastAsia="宋体"/>
                <w:color w:val="auto"/>
                <w:kern w:val="24"/>
                <w:sz w:val="24"/>
                <w:lang w:val="en-US" w:eastAsia="zh-CN"/>
              </w:rPr>
              <w:t>废切削液：</w:t>
            </w:r>
            <w:r>
              <w:rPr>
                <w:rFonts w:hint="eastAsia"/>
                <w:color w:val="auto"/>
                <w:sz w:val="24"/>
                <w:szCs w:val="24"/>
              </w:rPr>
              <w:t>根据工程分析，</w:t>
            </w:r>
            <w:r>
              <w:rPr>
                <w:rFonts w:hint="eastAsia"/>
                <w:color w:val="auto"/>
                <w:sz w:val="24"/>
                <w:szCs w:val="24"/>
                <w:lang w:val="en-US" w:eastAsia="zh-CN"/>
              </w:rPr>
              <w:t>全厂</w:t>
            </w:r>
            <w:r>
              <w:rPr>
                <w:rFonts w:hint="eastAsia"/>
                <w:color w:val="auto"/>
                <w:sz w:val="24"/>
                <w:szCs w:val="24"/>
              </w:rPr>
              <w:t>废切削液</w:t>
            </w:r>
            <w:r>
              <w:rPr>
                <w:rFonts w:hint="eastAsia"/>
                <w:color w:val="auto"/>
                <w:sz w:val="24"/>
                <w:szCs w:val="24"/>
                <w:lang w:val="en-US" w:eastAsia="zh-CN"/>
              </w:rPr>
              <w:t>产生量为1.1</w:t>
            </w:r>
            <w:r>
              <w:rPr>
                <w:rFonts w:hint="eastAsia"/>
                <w:color w:val="auto"/>
                <w:sz w:val="24"/>
                <w:szCs w:val="24"/>
              </w:rPr>
              <w:t>t/a，根据</w:t>
            </w:r>
            <w:r>
              <w:rPr>
                <w:rFonts w:hint="eastAsia"/>
                <w:color w:val="auto"/>
                <w:sz w:val="24"/>
                <w:szCs w:val="24"/>
                <w:lang w:val="en-US" w:eastAsia="zh-CN"/>
              </w:rPr>
              <w:t>《国家危险废物名录》（2025年版）</w:t>
            </w:r>
            <w:r>
              <w:rPr>
                <w:rFonts w:hint="eastAsia"/>
                <w:color w:val="auto"/>
                <w:sz w:val="24"/>
                <w:szCs w:val="24"/>
              </w:rPr>
              <w:t>，废切削液为危险废物，委托有资质单位处置</w:t>
            </w:r>
            <w:r>
              <w:rPr>
                <w:color w:val="auto"/>
                <w:sz w:val="24"/>
                <w:szCs w:val="24"/>
              </w:rPr>
              <w:t>。</w:t>
            </w:r>
          </w:p>
          <w:p>
            <w:pPr>
              <w:spacing w:line="360" w:lineRule="auto"/>
              <w:ind w:firstLine="480" w:firstLineChars="200"/>
              <w:rPr>
                <w:rFonts w:hint="default" w:ascii="Times New Roman" w:hAnsi="Times New Roman" w:eastAsia="宋体"/>
                <w:color w:val="auto"/>
                <w:kern w:val="24"/>
                <w:sz w:val="24"/>
                <w:lang w:val="en-US" w:eastAsia="zh-CN"/>
              </w:rPr>
            </w:pPr>
            <w:r>
              <w:rPr>
                <w:rFonts w:hint="eastAsia"/>
                <w:color w:val="auto"/>
                <w:kern w:val="24"/>
                <w:sz w:val="24"/>
                <w:lang w:val="en-US" w:eastAsia="zh-CN"/>
              </w:rPr>
              <w:t>喷漆清洗废液：根据物料平衡，本项目喷漆清洗废液产生量为0.07t/a，</w:t>
            </w:r>
            <w:r>
              <w:rPr>
                <w:rFonts w:hint="eastAsia"/>
                <w:color w:val="auto"/>
                <w:sz w:val="24"/>
                <w:szCs w:val="24"/>
              </w:rPr>
              <w:t>根据</w:t>
            </w:r>
            <w:r>
              <w:rPr>
                <w:rFonts w:hint="eastAsia"/>
                <w:color w:val="auto"/>
                <w:sz w:val="24"/>
                <w:szCs w:val="24"/>
                <w:lang w:val="en-US" w:eastAsia="zh-CN"/>
              </w:rPr>
              <w:t>《国家危险废物名录》（2025年版）</w:t>
            </w:r>
            <w:r>
              <w:rPr>
                <w:rFonts w:hint="eastAsia"/>
                <w:color w:val="auto"/>
                <w:sz w:val="24"/>
                <w:szCs w:val="24"/>
              </w:rPr>
              <w:t>，废切削液为危险废物，委托有资质单位处置</w:t>
            </w:r>
          </w:p>
          <w:p>
            <w:pPr>
              <w:spacing w:line="360" w:lineRule="auto"/>
              <w:ind w:firstLine="480" w:firstLineChars="200"/>
              <w:rPr>
                <w:rFonts w:ascii="Times New Roman" w:hAnsi="Times New Roman" w:eastAsia="宋体"/>
                <w:b/>
                <w:color w:val="auto"/>
                <w:sz w:val="24"/>
              </w:rPr>
            </w:pPr>
            <w:r>
              <w:rPr>
                <w:rFonts w:ascii="Times New Roman" w:hAnsi="Times New Roman" w:eastAsia="宋体"/>
                <w:color w:val="auto"/>
                <w:kern w:val="24"/>
                <w:sz w:val="24"/>
              </w:rPr>
              <w:t>根据</w:t>
            </w:r>
            <w:r>
              <w:rPr>
                <w:rFonts w:ascii="Times New Roman" w:hAnsi="Times New Roman" w:eastAsia="宋体"/>
                <w:color w:val="auto"/>
                <w:sz w:val="24"/>
              </w:rPr>
              <w:t>《固体废物鉴别标准 通则》</w:t>
            </w:r>
            <w:r>
              <w:rPr>
                <w:rFonts w:ascii="Times New Roman" w:hAnsi="Times New Roman" w:eastAsia="宋体"/>
                <w:bCs/>
                <w:color w:val="auto"/>
                <w:sz w:val="24"/>
              </w:rPr>
              <w:t>（GB 34330-2017）</w:t>
            </w:r>
            <w:r>
              <w:rPr>
                <w:rFonts w:ascii="Times New Roman" w:hAnsi="Times New Roman" w:eastAsia="宋体"/>
                <w:color w:val="auto"/>
                <w:kern w:val="24"/>
                <w:sz w:val="24"/>
              </w:rPr>
              <w:t>，判断建设项目生产过程中产生的副产物是否属于固体废物，</w:t>
            </w:r>
            <w:r>
              <w:rPr>
                <w:rFonts w:hint="eastAsia" w:ascii="Times New Roman" w:hAnsi="Times New Roman" w:eastAsia="宋体"/>
                <w:color w:val="auto"/>
                <w:kern w:val="24"/>
                <w:sz w:val="24"/>
              </w:rPr>
              <w:t>本</w:t>
            </w:r>
            <w:r>
              <w:rPr>
                <w:rFonts w:ascii="Times New Roman" w:hAnsi="Times New Roman" w:eastAsia="宋体"/>
                <w:color w:val="auto"/>
                <w:sz w:val="24"/>
              </w:rPr>
              <w:t>项目副产物产生情况见表</w:t>
            </w:r>
            <w:r>
              <w:rPr>
                <w:rFonts w:hint="eastAsia" w:ascii="Times New Roman" w:hAnsi="Times New Roman" w:eastAsia="宋体"/>
                <w:color w:val="auto"/>
                <w:sz w:val="24"/>
              </w:rPr>
              <w:t>4-2</w:t>
            </w:r>
            <w:r>
              <w:rPr>
                <w:rFonts w:hint="eastAsia"/>
                <w:color w:val="auto"/>
                <w:sz w:val="24"/>
                <w:lang w:val="en-US" w:eastAsia="zh-CN"/>
              </w:rPr>
              <w:t>8</w:t>
            </w:r>
            <w:r>
              <w:rPr>
                <w:rFonts w:ascii="Times New Roman" w:hAnsi="Times New Roman" w:eastAsia="宋体"/>
                <w:color w:val="auto"/>
                <w:sz w:val="24"/>
              </w:rPr>
              <w:t>，</w:t>
            </w:r>
            <w:r>
              <w:rPr>
                <w:rFonts w:hint="eastAsia" w:ascii="Times New Roman" w:hAnsi="Times New Roman" w:eastAsia="宋体"/>
                <w:color w:val="auto"/>
                <w:sz w:val="24"/>
              </w:rPr>
              <w:t>本</w:t>
            </w:r>
            <w:r>
              <w:rPr>
                <w:rFonts w:ascii="Times New Roman" w:hAnsi="Times New Roman" w:eastAsia="宋体"/>
                <w:color w:val="auto"/>
                <w:sz w:val="24"/>
              </w:rPr>
              <w:t>项目营运期固废排放情况见表</w:t>
            </w:r>
            <w:r>
              <w:rPr>
                <w:rFonts w:hint="eastAsia" w:ascii="Times New Roman" w:hAnsi="Times New Roman" w:eastAsia="宋体"/>
                <w:color w:val="auto"/>
                <w:sz w:val="24"/>
              </w:rPr>
              <w:t>4-2</w:t>
            </w:r>
            <w:r>
              <w:rPr>
                <w:rFonts w:hint="eastAsia"/>
                <w:color w:val="auto"/>
                <w:sz w:val="24"/>
                <w:lang w:val="en-US" w:eastAsia="zh-CN"/>
              </w:rPr>
              <w:t>9</w:t>
            </w:r>
            <w:r>
              <w:rPr>
                <w:rFonts w:ascii="Times New Roman" w:hAnsi="Times New Roman" w:eastAsia="宋体"/>
                <w:color w:val="auto"/>
                <w:sz w:val="24"/>
              </w:rPr>
              <w:t>。</w:t>
            </w:r>
          </w:p>
          <w:p>
            <w:pPr>
              <w:jc w:val="center"/>
              <w:rPr>
                <w:rFonts w:ascii="Times New Roman" w:hAnsi="Times New Roman" w:eastAsia="宋体"/>
                <w:b/>
                <w:bCs/>
                <w:color w:val="auto"/>
                <w:szCs w:val="21"/>
              </w:rPr>
            </w:pPr>
            <w:r>
              <w:rPr>
                <w:rFonts w:hint="eastAsia" w:ascii="Times New Roman" w:hAnsi="Times New Roman" w:eastAsia="宋体"/>
                <w:color w:val="auto"/>
                <w:szCs w:val="21"/>
              </w:rPr>
              <w:t xml:space="preserve"> </w:t>
            </w:r>
            <w:r>
              <w:rPr>
                <w:rFonts w:ascii="Times New Roman" w:hAnsi="Times New Roman" w:eastAsia="宋体"/>
                <w:b/>
                <w:bCs/>
                <w:color w:val="auto"/>
                <w:szCs w:val="21"/>
              </w:rPr>
              <w:t>表</w:t>
            </w:r>
            <w:r>
              <w:rPr>
                <w:rFonts w:hint="eastAsia" w:ascii="Times New Roman" w:hAnsi="Times New Roman" w:eastAsia="宋体"/>
                <w:b/>
                <w:bCs/>
                <w:color w:val="auto"/>
                <w:szCs w:val="21"/>
              </w:rPr>
              <w:t>4-2</w:t>
            </w:r>
            <w:r>
              <w:rPr>
                <w:rFonts w:hint="eastAsia"/>
                <w:b/>
                <w:bCs/>
                <w:color w:val="auto"/>
                <w:szCs w:val="21"/>
                <w:lang w:val="en-US" w:eastAsia="zh-CN"/>
              </w:rPr>
              <w:t>8</w:t>
            </w:r>
            <w:r>
              <w:rPr>
                <w:rFonts w:ascii="Times New Roman" w:hAnsi="Times New Roman" w:eastAsia="宋体"/>
                <w:b/>
                <w:bCs/>
                <w:color w:val="auto"/>
                <w:szCs w:val="21"/>
              </w:rPr>
              <w:t xml:space="preserve"> </w:t>
            </w:r>
            <w:r>
              <w:rPr>
                <w:rFonts w:hint="eastAsia" w:ascii="Times New Roman" w:hAnsi="Times New Roman" w:eastAsia="宋体"/>
                <w:b/>
                <w:bCs/>
                <w:color w:val="auto"/>
                <w:szCs w:val="21"/>
              </w:rPr>
              <w:t>本</w:t>
            </w:r>
            <w:r>
              <w:rPr>
                <w:rFonts w:ascii="Times New Roman" w:hAnsi="Times New Roman" w:eastAsia="宋体"/>
                <w:b/>
                <w:bCs/>
                <w:color w:val="auto"/>
                <w:szCs w:val="21"/>
              </w:rPr>
              <w:t>项目副产物产生情况汇总表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97"/>
              <w:gridCol w:w="1301"/>
              <w:gridCol w:w="1133"/>
              <w:gridCol w:w="647"/>
              <w:gridCol w:w="1269"/>
              <w:gridCol w:w="925"/>
              <w:gridCol w:w="919"/>
              <w:gridCol w:w="659"/>
              <w:gridCol w:w="8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vMerge w:val="restar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序号</w:t>
                  </w:r>
                </w:p>
              </w:tc>
              <w:tc>
                <w:tcPr>
                  <w:tcW w:w="805" w:type="pct"/>
                  <w:vMerge w:val="restar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副产物名称</w:t>
                  </w:r>
                </w:p>
              </w:tc>
              <w:tc>
                <w:tcPr>
                  <w:tcW w:w="701" w:type="pct"/>
                  <w:vMerge w:val="restar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产生工序</w:t>
                  </w:r>
                </w:p>
              </w:tc>
              <w:tc>
                <w:tcPr>
                  <w:tcW w:w="400" w:type="pct"/>
                  <w:vMerge w:val="restar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形态</w:t>
                  </w:r>
                </w:p>
              </w:tc>
              <w:tc>
                <w:tcPr>
                  <w:tcW w:w="785" w:type="pct"/>
                  <w:vMerge w:val="restar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主要成分</w:t>
                  </w:r>
                </w:p>
              </w:tc>
              <w:tc>
                <w:tcPr>
                  <w:tcW w:w="572" w:type="pct"/>
                  <w:vMerge w:val="restar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预测产生量（t/a）</w:t>
                  </w:r>
                </w:p>
              </w:tc>
              <w:tc>
                <w:tcPr>
                  <w:tcW w:w="1487" w:type="pct"/>
                  <w:gridSpan w:val="3"/>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种类判断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vMerge w:val="continue"/>
                  <w:tcBorders>
                    <w:tl2br w:val="nil"/>
                    <w:tr2bl w:val="nil"/>
                  </w:tcBorders>
                  <w:vAlign w:val="center"/>
                </w:tcPr>
                <w:p>
                  <w:pPr>
                    <w:pStyle w:val="30"/>
                    <w:rPr>
                      <w:rFonts w:ascii="Times New Roman" w:hAnsi="Times New Roman" w:eastAsia="宋体"/>
                      <w:b/>
                      <w:color w:val="auto"/>
                      <w:szCs w:val="21"/>
                    </w:rPr>
                  </w:pPr>
                </w:p>
              </w:tc>
              <w:tc>
                <w:tcPr>
                  <w:tcW w:w="805" w:type="pct"/>
                  <w:vMerge w:val="continue"/>
                  <w:tcBorders>
                    <w:tl2br w:val="nil"/>
                    <w:tr2bl w:val="nil"/>
                  </w:tcBorders>
                  <w:vAlign w:val="center"/>
                </w:tcPr>
                <w:p>
                  <w:pPr>
                    <w:pStyle w:val="30"/>
                    <w:rPr>
                      <w:rFonts w:ascii="Times New Roman" w:hAnsi="Times New Roman" w:eastAsia="宋体"/>
                      <w:b/>
                      <w:color w:val="auto"/>
                      <w:szCs w:val="21"/>
                    </w:rPr>
                  </w:pPr>
                </w:p>
              </w:tc>
              <w:tc>
                <w:tcPr>
                  <w:tcW w:w="701" w:type="pct"/>
                  <w:vMerge w:val="continue"/>
                  <w:tcBorders>
                    <w:tl2br w:val="nil"/>
                    <w:tr2bl w:val="nil"/>
                  </w:tcBorders>
                  <w:vAlign w:val="center"/>
                </w:tcPr>
                <w:p>
                  <w:pPr>
                    <w:pStyle w:val="30"/>
                    <w:rPr>
                      <w:rFonts w:ascii="Times New Roman" w:hAnsi="Times New Roman" w:eastAsia="宋体"/>
                      <w:b/>
                      <w:color w:val="auto"/>
                      <w:szCs w:val="21"/>
                    </w:rPr>
                  </w:pPr>
                </w:p>
              </w:tc>
              <w:tc>
                <w:tcPr>
                  <w:tcW w:w="400" w:type="pct"/>
                  <w:vMerge w:val="continue"/>
                  <w:tcBorders>
                    <w:tl2br w:val="nil"/>
                    <w:tr2bl w:val="nil"/>
                  </w:tcBorders>
                  <w:vAlign w:val="center"/>
                </w:tcPr>
                <w:p>
                  <w:pPr>
                    <w:pStyle w:val="30"/>
                    <w:rPr>
                      <w:rFonts w:ascii="Times New Roman" w:hAnsi="Times New Roman" w:eastAsia="宋体"/>
                      <w:b/>
                      <w:color w:val="auto"/>
                      <w:szCs w:val="21"/>
                    </w:rPr>
                  </w:pPr>
                </w:p>
              </w:tc>
              <w:tc>
                <w:tcPr>
                  <w:tcW w:w="785" w:type="pct"/>
                  <w:vMerge w:val="continue"/>
                  <w:tcBorders>
                    <w:tl2br w:val="nil"/>
                    <w:tr2bl w:val="nil"/>
                  </w:tcBorders>
                  <w:vAlign w:val="center"/>
                </w:tcPr>
                <w:p>
                  <w:pPr>
                    <w:pStyle w:val="30"/>
                    <w:rPr>
                      <w:rFonts w:ascii="Times New Roman" w:hAnsi="Times New Roman" w:eastAsia="宋体"/>
                      <w:b/>
                      <w:color w:val="auto"/>
                      <w:szCs w:val="21"/>
                    </w:rPr>
                  </w:pPr>
                </w:p>
              </w:tc>
              <w:tc>
                <w:tcPr>
                  <w:tcW w:w="572" w:type="pct"/>
                  <w:vMerge w:val="continue"/>
                  <w:tcBorders>
                    <w:tl2br w:val="nil"/>
                    <w:tr2bl w:val="nil"/>
                  </w:tcBorders>
                  <w:vAlign w:val="center"/>
                </w:tcPr>
                <w:p>
                  <w:pPr>
                    <w:pStyle w:val="30"/>
                    <w:rPr>
                      <w:rFonts w:ascii="Times New Roman" w:hAnsi="Times New Roman" w:eastAsia="宋体"/>
                      <w:b/>
                      <w:color w:val="auto"/>
                      <w:szCs w:val="21"/>
                    </w:rPr>
                  </w:pPr>
                </w:p>
              </w:tc>
              <w:tc>
                <w:tcPr>
                  <w:tcW w:w="569" w:type="pc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固体废物</w:t>
                  </w:r>
                </w:p>
              </w:tc>
              <w:tc>
                <w:tcPr>
                  <w:tcW w:w="408" w:type="pc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副产品</w:t>
                  </w:r>
                </w:p>
              </w:tc>
              <w:tc>
                <w:tcPr>
                  <w:tcW w:w="510" w:type="pct"/>
                  <w:tcBorders>
                    <w:tl2br w:val="nil"/>
                    <w:tr2bl w:val="nil"/>
                  </w:tcBorders>
                  <w:vAlign w:val="center"/>
                </w:tcPr>
                <w:p>
                  <w:pPr>
                    <w:pStyle w:val="30"/>
                    <w:rPr>
                      <w:rFonts w:ascii="Times New Roman" w:hAnsi="Times New Roman" w:eastAsia="宋体"/>
                      <w:b/>
                      <w:color w:val="auto"/>
                      <w:szCs w:val="21"/>
                    </w:rPr>
                  </w:pPr>
                  <w:r>
                    <w:rPr>
                      <w:rFonts w:ascii="Times New Roman" w:hAnsi="Times New Roman" w:eastAsia="宋体"/>
                      <w:b/>
                      <w:color w:val="auto"/>
                      <w:szCs w:val="21"/>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1</w:t>
                  </w:r>
                </w:p>
              </w:tc>
              <w:tc>
                <w:tcPr>
                  <w:tcW w:w="805" w:type="pct"/>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漆渣</w:t>
                  </w:r>
                </w:p>
              </w:tc>
              <w:tc>
                <w:tcPr>
                  <w:tcW w:w="701" w:type="pct"/>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喷漆</w:t>
                  </w:r>
                </w:p>
              </w:tc>
              <w:tc>
                <w:tcPr>
                  <w:tcW w:w="40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785"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漆渣</w:t>
                  </w:r>
                </w:p>
              </w:tc>
              <w:tc>
                <w:tcPr>
                  <w:tcW w:w="57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0.414</w:t>
                  </w:r>
                </w:p>
              </w:tc>
              <w:tc>
                <w:tcPr>
                  <w:tcW w:w="56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510" w:type="pct"/>
                  <w:vMerge w:val="restart"/>
                  <w:tcBorders>
                    <w:tl2br w:val="nil"/>
                    <w:tr2bl w:val="nil"/>
                  </w:tcBorders>
                  <w:vAlign w:val="center"/>
                </w:tcPr>
                <w:p>
                  <w:pPr>
                    <w:pStyle w:val="30"/>
                    <w:rPr>
                      <w:rFonts w:ascii="Times New Roman" w:hAnsi="Times New Roman" w:eastAsia="宋体"/>
                      <w:color w:val="auto"/>
                      <w:spacing w:val="0"/>
                      <w:kern w:val="0"/>
                      <w:szCs w:val="21"/>
                    </w:rPr>
                  </w:pPr>
                  <w:r>
                    <w:rPr>
                      <w:rFonts w:ascii="Times New Roman" w:hAnsi="Times New Roman" w:eastAsia="宋体"/>
                      <w:color w:val="auto"/>
                      <w:spacing w:val="0"/>
                      <w:kern w:val="0"/>
                      <w:szCs w:val="21"/>
                    </w:rPr>
                    <w:t>《固体废物鉴别标准 通则》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2</w:t>
                  </w:r>
                </w:p>
              </w:tc>
              <w:tc>
                <w:tcPr>
                  <w:tcW w:w="80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废包装桶</w:t>
                  </w:r>
                </w:p>
              </w:tc>
              <w:tc>
                <w:tcPr>
                  <w:tcW w:w="701"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40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固态</w:t>
                  </w:r>
                </w:p>
              </w:tc>
              <w:tc>
                <w:tcPr>
                  <w:tcW w:w="785"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沾染的油漆</w:t>
                  </w:r>
                </w:p>
              </w:tc>
              <w:tc>
                <w:tcPr>
                  <w:tcW w:w="57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0.482</w:t>
                  </w:r>
                </w:p>
              </w:tc>
              <w:tc>
                <w:tcPr>
                  <w:tcW w:w="56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510" w:type="pct"/>
                  <w:vMerge w:val="continue"/>
                  <w:tcBorders>
                    <w:tl2br w:val="nil"/>
                    <w:tr2bl w:val="nil"/>
                  </w:tcBorders>
                  <w:vAlign w:val="center"/>
                </w:tcPr>
                <w:p>
                  <w:pPr>
                    <w:pStyle w:val="30"/>
                    <w:rPr>
                      <w:rFonts w:ascii="Times New Roman" w:hAnsi="Times New Roman" w:eastAsia="宋体"/>
                      <w:color w:val="auto"/>
                      <w:spacing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3</w:t>
                  </w:r>
                </w:p>
              </w:tc>
              <w:tc>
                <w:tcPr>
                  <w:tcW w:w="80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废过滤材料</w:t>
                  </w:r>
                </w:p>
              </w:tc>
              <w:tc>
                <w:tcPr>
                  <w:tcW w:w="701"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废气处理</w:t>
                  </w:r>
                </w:p>
              </w:tc>
              <w:tc>
                <w:tcPr>
                  <w:tcW w:w="40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785"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沾染的漆渣</w:t>
                  </w:r>
                </w:p>
              </w:tc>
              <w:tc>
                <w:tcPr>
                  <w:tcW w:w="57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0.841</w:t>
                  </w:r>
                </w:p>
              </w:tc>
              <w:tc>
                <w:tcPr>
                  <w:tcW w:w="56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510" w:type="pct"/>
                  <w:vMerge w:val="continue"/>
                  <w:tcBorders>
                    <w:tl2br w:val="nil"/>
                    <w:tr2bl w:val="nil"/>
                  </w:tcBorders>
                  <w:vAlign w:val="center"/>
                </w:tcPr>
                <w:p>
                  <w:pPr>
                    <w:pStyle w:val="30"/>
                    <w:rPr>
                      <w:rFonts w:ascii="Times New Roman" w:hAnsi="Times New Roman" w:eastAsia="宋体"/>
                      <w:color w:val="auto"/>
                      <w:spacing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4</w:t>
                  </w:r>
                </w:p>
              </w:tc>
              <w:tc>
                <w:tcPr>
                  <w:tcW w:w="80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废活性炭</w:t>
                  </w:r>
                </w:p>
              </w:tc>
              <w:tc>
                <w:tcPr>
                  <w:tcW w:w="701" w:type="pct"/>
                  <w:tcBorders>
                    <w:tl2br w:val="nil"/>
                    <w:tr2bl w:val="nil"/>
                  </w:tcBorders>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40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785" w:type="pct"/>
                  <w:tcBorders>
                    <w:tl2br w:val="nil"/>
                    <w:tr2bl w:val="nil"/>
                  </w:tcBorders>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吸附的有机废气</w:t>
                  </w:r>
                </w:p>
              </w:tc>
              <w:tc>
                <w:tcPr>
                  <w:tcW w:w="57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15.94</w:t>
                  </w:r>
                </w:p>
              </w:tc>
              <w:tc>
                <w:tcPr>
                  <w:tcW w:w="56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510" w:type="pct"/>
                  <w:vMerge w:val="continue"/>
                  <w:tcBorders>
                    <w:tl2br w:val="nil"/>
                    <w:tr2bl w:val="nil"/>
                  </w:tcBorders>
                  <w:vAlign w:val="center"/>
                </w:tcPr>
                <w:p>
                  <w:pPr>
                    <w:pStyle w:val="30"/>
                    <w:rPr>
                      <w:rFonts w:ascii="Times New Roman" w:hAnsi="Times New Roman" w:eastAsia="宋体"/>
                      <w:color w:val="auto"/>
                      <w:spacing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c>
                <w:tcPr>
                  <w:tcW w:w="80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废切削液</w:t>
                  </w:r>
                </w:p>
              </w:tc>
              <w:tc>
                <w:tcPr>
                  <w:tcW w:w="701" w:type="pct"/>
                  <w:tcBorders>
                    <w:tl2br w:val="nil"/>
                    <w:tr2bl w:val="nil"/>
                  </w:tcBorders>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机加工</w:t>
                  </w:r>
                </w:p>
              </w:tc>
              <w:tc>
                <w:tcPr>
                  <w:tcW w:w="400" w:type="pct"/>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液态</w:t>
                  </w:r>
                </w:p>
              </w:tc>
              <w:tc>
                <w:tcPr>
                  <w:tcW w:w="785" w:type="pct"/>
                  <w:tcBorders>
                    <w:tl2br w:val="nil"/>
                    <w:tr2bl w:val="nil"/>
                  </w:tcBorders>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切削液</w:t>
                  </w:r>
                </w:p>
              </w:tc>
              <w:tc>
                <w:tcPr>
                  <w:tcW w:w="57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1.1</w:t>
                  </w:r>
                </w:p>
              </w:tc>
              <w:tc>
                <w:tcPr>
                  <w:tcW w:w="569"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w:t>
                  </w:r>
                </w:p>
              </w:tc>
              <w:tc>
                <w:tcPr>
                  <w:tcW w:w="510" w:type="pct"/>
                  <w:vMerge w:val="continue"/>
                  <w:tcBorders>
                    <w:tl2br w:val="nil"/>
                    <w:tr2bl w:val="nil"/>
                  </w:tcBorders>
                  <w:vAlign w:val="center"/>
                </w:tcPr>
                <w:p>
                  <w:pPr>
                    <w:pStyle w:val="30"/>
                    <w:rPr>
                      <w:rFonts w:ascii="Times New Roman" w:hAnsi="Times New Roman" w:eastAsia="宋体"/>
                      <w:color w:val="auto"/>
                      <w:spacing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6</w:t>
                  </w:r>
                </w:p>
              </w:tc>
              <w:tc>
                <w:tcPr>
                  <w:tcW w:w="80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喷漆清洗废液</w:t>
                  </w:r>
                </w:p>
              </w:tc>
              <w:tc>
                <w:tcPr>
                  <w:tcW w:w="701" w:type="pct"/>
                  <w:tcBorders>
                    <w:tl2br w:val="nil"/>
                    <w:tr2bl w:val="nil"/>
                  </w:tcBorders>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喷漆清洗</w:t>
                  </w:r>
                </w:p>
              </w:tc>
              <w:tc>
                <w:tcPr>
                  <w:tcW w:w="400" w:type="pct"/>
                  <w:tcBorders>
                    <w:tl2br w:val="nil"/>
                    <w:tr2bl w:val="nil"/>
                  </w:tcBorders>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液态</w:t>
                  </w:r>
                </w:p>
              </w:tc>
              <w:tc>
                <w:tcPr>
                  <w:tcW w:w="785" w:type="pct"/>
                  <w:tcBorders>
                    <w:tl2br w:val="nil"/>
                    <w:tr2bl w:val="nil"/>
                  </w:tcBorders>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油漆</w:t>
                  </w:r>
                </w:p>
              </w:tc>
              <w:tc>
                <w:tcPr>
                  <w:tcW w:w="57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0.07</w:t>
                  </w:r>
                </w:p>
              </w:tc>
              <w:tc>
                <w:tcPr>
                  <w:tcW w:w="569"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w:t>
                  </w:r>
                </w:p>
              </w:tc>
              <w:tc>
                <w:tcPr>
                  <w:tcW w:w="510" w:type="pct"/>
                  <w:vMerge w:val="continue"/>
                  <w:tcBorders>
                    <w:tl2br w:val="nil"/>
                    <w:tr2bl w:val="nil"/>
                  </w:tcBorders>
                  <w:vAlign w:val="center"/>
                </w:tcPr>
                <w:p>
                  <w:pPr>
                    <w:pStyle w:val="30"/>
                    <w:rPr>
                      <w:rFonts w:ascii="Times New Roman" w:hAnsi="Times New Roman" w:eastAsia="宋体"/>
                      <w:color w:val="auto"/>
                      <w:spacing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 w:type="pct"/>
                  <w:tcBorders>
                    <w:tl2br w:val="nil"/>
                    <w:tr2bl w:val="nil"/>
                  </w:tcBorders>
                  <w:vAlign w:val="center"/>
                </w:tcPr>
                <w:p>
                  <w:pPr>
                    <w:adjustRightInd w:val="0"/>
                    <w:snapToGrid w:val="0"/>
                    <w:jc w:val="center"/>
                    <w:rPr>
                      <w:rFonts w:hint="eastAsia" w:ascii="Times New Roman" w:hAnsi="Times New Roman" w:eastAsia="宋体"/>
                      <w:color w:val="auto"/>
                      <w:szCs w:val="21"/>
                      <w:lang w:eastAsia="zh-CN"/>
                    </w:rPr>
                  </w:pPr>
                  <w:r>
                    <w:rPr>
                      <w:rFonts w:hint="eastAsia"/>
                      <w:color w:val="auto"/>
                      <w:szCs w:val="21"/>
                      <w:lang w:val="en-US" w:eastAsia="zh-CN"/>
                    </w:rPr>
                    <w:t>7</w:t>
                  </w:r>
                </w:p>
              </w:tc>
              <w:tc>
                <w:tcPr>
                  <w:tcW w:w="805" w:type="pct"/>
                  <w:tcBorders>
                    <w:tl2br w:val="nil"/>
                    <w:tr2bl w:val="nil"/>
                  </w:tcBorders>
                  <w:vAlign w:val="center"/>
                </w:tcPr>
                <w:p>
                  <w:pPr>
                    <w:pStyle w:val="33"/>
                    <w:spacing w:before="100" w:beforeAutospacing="1" w:after="100" w:afterAutospacing="1" w:line="32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生活垃圾</w:t>
                  </w:r>
                </w:p>
              </w:tc>
              <w:tc>
                <w:tcPr>
                  <w:tcW w:w="701" w:type="pct"/>
                  <w:tcBorders>
                    <w:tl2br w:val="nil"/>
                    <w:tr2bl w:val="nil"/>
                  </w:tcBorders>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办公生活</w:t>
                  </w:r>
                </w:p>
              </w:tc>
              <w:tc>
                <w:tcPr>
                  <w:tcW w:w="400" w:type="pc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785" w:type="pct"/>
                  <w:tcBorders>
                    <w:tl2br w:val="nil"/>
                    <w:tr2bl w:val="nil"/>
                  </w:tcBorders>
                  <w:vAlign w:val="center"/>
                </w:tcPr>
                <w:p>
                  <w:pPr>
                    <w:adjustRightInd w:val="0"/>
                    <w:snapToGrid w:val="0"/>
                    <w:spacing w:line="320" w:lineRule="exact"/>
                    <w:jc w:val="center"/>
                    <w:rPr>
                      <w:rFonts w:ascii="Times New Roman" w:hAnsi="Times New Roman" w:eastAsia="宋体"/>
                      <w:color w:val="auto"/>
                      <w:kern w:val="0"/>
                      <w:szCs w:val="21"/>
                    </w:rPr>
                  </w:pPr>
                  <w:r>
                    <w:rPr>
                      <w:rFonts w:hint="eastAsia" w:ascii="Times New Roman" w:hAnsi="Times New Roman" w:eastAsia="宋体"/>
                      <w:color w:val="auto"/>
                      <w:szCs w:val="21"/>
                    </w:rPr>
                    <w:t>果皮等</w:t>
                  </w:r>
                </w:p>
              </w:tc>
              <w:tc>
                <w:tcPr>
                  <w:tcW w:w="5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69"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408" w:type="pct"/>
                  <w:tcBorders>
                    <w:tl2br w:val="nil"/>
                    <w:tr2bl w:val="nil"/>
                  </w:tcBorders>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510" w:type="pct"/>
                  <w:vMerge w:val="continue"/>
                  <w:tcBorders>
                    <w:tl2br w:val="nil"/>
                    <w:tr2bl w:val="nil"/>
                  </w:tcBorders>
                  <w:vAlign w:val="center"/>
                </w:tcPr>
                <w:p>
                  <w:pPr>
                    <w:pStyle w:val="30"/>
                    <w:rPr>
                      <w:rFonts w:ascii="Times New Roman" w:hAnsi="Times New Roman" w:eastAsia="宋体"/>
                      <w:color w:val="auto"/>
                      <w:spacing w:val="0"/>
                      <w:kern w:val="0"/>
                      <w:szCs w:val="21"/>
                    </w:rPr>
                  </w:pPr>
                </w:p>
              </w:tc>
            </w:tr>
          </w:tbl>
          <w:p>
            <w:pPr>
              <w:spacing w:before="120" w:beforeLines="50"/>
              <w:jc w:val="center"/>
              <w:rPr>
                <w:rFonts w:ascii="Times New Roman" w:hAnsi="Times New Roman" w:eastAsia="宋体"/>
                <w:b/>
                <w:bCs/>
                <w:color w:val="auto"/>
                <w:szCs w:val="21"/>
              </w:rPr>
            </w:pPr>
            <w:r>
              <w:rPr>
                <w:rFonts w:ascii="Times New Roman" w:hAnsi="Times New Roman" w:eastAsia="宋体"/>
                <w:b/>
                <w:bCs/>
                <w:color w:val="auto"/>
                <w:szCs w:val="21"/>
              </w:rPr>
              <w:t>表</w:t>
            </w:r>
            <w:r>
              <w:rPr>
                <w:rFonts w:hint="eastAsia" w:ascii="Times New Roman" w:hAnsi="Times New Roman" w:eastAsia="宋体"/>
                <w:b/>
                <w:bCs/>
                <w:color w:val="auto"/>
                <w:szCs w:val="21"/>
              </w:rPr>
              <w:t>4</w:t>
            </w:r>
            <w:r>
              <w:rPr>
                <w:rFonts w:ascii="Times New Roman" w:hAnsi="Times New Roman" w:eastAsia="宋体"/>
                <w:b/>
                <w:bCs/>
                <w:color w:val="auto"/>
                <w:szCs w:val="21"/>
              </w:rPr>
              <w:t>-</w:t>
            </w:r>
            <w:r>
              <w:rPr>
                <w:rFonts w:hint="eastAsia" w:ascii="Times New Roman" w:hAnsi="Times New Roman" w:eastAsia="宋体"/>
                <w:b/>
                <w:bCs/>
                <w:color w:val="auto"/>
                <w:szCs w:val="21"/>
              </w:rPr>
              <w:t>2</w:t>
            </w:r>
            <w:r>
              <w:rPr>
                <w:rFonts w:hint="eastAsia"/>
                <w:b/>
                <w:bCs/>
                <w:color w:val="auto"/>
                <w:szCs w:val="21"/>
                <w:lang w:val="en-US" w:eastAsia="zh-CN"/>
              </w:rPr>
              <w:t>9</w:t>
            </w:r>
            <w:r>
              <w:rPr>
                <w:rFonts w:hint="eastAsia" w:ascii="Times New Roman" w:hAnsi="Times New Roman" w:eastAsia="宋体"/>
                <w:b/>
                <w:bCs/>
                <w:color w:val="auto"/>
                <w:szCs w:val="21"/>
                <w:lang w:val="en-US" w:eastAsia="zh-CN"/>
              </w:rPr>
              <w:t xml:space="preserve"> </w:t>
            </w:r>
            <w:r>
              <w:rPr>
                <w:rFonts w:hint="eastAsia" w:ascii="Times New Roman" w:hAnsi="Times New Roman" w:eastAsia="宋体"/>
                <w:b/>
                <w:bCs/>
                <w:color w:val="auto"/>
                <w:szCs w:val="21"/>
              </w:rPr>
              <w:t>本</w:t>
            </w:r>
            <w:r>
              <w:rPr>
                <w:rFonts w:ascii="Times New Roman" w:hAnsi="Times New Roman" w:eastAsia="宋体"/>
                <w:b/>
                <w:bCs/>
                <w:color w:val="auto"/>
                <w:szCs w:val="21"/>
              </w:rPr>
              <w:t>项目营运期固体废物排放情况汇总表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95"/>
              <w:gridCol w:w="803"/>
              <w:gridCol w:w="463"/>
              <w:gridCol w:w="849"/>
              <w:gridCol w:w="502"/>
              <w:gridCol w:w="1269"/>
              <w:gridCol w:w="901"/>
              <w:gridCol w:w="445"/>
              <w:gridCol w:w="754"/>
              <w:gridCol w:w="1124"/>
              <w:gridCol w:w="6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95"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序号</w:t>
                  </w:r>
                </w:p>
              </w:tc>
              <w:tc>
                <w:tcPr>
                  <w:tcW w:w="803"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固废</w:t>
                  </w:r>
                </w:p>
                <w:p>
                  <w:pPr>
                    <w:pStyle w:val="30"/>
                    <w:jc w:val="center"/>
                    <w:rPr>
                      <w:rFonts w:ascii="Times New Roman" w:hAnsi="Times New Roman" w:eastAsia="宋体"/>
                      <w:b/>
                      <w:color w:val="auto"/>
                      <w:szCs w:val="21"/>
                    </w:rPr>
                  </w:pPr>
                  <w:r>
                    <w:rPr>
                      <w:rFonts w:ascii="Times New Roman" w:hAnsi="Times New Roman" w:eastAsia="宋体"/>
                      <w:b/>
                      <w:color w:val="auto"/>
                      <w:szCs w:val="21"/>
                    </w:rPr>
                    <w:t>名称</w:t>
                  </w:r>
                </w:p>
              </w:tc>
              <w:tc>
                <w:tcPr>
                  <w:tcW w:w="463"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属性</w:t>
                  </w:r>
                </w:p>
              </w:tc>
              <w:tc>
                <w:tcPr>
                  <w:tcW w:w="849"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产生</w:t>
                  </w:r>
                </w:p>
                <w:p>
                  <w:pPr>
                    <w:pStyle w:val="30"/>
                    <w:jc w:val="center"/>
                    <w:rPr>
                      <w:rFonts w:ascii="Times New Roman" w:hAnsi="Times New Roman" w:eastAsia="宋体"/>
                      <w:b/>
                      <w:color w:val="auto"/>
                      <w:szCs w:val="21"/>
                    </w:rPr>
                  </w:pPr>
                  <w:r>
                    <w:rPr>
                      <w:rFonts w:ascii="Times New Roman" w:hAnsi="Times New Roman" w:eastAsia="宋体"/>
                      <w:b/>
                      <w:color w:val="auto"/>
                      <w:szCs w:val="21"/>
                    </w:rPr>
                    <w:t>工序</w:t>
                  </w:r>
                </w:p>
              </w:tc>
              <w:tc>
                <w:tcPr>
                  <w:tcW w:w="502"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形态</w:t>
                  </w:r>
                </w:p>
              </w:tc>
              <w:tc>
                <w:tcPr>
                  <w:tcW w:w="1269"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主要</w:t>
                  </w:r>
                </w:p>
                <w:p>
                  <w:pPr>
                    <w:pStyle w:val="30"/>
                    <w:jc w:val="center"/>
                    <w:rPr>
                      <w:rFonts w:ascii="Times New Roman" w:hAnsi="Times New Roman" w:eastAsia="宋体"/>
                      <w:b/>
                      <w:color w:val="auto"/>
                      <w:szCs w:val="21"/>
                    </w:rPr>
                  </w:pPr>
                  <w:r>
                    <w:rPr>
                      <w:rFonts w:ascii="Times New Roman" w:hAnsi="Times New Roman" w:eastAsia="宋体"/>
                      <w:b/>
                      <w:color w:val="auto"/>
                      <w:szCs w:val="21"/>
                    </w:rPr>
                    <w:t>成分</w:t>
                  </w:r>
                </w:p>
              </w:tc>
              <w:tc>
                <w:tcPr>
                  <w:tcW w:w="901"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危险特性鉴别方法</w:t>
                  </w:r>
                </w:p>
              </w:tc>
              <w:tc>
                <w:tcPr>
                  <w:tcW w:w="445"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危险特性</w:t>
                  </w:r>
                </w:p>
              </w:tc>
              <w:tc>
                <w:tcPr>
                  <w:tcW w:w="754"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废物</w:t>
                  </w:r>
                </w:p>
                <w:p>
                  <w:pPr>
                    <w:pStyle w:val="30"/>
                    <w:jc w:val="center"/>
                    <w:rPr>
                      <w:rFonts w:ascii="Times New Roman" w:hAnsi="Times New Roman" w:eastAsia="宋体"/>
                      <w:b/>
                      <w:color w:val="auto"/>
                      <w:szCs w:val="21"/>
                    </w:rPr>
                  </w:pPr>
                  <w:r>
                    <w:rPr>
                      <w:rFonts w:ascii="Times New Roman" w:hAnsi="Times New Roman" w:eastAsia="宋体"/>
                      <w:b/>
                      <w:color w:val="auto"/>
                      <w:szCs w:val="21"/>
                    </w:rPr>
                    <w:t>类别</w:t>
                  </w:r>
                </w:p>
              </w:tc>
              <w:tc>
                <w:tcPr>
                  <w:tcW w:w="1124"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废物</w:t>
                  </w:r>
                </w:p>
                <w:p>
                  <w:pPr>
                    <w:pStyle w:val="30"/>
                    <w:jc w:val="center"/>
                    <w:rPr>
                      <w:rFonts w:ascii="Times New Roman" w:hAnsi="Times New Roman" w:eastAsia="宋体"/>
                      <w:b/>
                      <w:color w:val="auto"/>
                      <w:szCs w:val="21"/>
                    </w:rPr>
                  </w:pPr>
                  <w:r>
                    <w:rPr>
                      <w:rFonts w:ascii="Times New Roman" w:hAnsi="Times New Roman" w:eastAsia="宋体"/>
                      <w:b/>
                      <w:color w:val="auto"/>
                      <w:szCs w:val="21"/>
                    </w:rPr>
                    <w:t>代码</w:t>
                  </w:r>
                </w:p>
              </w:tc>
              <w:tc>
                <w:tcPr>
                  <w:tcW w:w="672" w:type="dxa"/>
                  <w:tcBorders>
                    <w:tl2br w:val="nil"/>
                    <w:tr2bl w:val="nil"/>
                  </w:tcBorders>
                  <w:vAlign w:val="center"/>
                </w:tcPr>
                <w:p>
                  <w:pPr>
                    <w:pStyle w:val="30"/>
                    <w:jc w:val="center"/>
                    <w:rPr>
                      <w:rFonts w:ascii="Times New Roman" w:hAnsi="Times New Roman" w:eastAsia="宋体"/>
                      <w:b/>
                      <w:color w:val="auto"/>
                      <w:szCs w:val="21"/>
                    </w:rPr>
                  </w:pPr>
                  <w:r>
                    <w:rPr>
                      <w:rFonts w:ascii="Times New Roman" w:hAnsi="Times New Roman" w:eastAsia="宋体"/>
                      <w:b/>
                      <w:color w:val="auto"/>
                      <w:szCs w:val="21"/>
                    </w:rPr>
                    <w:t>估算</w:t>
                  </w:r>
                </w:p>
                <w:p>
                  <w:pPr>
                    <w:pStyle w:val="30"/>
                    <w:jc w:val="center"/>
                    <w:rPr>
                      <w:rFonts w:ascii="Times New Roman" w:hAnsi="Times New Roman" w:eastAsia="宋体"/>
                      <w:b/>
                      <w:color w:val="auto"/>
                      <w:szCs w:val="21"/>
                    </w:rPr>
                  </w:pPr>
                  <w:r>
                    <w:rPr>
                      <w:rFonts w:ascii="Times New Roman" w:hAnsi="Times New Roman" w:eastAsia="宋体"/>
                      <w:b/>
                      <w:color w:val="auto"/>
                      <w:szCs w:val="21"/>
                    </w:rPr>
                    <w:t>产生量（t/a）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95"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1</w:t>
                  </w:r>
                </w:p>
              </w:tc>
              <w:tc>
                <w:tcPr>
                  <w:tcW w:w="803" w:type="dxa"/>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漆渣</w:t>
                  </w:r>
                </w:p>
              </w:tc>
              <w:tc>
                <w:tcPr>
                  <w:tcW w:w="463"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危险废物</w:t>
                  </w:r>
                </w:p>
              </w:tc>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喷漆</w:t>
                  </w:r>
                </w:p>
              </w:tc>
              <w:tc>
                <w:tcPr>
                  <w:tcW w:w="502"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126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漆渣</w:t>
                  </w:r>
                </w:p>
              </w:tc>
              <w:tc>
                <w:tcPr>
                  <w:tcW w:w="901" w:type="dxa"/>
                  <w:vMerge w:val="restart"/>
                  <w:tcBorders>
                    <w:tl2br w:val="nil"/>
                    <w:tr2bl w:val="nil"/>
                  </w:tcBorders>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国家危险废物名录</w:t>
                  </w:r>
                </w:p>
              </w:tc>
              <w:tc>
                <w:tcPr>
                  <w:tcW w:w="445" w:type="dxa"/>
                  <w:tcBorders>
                    <w:tl2br w:val="nil"/>
                    <w:tr2bl w:val="nil"/>
                  </w:tcBorders>
                  <w:vAlign w:val="center"/>
                </w:tcPr>
                <w:p>
                  <w:pPr>
                    <w:pStyle w:val="3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T，I</w:t>
                  </w:r>
                </w:p>
              </w:tc>
              <w:tc>
                <w:tcPr>
                  <w:tcW w:w="754" w:type="dxa"/>
                  <w:tcBorders>
                    <w:tl2br w:val="nil"/>
                    <w:tr2bl w:val="nil"/>
                  </w:tcBorders>
                  <w:vAlign w:val="center"/>
                </w:tcPr>
                <w:p>
                  <w:pPr>
                    <w:pStyle w:val="3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rPr>
                    <w:t>HW</w:t>
                  </w:r>
                  <w:r>
                    <w:rPr>
                      <w:rFonts w:hint="eastAsia" w:ascii="Times New Roman" w:hAnsi="Times New Roman" w:eastAsia="宋体"/>
                      <w:color w:val="auto"/>
                      <w:szCs w:val="21"/>
                      <w:lang w:val="en-US" w:eastAsia="zh-CN"/>
                    </w:rPr>
                    <w:t>12</w:t>
                  </w:r>
                </w:p>
              </w:tc>
              <w:tc>
                <w:tcPr>
                  <w:tcW w:w="112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900-252-12</w:t>
                  </w:r>
                </w:p>
              </w:tc>
              <w:tc>
                <w:tcPr>
                  <w:tcW w:w="672"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95"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2</w:t>
                  </w:r>
                </w:p>
              </w:tc>
              <w:tc>
                <w:tcPr>
                  <w:tcW w:w="803" w:type="dxa"/>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废包装桶</w:t>
                  </w:r>
                </w:p>
              </w:tc>
              <w:tc>
                <w:tcPr>
                  <w:tcW w:w="463" w:type="dxa"/>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849" w:type="dxa"/>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02"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固态</w:t>
                  </w:r>
                </w:p>
              </w:tc>
              <w:tc>
                <w:tcPr>
                  <w:tcW w:w="1269" w:type="dxa"/>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沾染的油漆</w:t>
                  </w:r>
                </w:p>
              </w:tc>
              <w:tc>
                <w:tcPr>
                  <w:tcW w:w="901" w:type="dxa"/>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445" w:type="dxa"/>
                  <w:tcBorders>
                    <w:tl2br w:val="nil"/>
                    <w:tr2bl w:val="nil"/>
                  </w:tcBorders>
                  <w:vAlign w:val="center"/>
                </w:tcPr>
                <w:p>
                  <w:pPr>
                    <w:pStyle w:val="30"/>
                    <w:jc w:val="center"/>
                    <w:rPr>
                      <w:rFonts w:ascii="Times New Roman" w:hAnsi="Times New Roman" w:eastAsia="宋体"/>
                      <w:color w:val="auto"/>
                      <w:szCs w:val="21"/>
                    </w:rPr>
                  </w:pPr>
                  <w:r>
                    <w:rPr>
                      <w:rFonts w:hint="eastAsia" w:ascii="Times New Roman" w:hAnsi="Times New Roman" w:eastAsia="宋体"/>
                      <w:color w:val="auto"/>
                      <w:szCs w:val="21"/>
                    </w:rPr>
                    <w:t>T/In</w:t>
                  </w:r>
                </w:p>
              </w:tc>
              <w:tc>
                <w:tcPr>
                  <w:tcW w:w="754" w:type="dxa"/>
                  <w:tcBorders>
                    <w:tl2br w:val="nil"/>
                    <w:tr2bl w:val="nil"/>
                  </w:tcBorders>
                  <w:vAlign w:val="center"/>
                </w:tcPr>
                <w:p>
                  <w:pPr>
                    <w:pStyle w:val="30"/>
                    <w:jc w:val="center"/>
                    <w:rPr>
                      <w:rFonts w:ascii="Times New Roman" w:hAnsi="Times New Roman" w:eastAsia="宋体"/>
                      <w:color w:val="auto"/>
                      <w:szCs w:val="21"/>
                    </w:rPr>
                  </w:pPr>
                  <w:r>
                    <w:rPr>
                      <w:rFonts w:hint="eastAsia" w:ascii="Times New Roman" w:hAnsi="Times New Roman" w:eastAsia="宋体"/>
                      <w:color w:val="auto"/>
                      <w:szCs w:val="21"/>
                    </w:rPr>
                    <w:t>HW49</w:t>
                  </w:r>
                </w:p>
              </w:tc>
              <w:tc>
                <w:tcPr>
                  <w:tcW w:w="112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900-041-49</w:t>
                  </w:r>
                </w:p>
              </w:tc>
              <w:tc>
                <w:tcPr>
                  <w:tcW w:w="672"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95"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3</w:t>
                  </w:r>
                </w:p>
              </w:tc>
              <w:tc>
                <w:tcPr>
                  <w:tcW w:w="803" w:type="dxa"/>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废过滤材料</w:t>
                  </w:r>
                </w:p>
              </w:tc>
              <w:tc>
                <w:tcPr>
                  <w:tcW w:w="463" w:type="dxa"/>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849" w:type="dxa"/>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废气处理</w:t>
                  </w:r>
                </w:p>
              </w:tc>
              <w:tc>
                <w:tcPr>
                  <w:tcW w:w="502"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1269" w:type="dxa"/>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沾染的漆渣</w:t>
                  </w:r>
                </w:p>
              </w:tc>
              <w:tc>
                <w:tcPr>
                  <w:tcW w:w="901" w:type="dxa"/>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445" w:type="dxa"/>
                  <w:tcBorders>
                    <w:tl2br w:val="nil"/>
                    <w:tr2bl w:val="nil"/>
                  </w:tcBorders>
                  <w:vAlign w:val="center"/>
                </w:tcPr>
                <w:p>
                  <w:pPr>
                    <w:pStyle w:val="30"/>
                    <w:jc w:val="center"/>
                    <w:rPr>
                      <w:rFonts w:ascii="Times New Roman" w:hAnsi="Times New Roman" w:eastAsia="宋体"/>
                      <w:color w:val="auto"/>
                      <w:szCs w:val="21"/>
                    </w:rPr>
                  </w:pPr>
                  <w:r>
                    <w:rPr>
                      <w:rFonts w:hint="eastAsia" w:ascii="Times New Roman" w:hAnsi="Times New Roman" w:eastAsia="宋体"/>
                      <w:color w:val="auto"/>
                      <w:szCs w:val="21"/>
                    </w:rPr>
                    <w:t>T/In</w:t>
                  </w:r>
                </w:p>
              </w:tc>
              <w:tc>
                <w:tcPr>
                  <w:tcW w:w="754" w:type="dxa"/>
                  <w:tcBorders>
                    <w:tl2br w:val="nil"/>
                    <w:tr2bl w:val="nil"/>
                  </w:tcBorders>
                  <w:vAlign w:val="center"/>
                </w:tcPr>
                <w:p>
                  <w:pPr>
                    <w:pStyle w:val="30"/>
                    <w:jc w:val="center"/>
                    <w:rPr>
                      <w:rFonts w:ascii="Times New Roman" w:hAnsi="Times New Roman" w:eastAsia="宋体"/>
                      <w:color w:val="auto"/>
                      <w:szCs w:val="21"/>
                    </w:rPr>
                  </w:pPr>
                  <w:r>
                    <w:rPr>
                      <w:rFonts w:hint="eastAsia" w:ascii="Times New Roman" w:hAnsi="Times New Roman" w:eastAsia="宋体"/>
                      <w:color w:val="auto"/>
                      <w:szCs w:val="21"/>
                    </w:rPr>
                    <w:t>HW49</w:t>
                  </w:r>
                </w:p>
              </w:tc>
              <w:tc>
                <w:tcPr>
                  <w:tcW w:w="112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900-041-49</w:t>
                  </w:r>
                </w:p>
              </w:tc>
              <w:tc>
                <w:tcPr>
                  <w:tcW w:w="672"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4</w:t>
                  </w: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废活性炭</w:t>
                  </w:r>
                </w:p>
              </w:tc>
              <w:tc>
                <w:tcPr>
                  <w:tcW w:w="463" w:type="dxa"/>
                  <w:vMerge w:val="continue"/>
                  <w:vAlign w:val="center"/>
                </w:tcPr>
                <w:p>
                  <w:pPr>
                    <w:adjustRightInd w:val="0"/>
                    <w:snapToGrid w:val="0"/>
                    <w:jc w:val="center"/>
                    <w:rPr>
                      <w:rFonts w:ascii="Times New Roman" w:hAnsi="Times New Roman" w:eastAsia="宋体"/>
                      <w:color w:val="auto"/>
                      <w:szCs w:val="21"/>
                    </w:rPr>
                  </w:pPr>
                </w:p>
              </w:tc>
              <w:tc>
                <w:tcPr>
                  <w:tcW w:w="0" w:type="auto"/>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0" w:type="auto"/>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固</w:t>
                  </w:r>
                  <w:r>
                    <w:rPr>
                      <w:rFonts w:ascii="Times New Roman" w:hAnsi="Times New Roman" w:eastAsia="宋体"/>
                      <w:color w:val="auto"/>
                      <w:szCs w:val="21"/>
                    </w:rPr>
                    <w:t>态</w:t>
                  </w:r>
                </w:p>
              </w:tc>
              <w:tc>
                <w:tcPr>
                  <w:tcW w:w="0" w:type="auto"/>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吸附的有机废气</w:t>
                  </w:r>
                </w:p>
              </w:tc>
              <w:tc>
                <w:tcPr>
                  <w:tcW w:w="901" w:type="dxa"/>
                  <w:vMerge w:val="continue"/>
                  <w:vAlign w:val="center"/>
                </w:tcPr>
                <w:p>
                  <w:pPr>
                    <w:adjustRightInd w:val="0"/>
                    <w:snapToGrid w:val="0"/>
                    <w:jc w:val="center"/>
                    <w:rPr>
                      <w:rFonts w:ascii="Times New Roman" w:hAnsi="Times New Roman" w:eastAsia="宋体"/>
                      <w:color w:val="auto"/>
                      <w:szCs w:val="21"/>
                    </w:rPr>
                  </w:pPr>
                </w:p>
              </w:tc>
              <w:tc>
                <w:tcPr>
                  <w:tcW w:w="445" w:type="dxa"/>
                  <w:vAlign w:val="center"/>
                </w:tcPr>
                <w:p>
                  <w:pPr>
                    <w:pStyle w:val="3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T</w:t>
                  </w:r>
                </w:p>
              </w:tc>
              <w:tc>
                <w:tcPr>
                  <w:tcW w:w="0" w:type="auto"/>
                  <w:vAlign w:val="center"/>
                </w:tcPr>
                <w:p>
                  <w:pPr>
                    <w:pStyle w:val="30"/>
                    <w:jc w:val="center"/>
                    <w:rPr>
                      <w:rFonts w:ascii="Times New Roman" w:hAnsi="Times New Roman" w:eastAsia="宋体"/>
                      <w:color w:val="auto"/>
                      <w:szCs w:val="21"/>
                    </w:rPr>
                  </w:pPr>
                  <w:r>
                    <w:rPr>
                      <w:rFonts w:hint="eastAsia" w:ascii="Times New Roman" w:hAnsi="Times New Roman" w:eastAsia="宋体"/>
                      <w:color w:val="auto"/>
                      <w:szCs w:val="21"/>
                    </w:rPr>
                    <w:t>HW49</w:t>
                  </w: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900-039-49</w:t>
                  </w: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15.94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废切削液</w:t>
                  </w:r>
                </w:p>
              </w:tc>
              <w:tc>
                <w:tcPr>
                  <w:tcW w:w="463" w:type="dxa"/>
                  <w:vMerge w:val="continue"/>
                  <w:vAlign w:val="center"/>
                </w:tcPr>
                <w:p>
                  <w:pPr>
                    <w:adjustRightInd w:val="0"/>
                    <w:snapToGrid w:val="0"/>
                    <w:jc w:val="center"/>
                    <w:rPr>
                      <w:rFonts w:ascii="Times New Roman" w:hAnsi="Times New Roman" w:eastAsia="宋体"/>
                      <w:color w:val="auto"/>
                      <w:szCs w:val="21"/>
                    </w:rPr>
                  </w:pPr>
                </w:p>
              </w:tc>
              <w:tc>
                <w:tcPr>
                  <w:tcW w:w="0" w:type="auto"/>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机加工</w:t>
                  </w:r>
                </w:p>
              </w:tc>
              <w:tc>
                <w:tcPr>
                  <w:tcW w:w="0" w:type="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液态</w:t>
                  </w:r>
                </w:p>
              </w:tc>
              <w:tc>
                <w:tcPr>
                  <w:tcW w:w="0" w:type="auto"/>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切削液</w:t>
                  </w:r>
                </w:p>
              </w:tc>
              <w:tc>
                <w:tcPr>
                  <w:tcW w:w="901" w:type="dxa"/>
                  <w:vMerge w:val="continue"/>
                  <w:vAlign w:val="center"/>
                </w:tcPr>
                <w:p>
                  <w:pPr>
                    <w:adjustRightInd w:val="0"/>
                    <w:snapToGrid w:val="0"/>
                    <w:jc w:val="center"/>
                    <w:rPr>
                      <w:rFonts w:ascii="Times New Roman" w:hAnsi="Times New Roman" w:eastAsia="宋体"/>
                      <w:color w:val="auto"/>
                      <w:szCs w:val="21"/>
                    </w:rPr>
                  </w:pPr>
                </w:p>
              </w:tc>
              <w:tc>
                <w:tcPr>
                  <w:tcW w:w="445" w:type="dxa"/>
                  <w:vAlign w:val="center"/>
                </w:tcPr>
                <w:p>
                  <w:pPr>
                    <w:spacing w:line="320" w:lineRule="exact"/>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T</w:t>
                  </w:r>
                </w:p>
              </w:tc>
              <w:tc>
                <w:tcPr>
                  <w:tcW w:w="0" w:type="auto"/>
                  <w:vAlign w:val="center"/>
                </w:tcPr>
                <w:p>
                  <w:pPr>
                    <w:pStyle w:val="33"/>
                    <w:spacing w:line="320" w:lineRule="exact"/>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HW09</w:t>
                  </w:r>
                </w:p>
              </w:tc>
              <w:tc>
                <w:tcPr>
                  <w:tcW w:w="0" w:type="auto"/>
                  <w:vAlign w:val="center"/>
                </w:tcPr>
                <w:p>
                  <w:pPr>
                    <w:pStyle w:val="33"/>
                    <w:spacing w:line="320" w:lineRule="exact"/>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900-006-09</w:t>
                  </w: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Align w:val="center"/>
                </w:tcPr>
                <w:p>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6</w:t>
                  </w: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喷漆清洗废液</w:t>
                  </w:r>
                </w:p>
              </w:tc>
              <w:tc>
                <w:tcPr>
                  <w:tcW w:w="463" w:type="dxa"/>
                  <w:vAlign w:val="center"/>
                </w:tcPr>
                <w:p>
                  <w:pPr>
                    <w:adjustRightInd w:val="0"/>
                    <w:snapToGrid w:val="0"/>
                    <w:jc w:val="center"/>
                    <w:rPr>
                      <w:rFonts w:ascii="Times New Roman" w:hAnsi="Times New Roman" w:eastAsia="宋体"/>
                      <w:color w:val="auto"/>
                      <w:szCs w:val="21"/>
                    </w:rPr>
                  </w:pPr>
                </w:p>
              </w:tc>
              <w:tc>
                <w:tcPr>
                  <w:tcW w:w="0" w:type="auto"/>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喷漆清洗</w:t>
                  </w:r>
                </w:p>
              </w:tc>
              <w:tc>
                <w:tcPr>
                  <w:tcW w:w="0" w:type="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液态</w:t>
                  </w:r>
                </w:p>
              </w:tc>
              <w:tc>
                <w:tcPr>
                  <w:tcW w:w="0" w:type="auto"/>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油漆</w:t>
                  </w:r>
                </w:p>
              </w:tc>
              <w:tc>
                <w:tcPr>
                  <w:tcW w:w="901" w:type="dxa"/>
                  <w:vMerge w:val="continue"/>
                  <w:vAlign w:val="center"/>
                </w:tcPr>
                <w:p>
                  <w:pPr>
                    <w:adjustRightInd w:val="0"/>
                    <w:snapToGrid w:val="0"/>
                    <w:jc w:val="center"/>
                    <w:rPr>
                      <w:rFonts w:ascii="Times New Roman" w:hAnsi="Times New Roman" w:eastAsia="宋体"/>
                      <w:color w:val="auto"/>
                      <w:szCs w:val="21"/>
                    </w:rPr>
                  </w:pPr>
                </w:p>
              </w:tc>
              <w:tc>
                <w:tcPr>
                  <w:tcW w:w="445" w:type="dxa"/>
                  <w:vAlign w:val="center"/>
                </w:tcPr>
                <w:p>
                  <w:pPr>
                    <w:pStyle w:val="30"/>
                    <w:jc w:val="center"/>
                    <w:rPr>
                      <w:rFonts w:hint="eastAsia"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olor w:val="auto"/>
                      <w:szCs w:val="21"/>
                      <w:lang w:val="en-US" w:eastAsia="zh-CN"/>
                    </w:rPr>
                    <w:t>T，I</w:t>
                  </w:r>
                </w:p>
              </w:tc>
              <w:tc>
                <w:tcPr>
                  <w:tcW w:w="0" w:type="auto"/>
                  <w:vAlign w:val="center"/>
                </w:tcPr>
                <w:p>
                  <w:pPr>
                    <w:pStyle w:val="30"/>
                    <w:jc w:val="center"/>
                    <w:rPr>
                      <w:rFonts w:hint="eastAsia"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olor w:val="auto"/>
                      <w:szCs w:val="21"/>
                    </w:rPr>
                    <w:t>HW</w:t>
                  </w:r>
                  <w:r>
                    <w:rPr>
                      <w:rFonts w:hint="eastAsia" w:ascii="Times New Roman" w:hAnsi="Times New Roman" w:eastAsia="宋体"/>
                      <w:color w:val="auto"/>
                      <w:szCs w:val="21"/>
                      <w:lang w:val="en-US" w:eastAsia="zh-CN"/>
                    </w:rPr>
                    <w:t>12</w:t>
                  </w:r>
                </w:p>
              </w:tc>
              <w:tc>
                <w:tcPr>
                  <w:tcW w:w="0" w:type="auto"/>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900-252-12</w:t>
                  </w: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w:t>
                  </w:r>
                </w:p>
              </w:tc>
              <w:tc>
                <w:tcPr>
                  <w:tcW w:w="0" w:type="auto"/>
                  <w:vAlign w:val="center"/>
                </w:tcPr>
                <w:p>
                  <w:pPr>
                    <w:pStyle w:val="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生活垃圾</w:t>
                  </w:r>
                </w:p>
              </w:tc>
              <w:tc>
                <w:tcPr>
                  <w:tcW w:w="0" w:type="auto"/>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生活垃圾</w:t>
                  </w:r>
                </w:p>
              </w:tc>
              <w:tc>
                <w:tcPr>
                  <w:tcW w:w="0" w:type="auto"/>
                  <w:vAlign w:val="center"/>
                </w:tcPr>
                <w:p>
                  <w:pPr>
                    <w:pStyle w:val="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职工生活</w:t>
                  </w:r>
                </w:p>
              </w:tc>
              <w:tc>
                <w:tcPr>
                  <w:tcW w:w="0" w:type="auto"/>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固态</w:t>
                  </w:r>
                </w:p>
              </w:tc>
              <w:tc>
                <w:tcPr>
                  <w:tcW w:w="0" w:type="auto"/>
                  <w:vAlign w:val="center"/>
                </w:tcPr>
                <w:p>
                  <w:pPr>
                    <w:adjustRightInd w:val="0"/>
                    <w:snapToGrid w:val="0"/>
                    <w:spacing w:line="320" w:lineRule="exact"/>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Cs w:val="21"/>
                    </w:rPr>
                    <w:t>果皮等</w:t>
                  </w:r>
                </w:p>
              </w:tc>
              <w:tc>
                <w:tcPr>
                  <w:tcW w:w="901" w:type="dxa"/>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kern w:val="0"/>
                      <w:szCs w:val="21"/>
                    </w:rPr>
                    <w:t>《关于发&lt;布固体废物分类与代码目录&gt;的公告》生态环境部公告2024年第4号</w:t>
                  </w:r>
                </w:p>
              </w:tc>
              <w:tc>
                <w:tcPr>
                  <w:tcW w:w="445" w:type="dxa"/>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szCs w:val="21"/>
                    </w:rPr>
                    <w:t>/</w:t>
                  </w:r>
                </w:p>
              </w:tc>
              <w:tc>
                <w:tcPr>
                  <w:tcW w:w="0" w:type="auto"/>
                  <w:vAlign w:val="center"/>
                </w:tcPr>
                <w:p>
                  <w:pPr>
                    <w:pStyle w:val="30"/>
                    <w:jc w:val="center"/>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olor w:val="auto"/>
                      <w:szCs w:val="21"/>
                    </w:rPr>
                    <w:t>SW64</w:t>
                  </w:r>
                </w:p>
              </w:tc>
              <w:tc>
                <w:tcPr>
                  <w:tcW w:w="0" w:type="auto"/>
                  <w:vAlign w:val="center"/>
                </w:tcPr>
                <w:p>
                  <w:pPr>
                    <w:pStyle w:val="30"/>
                    <w:jc w:val="center"/>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olor w:val="auto"/>
                      <w:szCs w:val="21"/>
                    </w:rPr>
                    <w:t>900-099-S64</w:t>
                  </w:r>
                </w:p>
              </w:tc>
              <w:tc>
                <w:tcPr>
                  <w:tcW w:w="0" w:type="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1.5</w:t>
                  </w:r>
                </w:p>
              </w:tc>
            </w:tr>
          </w:tbl>
          <w:p>
            <w:pPr>
              <w:snapToGrid w:val="0"/>
              <w:spacing w:line="360" w:lineRule="auto"/>
              <w:ind w:firstLine="420"/>
              <w:rPr>
                <w:rFonts w:ascii="Times New Roman" w:hAnsi="Times New Roman" w:eastAsia="宋体"/>
                <w:color w:val="auto"/>
                <w:szCs w:val="21"/>
              </w:rPr>
            </w:pPr>
          </w:p>
        </w:tc>
      </w:tr>
    </w:tbl>
    <w:p>
      <w:pPr>
        <w:adjustRightInd w:val="0"/>
        <w:snapToGrid w:val="0"/>
        <w:spacing w:line="360" w:lineRule="auto"/>
        <w:rPr>
          <w:rFonts w:ascii="宋体" w:cs="宋体"/>
          <w:b/>
          <w:color w:val="auto"/>
          <w:kern w:val="0"/>
          <w:sz w:val="28"/>
          <w:szCs w:val="28"/>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tcPr>
          <w:p>
            <w:pPr>
              <w:adjustRightInd w:val="0"/>
              <w:snapToGrid w:val="0"/>
              <w:spacing w:line="360" w:lineRule="auto"/>
              <w:rPr>
                <w:rFonts w:ascii="Times New Roman" w:hAnsi="Times New Roman" w:cs="宋体"/>
                <w:b/>
                <w:color w:val="auto"/>
                <w:kern w:val="0"/>
                <w:szCs w:val="21"/>
              </w:rPr>
            </w:pPr>
          </w:p>
        </w:tc>
        <w:tc>
          <w:tcPr>
            <w:tcW w:w="8523" w:type="dxa"/>
          </w:tcPr>
          <w:p>
            <w:pPr>
              <w:spacing w:before="120" w:beforeLines="50" w:line="360" w:lineRule="auto"/>
              <w:ind w:firstLine="482"/>
              <w:rPr>
                <w:rFonts w:ascii="Times New Roman" w:hAnsi="Times New Roman"/>
                <w:b/>
                <w:bCs/>
                <w:color w:val="auto"/>
                <w:sz w:val="24"/>
              </w:rPr>
            </w:pPr>
            <w:r>
              <w:rPr>
                <w:rFonts w:hint="eastAsia" w:ascii="Times New Roman" w:hAnsi="Times New Roman"/>
                <w:b/>
                <w:bCs/>
                <w:color w:val="auto"/>
                <w:sz w:val="24"/>
              </w:rPr>
              <w:t>（2）固废处置情况</w:t>
            </w:r>
          </w:p>
          <w:p>
            <w:pPr>
              <w:pStyle w:val="18"/>
              <w:spacing w:after="0" w:line="360" w:lineRule="auto"/>
              <w:ind w:firstLine="480"/>
              <w:rPr>
                <w:rFonts w:ascii="Times New Roman" w:hAnsi="Times New Roman"/>
                <w:b w:val="0"/>
                <w:bCs/>
                <w:color w:val="auto"/>
              </w:rPr>
            </w:pPr>
            <w:r>
              <w:rPr>
                <w:rFonts w:hint="eastAsia" w:ascii="Times New Roman" w:hAnsi="Times New Roman" w:eastAsia="宋体" w:cs="Times New Roman"/>
                <w:b w:val="0"/>
                <w:bCs/>
                <w:color w:val="auto"/>
              </w:rPr>
              <w:t>本</w:t>
            </w:r>
            <w:r>
              <w:rPr>
                <w:rFonts w:ascii="Times New Roman" w:hAnsi="Times New Roman" w:eastAsia="宋体" w:cs="Times New Roman"/>
                <w:b w:val="0"/>
                <w:bCs/>
                <w:color w:val="auto"/>
              </w:rPr>
              <w:t>项目固体废物利用处置方式见表</w:t>
            </w:r>
            <w:r>
              <w:rPr>
                <w:rFonts w:hint="eastAsia" w:ascii="Times New Roman" w:hAnsi="Times New Roman" w:eastAsia="宋体" w:cs="Times New Roman"/>
                <w:b w:val="0"/>
                <w:bCs/>
                <w:color w:val="auto"/>
              </w:rPr>
              <w:t>4-</w:t>
            </w:r>
            <w:r>
              <w:rPr>
                <w:rFonts w:hint="eastAsia" w:ascii="Times New Roman" w:eastAsia="宋体" w:cs="Times New Roman"/>
                <w:b w:val="0"/>
                <w:bCs/>
                <w:color w:val="auto"/>
                <w:lang w:val="en-US" w:eastAsia="zh-CN"/>
              </w:rPr>
              <w:t>30</w:t>
            </w:r>
            <w:r>
              <w:rPr>
                <w:rFonts w:ascii="Times New Roman" w:hAnsi="Times New Roman" w:eastAsia="宋体" w:cs="Times New Roman"/>
                <w:b w:val="0"/>
                <w:bCs/>
                <w:color w:val="auto"/>
              </w:rPr>
              <w:t>。</w:t>
            </w:r>
          </w:p>
          <w:p>
            <w:pPr>
              <w:adjustRightInd w:val="0"/>
              <w:snapToGrid w:val="0"/>
              <w:jc w:val="center"/>
              <w:rPr>
                <w:rFonts w:ascii="Times New Roman" w:hAnsi="Times New Roman"/>
                <w:b/>
                <w:bCs/>
                <w:color w:val="auto"/>
                <w:szCs w:val="21"/>
              </w:rPr>
            </w:pPr>
            <w:r>
              <w:rPr>
                <w:rFonts w:ascii="Times New Roman" w:hAnsi="Times New Roman"/>
                <w:b/>
                <w:bCs/>
                <w:color w:val="auto"/>
                <w:szCs w:val="21"/>
              </w:rPr>
              <w:t>表</w:t>
            </w:r>
            <w:r>
              <w:rPr>
                <w:rFonts w:hint="eastAsia" w:ascii="Times New Roman" w:hAnsi="Times New Roman"/>
                <w:b/>
                <w:bCs/>
                <w:color w:val="auto"/>
                <w:szCs w:val="21"/>
              </w:rPr>
              <w:t>4-</w:t>
            </w:r>
            <w:r>
              <w:rPr>
                <w:rFonts w:hint="eastAsia"/>
                <w:b/>
                <w:bCs/>
                <w:color w:val="auto"/>
                <w:szCs w:val="21"/>
                <w:lang w:val="en-US" w:eastAsia="zh-CN"/>
              </w:rPr>
              <w:t>30</w:t>
            </w:r>
            <w:r>
              <w:rPr>
                <w:rFonts w:hint="eastAsia" w:ascii="Times New Roman" w:hAnsi="Times New Roman"/>
                <w:b/>
                <w:bCs/>
                <w:color w:val="auto"/>
                <w:szCs w:val="21"/>
              </w:rPr>
              <w:t xml:space="preserve"> 本</w:t>
            </w:r>
            <w:r>
              <w:rPr>
                <w:rFonts w:ascii="Times New Roman" w:hAnsi="Times New Roman"/>
                <w:b/>
                <w:bCs/>
                <w:color w:val="auto"/>
                <w:szCs w:val="21"/>
              </w:rPr>
              <w:t>项目固体废物利用处置方式</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98"/>
              <w:gridCol w:w="945"/>
              <w:gridCol w:w="945"/>
              <w:gridCol w:w="945"/>
              <w:gridCol w:w="629"/>
              <w:gridCol w:w="1417"/>
              <w:gridCol w:w="1445"/>
              <w:gridCol w:w="14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序号</w:t>
                  </w:r>
                </w:p>
              </w:tc>
              <w:tc>
                <w:tcPr>
                  <w:tcW w:w="571"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固废</w:t>
                  </w:r>
                </w:p>
                <w:p>
                  <w:pPr>
                    <w:pStyle w:val="30"/>
                    <w:jc w:val="center"/>
                    <w:rPr>
                      <w:rFonts w:ascii="Times New Roman" w:hAnsi="Times New Roman"/>
                      <w:b/>
                      <w:color w:val="auto"/>
                      <w:szCs w:val="21"/>
                    </w:rPr>
                  </w:pPr>
                  <w:r>
                    <w:rPr>
                      <w:rFonts w:ascii="Times New Roman" w:hAnsi="Times New Roman"/>
                      <w:b/>
                      <w:color w:val="auto"/>
                      <w:szCs w:val="21"/>
                    </w:rPr>
                    <w:t>名称</w:t>
                  </w:r>
                </w:p>
              </w:tc>
              <w:tc>
                <w:tcPr>
                  <w:tcW w:w="571"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属性</w:t>
                  </w:r>
                </w:p>
              </w:tc>
              <w:tc>
                <w:tcPr>
                  <w:tcW w:w="571"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产生</w:t>
                  </w:r>
                </w:p>
                <w:p>
                  <w:pPr>
                    <w:pStyle w:val="30"/>
                    <w:jc w:val="center"/>
                    <w:rPr>
                      <w:rFonts w:ascii="Times New Roman" w:hAnsi="Times New Roman"/>
                      <w:b/>
                      <w:color w:val="auto"/>
                      <w:szCs w:val="21"/>
                    </w:rPr>
                  </w:pPr>
                  <w:r>
                    <w:rPr>
                      <w:rFonts w:ascii="Times New Roman" w:hAnsi="Times New Roman"/>
                      <w:b/>
                      <w:color w:val="auto"/>
                      <w:szCs w:val="21"/>
                    </w:rPr>
                    <w:t>工序</w:t>
                  </w:r>
                </w:p>
              </w:tc>
              <w:tc>
                <w:tcPr>
                  <w:tcW w:w="380"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形态</w:t>
                  </w:r>
                </w:p>
              </w:tc>
              <w:tc>
                <w:tcPr>
                  <w:tcW w:w="856"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主要</w:t>
                  </w:r>
                </w:p>
                <w:p>
                  <w:pPr>
                    <w:pStyle w:val="30"/>
                    <w:jc w:val="center"/>
                    <w:rPr>
                      <w:rFonts w:ascii="Times New Roman" w:hAnsi="Times New Roman"/>
                      <w:b/>
                      <w:color w:val="auto"/>
                      <w:szCs w:val="21"/>
                    </w:rPr>
                  </w:pPr>
                  <w:r>
                    <w:rPr>
                      <w:rFonts w:ascii="Times New Roman" w:hAnsi="Times New Roman"/>
                      <w:b/>
                      <w:color w:val="auto"/>
                      <w:szCs w:val="21"/>
                    </w:rPr>
                    <w:t>成分</w:t>
                  </w:r>
                </w:p>
              </w:tc>
              <w:tc>
                <w:tcPr>
                  <w:tcW w:w="873" w:type="pct"/>
                  <w:tcBorders>
                    <w:tl2br w:val="nil"/>
                    <w:tr2bl w:val="nil"/>
                  </w:tcBorders>
                  <w:vAlign w:val="center"/>
                </w:tcPr>
                <w:p>
                  <w:pPr>
                    <w:pStyle w:val="30"/>
                    <w:jc w:val="center"/>
                    <w:rPr>
                      <w:rFonts w:ascii="Times New Roman" w:hAnsi="Times New Roman"/>
                      <w:b/>
                      <w:color w:val="auto"/>
                      <w:szCs w:val="21"/>
                    </w:rPr>
                  </w:pPr>
                  <w:r>
                    <w:rPr>
                      <w:rFonts w:ascii="Times New Roman" w:hAnsi="Times New Roman"/>
                      <w:b/>
                      <w:color w:val="auto"/>
                      <w:szCs w:val="21"/>
                    </w:rPr>
                    <w:t>估算</w:t>
                  </w:r>
                </w:p>
                <w:p>
                  <w:pPr>
                    <w:pStyle w:val="30"/>
                    <w:jc w:val="center"/>
                    <w:rPr>
                      <w:rFonts w:ascii="Times New Roman" w:hAnsi="Times New Roman"/>
                      <w:b/>
                      <w:color w:val="auto"/>
                      <w:szCs w:val="21"/>
                    </w:rPr>
                  </w:pPr>
                  <w:r>
                    <w:rPr>
                      <w:rFonts w:ascii="Times New Roman" w:hAnsi="Times New Roman"/>
                      <w:b/>
                      <w:color w:val="auto"/>
                      <w:szCs w:val="21"/>
                    </w:rPr>
                    <w:t>产生量（t/a）</w:t>
                  </w:r>
                </w:p>
              </w:tc>
              <w:tc>
                <w:tcPr>
                  <w:tcW w:w="873" w:type="pct"/>
                  <w:tcBorders>
                    <w:tl2br w:val="nil"/>
                    <w:tr2bl w:val="nil"/>
                  </w:tcBorders>
                  <w:vAlign w:val="center"/>
                </w:tcPr>
                <w:p>
                  <w:pPr>
                    <w:pStyle w:val="30"/>
                    <w:rPr>
                      <w:rFonts w:ascii="Times New Roman" w:hAnsi="Times New Roman"/>
                      <w:b/>
                      <w:color w:val="auto"/>
                      <w:szCs w:val="21"/>
                    </w:rPr>
                  </w:pPr>
                  <w:r>
                    <w:rPr>
                      <w:rFonts w:ascii="Times New Roman" w:hAnsi="Times New Roman"/>
                      <w:b/>
                      <w:color w:val="auto"/>
                      <w:szCs w:val="21"/>
                    </w:rPr>
                    <w:t>处理或处置</w:t>
                  </w:r>
                </w:p>
                <w:p>
                  <w:pPr>
                    <w:pStyle w:val="30"/>
                    <w:jc w:val="center"/>
                    <w:rPr>
                      <w:rFonts w:ascii="Times New Roman" w:hAnsi="Times New Roman"/>
                      <w:b/>
                      <w:color w:val="auto"/>
                      <w:szCs w:val="21"/>
                    </w:rPr>
                  </w:pPr>
                  <w:r>
                    <w:rPr>
                      <w:rFonts w:ascii="Times New Roman" w:hAnsi="Times New Roman"/>
                      <w:b/>
                      <w:color w:val="auto"/>
                      <w:szCs w:val="21"/>
                    </w:rPr>
                    <w:t>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1</w:t>
                  </w:r>
                </w:p>
              </w:tc>
              <w:tc>
                <w:tcPr>
                  <w:tcW w:w="571" w:type="pct"/>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漆渣</w:t>
                  </w:r>
                </w:p>
              </w:tc>
              <w:tc>
                <w:tcPr>
                  <w:tcW w:w="571"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危险废物</w:t>
                  </w:r>
                </w:p>
              </w:tc>
              <w:tc>
                <w:tcPr>
                  <w:tcW w:w="571" w:type="pct"/>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喷漆</w:t>
                  </w:r>
                </w:p>
              </w:tc>
              <w:tc>
                <w:tcPr>
                  <w:tcW w:w="380"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固</w:t>
                  </w:r>
                  <w:r>
                    <w:rPr>
                      <w:rFonts w:ascii="Times New Roman" w:hAnsi="Times New Roman"/>
                      <w:color w:val="auto"/>
                      <w:szCs w:val="21"/>
                    </w:rPr>
                    <w:t>态</w:t>
                  </w:r>
                </w:p>
              </w:tc>
              <w:tc>
                <w:tcPr>
                  <w:tcW w:w="856"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漆渣</w:t>
                  </w:r>
                </w:p>
              </w:tc>
              <w:tc>
                <w:tcPr>
                  <w:tcW w:w="873"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0.414</w:t>
                  </w:r>
                </w:p>
              </w:tc>
              <w:tc>
                <w:tcPr>
                  <w:tcW w:w="873"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olor w:val="auto"/>
                      <w:szCs w:val="21"/>
                    </w:rPr>
                    <w:t>委托有资质单位进行处置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2</w:t>
                  </w:r>
                </w:p>
              </w:tc>
              <w:tc>
                <w:tcPr>
                  <w:tcW w:w="571"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废包装桶</w:t>
                  </w:r>
                </w:p>
              </w:tc>
              <w:tc>
                <w:tcPr>
                  <w:tcW w:w="571"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71"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w:t>
                  </w:r>
                </w:p>
              </w:tc>
              <w:tc>
                <w:tcPr>
                  <w:tcW w:w="380"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固态</w:t>
                  </w:r>
                </w:p>
              </w:tc>
              <w:tc>
                <w:tcPr>
                  <w:tcW w:w="856"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沾染的油漆</w:t>
                  </w:r>
                </w:p>
              </w:tc>
              <w:tc>
                <w:tcPr>
                  <w:tcW w:w="873"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0.482</w:t>
                  </w:r>
                </w:p>
              </w:tc>
              <w:tc>
                <w:tcPr>
                  <w:tcW w:w="873"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3</w:t>
                  </w:r>
                </w:p>
              </w:tc>
              <w:tc>
                <w:tcPr>
                  <w:tcW w:w="571"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废过滤材料</w:t>
                  </w:r>
                </w:p>
              </w:tc>
              <w:tc>
                <w:tcPr>
                  <w:tcW w:w="571"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71"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废气处理</w:t>
                  </w:r>
                </w:p>
              </w:tc>
              <w:tc>
                <w:tcPr>
                  <w:tcW w:w="380"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固</w:t>
                  </w:r>
                  <w:r>
                    <w:rPr>
                      <w:rFonts w:ascii="Times New Roman" w:hAnsi="Times New Roman"/>
                      <w:color w:val="auto"/>
                      <w:szCs w:val="21"/>
                    </w:rPr>
                    <w:t>态</w:t>
                  </w:r>
                </w:p>
              </w:tc>
              <w:tc>
                <w:tcPr>
                  <w:tcW w:w="856" w:type="pct"/>
                  <w:tcBorders>
                    <w:tl2br w:val="nil"/>
                    <w:tr2bl w:val="nil"/>
                  </w:tcBorders>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沾染的漆渣</w:t>
                  </w:r>
                </w:p>
              </w:tc>
              <w:tc>
                <w:tcPr>
                  <w:tcW w:w="873"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0.841</w:t>
                  </w:r>
                </w:p>
              </w:tc>
              <w:tc>
                <w:tcPr>
                  <w:tcW w:w="873"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4</w:t>
                  </w:r>
                </w:p>
              </w:tc>
              <w:tc>
                <w:tcPr>
                  <w:tcW w:w="571" w:type="pct"/>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废活性炭</w:t>
                  </w:r>
                </w:p>
              </w:tc>
              <w:tc>
                <w:tcPr>
                  <w:tcW w:w="571" w:type="pct"/>
                  <w:vMerge w:val="continue"/>
                  <w:vAlign w:val="center"/>
                </w:tcPr>
                <w:p>
                  <w:pPr>
                    <w:adjustRightInd w:val="0"/>
                    <w:snapToGrid w:val="0"/>
                    <w:jc w:val="center"/>
                    <w:rPr>
                      <w:rFonts w:ascii="Times New Roman" w:hAnsi="Times New Roman"/>
                      <w:color w:val="auto"/>
                      <w:szCs w:val="21"/>
                    </w:rPr>
                  </w:pPr>
                </w:p>
              </w:tc>
              <w:tc>
                <w:tcPr>
                  <w:tcW w:w="571" w:type="pct"/>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废气处理</w:t>
                  </w:r>
                </w:p>
              </w:tc>
              <w:tc>
                <w:tcPr>
                  <w:tcW w:w="380" w:type="pct"/>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固</w:t>
                  </w:r>
                  <w:r>
                    <w:rPr>
                      <w:rFonts w:ascii="Times New Roman" w:hAnsi="Times New Roman"/>
                      <w:color w:val="auto"/>
                      <w:szCs w:val="21"/>
                    </w:rPr>
                    <w:t>态</w:t>
                  </w:r>
                </w:p>
              </w:tc>
              <w:tc>
                <w:tcPr>
                  <w:tcW w:w="856" w:type="pct"/>
                  <w:vAlign w:val="center"/>
                </w:tcPr>
                <w:p>
                  <w:pPr>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吸附的有机废气</w:t>
                  </w:r>
                </w:p>
              </w:tc>
              <w:tc>
                <w:tcPr>
                  <w:tcW w:w="873" w:type="pct"/>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15.94</w:t>
                  </w:r>
                </w:p>
              </w:tc>
              <w:tc>
                <w:tcPr>
                  <w:tcW w:w="873" w:type="pct"/>
                  <w:vMerge w:val="continue"/>
                  <w:vAlign w:val="center"/>
                </w:tcPr>
                <w:p>
                  <w:pPr>
                    <w:adjustRightInd w:val="0"/>
                    <w:snapToGrid w:val="0"/>
                    <w:jc w:val="center"/>
                    <w:rPr>
                      <w:rFonts w:hint="default" w:ascii="Times New Roman" w:hAnsi="Times New Roman" w:eastAsia="宋体" w:cs="Times New Roman"/>
                      <w:color w:val="000000"/>
                      <w:spacing w:val="4"/>
                      <w:kern w:val="18"/>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5</w:t>
                  </w:r>
                </w:p>
              </w:tc>
              <w:tc>
                <w:tcPr>
                  <w:tcW w:w="571" w:type="pct"/>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废切削液</w:t>
                  </w:r>
                </w:p>
              </w:tc>
              <w:tc>
                <w:tcPr>
                  <w:tcW w:w="571" w:type="pct"/>
                  <w:vMerge w:val="continue"/>
                  <w:vAlign w:val="center"/>
                </w:tcPr>
                <w:p>
                  <w:pPr>
                    <w:adjustRightInd w:val="0"/>
                    <w:snapToGrid w:val="0"/>
                    <w:jc w:val="center"/>
                    <w:rPr>
                      <w:rFonts w:ascii="Times New Roman" w:hAnsi="Times New Roman"/>
                      <w:color w:val="auto"/>
                      <w:szCs w:val="21"/>
                    </w:rPr>
                  </w:pPr>
                </w:p>
              </w:tc>
              <w:tc>
                <w:tcPr>
                  <w:tcW w:w="571" w:type="pct"/>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机加工</w:t>
                  </w:r>
                </w:p>
              </w:tc>
              <w:tc>
                <w:tcPr>
                  <w:tcW w:w="380"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液态</w:t>
                  </w:r>
                </w:p>
              </w:tc>
              <w:tc>
                <w:tcPr>
                  <w:tcW w:w="856" w:type="pct"/>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切削液</w:t>
                  </w:r>
                </w:p>
              </w:tc>
              <w:tc>
                <w:tcPr>
                  <w:tcW w:w="873" w:type="pct"/>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1.1</w:t>
                  </w:r>
                </w:p>
              </w:tc>
              <w:tc>
                <w:tcPr>
                  <w:tcW w:w="873" w:type="pct"/>
                  <w:vMerge w:val="continue"/>
                  <w:vAlign w:val="center"/>
                </w:tcPr>
                <w:p>
                  <w:pPr>
                    <w:adjustRightInd w:val="0"/>
                    <w:snapToGrid w:val="0"/>
                    <w:jc w:val="center"/>
                    <w:rPr>
                      <w:rFonts w:hint="default" w:ascii="Times New Roman" w:hAnsi="Times New Roman" w:eastAsia="宋体" w:cs="Times New Roman"/>
                      <w:color w:val="000000"/>
                      <w:spacing w:val="4"/>
                      <w:kern w:val="18"/>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vAlign w:val="center"/>
                </w:tcPr>
                <w:p>
                  <w:pPr>
                    <w:adjustRightInd w:val="0"/>
                    <w:snapToGrid w:val="0"/>
                    <w:jc w:val="center"/>
                    <w:rPr>
                      <w:rFonts w:hint="default" w:ascii="Times New Roman" w:hAnsi="Times New Roman"/>
                      <w:color w:val="auto"/>
                      <w:szCs w:val="21"/>
                      <w:lang w:val="en-US" w:eastAsia="zh-CN"/>
                    </w:rPr>
                  </w:pPr>
                  <w:r>
                    <w:rPr>
                      <w:rFonts w:hint="eastAsia"/>
                      <w:color w:val="auto"/>
                      <w:szCs w:val="21"/>
                      <w:lang w:val="en-US" w:eastAsia="zh-CN"/>
                    </w:rPr>
                    <w:t>6</w:t>
                  </w:r>
                </w:p>
              </w:tc>
              <w:tc>
                <w:tcPr>
                  <w:tcW w:w="571" w:type="pct"/>
                  <w:vAlign w:val="center"/>
                </w:tcPr>
                <w:p>
                  <w:pPr>
                    <w:pStyle w:val="33"/>
                    <w:spacing w:before="100" w:beforeAutospacing="1" w:after="100" w:afterAutospacing="1" w:line="320" w:lineRule="exact"/>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喷漆清洗废液</w:t>
                  </w:r>
                </w:p>
              </w:tc>
              <w:tc>
                <w:tcPr>
                  <w:tcW w:w="571" w:type="pct"/>
                  <w:vMerge w:val="continue"/>
                  <w:vAlign w:val="center"/>
                </w:tcPr>
                <w:p>
                  <w:pPr>
                    <w:adjustRightInd w:val="0"/>
                    <w:snapToGrid w:val="0"/>
                    <w:jc w:val="center"/>
                    <w:rPr>
                      <w:rFonts w:ascii="Times New Roman" w:hAnsi="Times New Roman"/>
                      <w:color w:val="auto"/>
                      <w:szCs w:val="21"/>
                    </w:rPr>
                  </w:pPr>
                </w:p>
              </w:tc>
              <w:tc>
                <w:tcPr>
                  <w:tcW w:w="571" w:type="pct"/>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喷漆清洗</w:t>
                  </w:r>
                </w:p>
              </w:tc>
              <w:tc>
                <w:tcPr>
                  <w:tcW w:w="380"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液态</w:t>
                  </w:r>
                </w:p>
              </w:tc>
              <w:tc>
                <w:tcPr>
                  <w:tcW w:w="856" w:type="pct"/>
                  <w:vAlign w:val="center"/>
                </w:tcPr>
                <w:p>
                  <w:pPr>
                    <w:spacing w:before="100" w:beforeAutospacing="1" w:after="100" w:afterAutospacing="1" w:line="32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油漆</w:t>
                  </w:r>
                </w:p>
              </w:tc>
              <w:tc>
                <w:tcPr>
                  <w:tcW w:w="873" w:type="pct"/>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0.07</w:t>
                  </w:r>
                </w:p>
              </w:tc>
              <w:tc>
                <w:tcPr>
                  <w:tcW w:w="873" w:type="pct"/>
                  <w:vMerge w:val="continue"/>
                  <w:vAlign w:val="center"/>
                </w:tcPr>
                <w:p>
                  <w:pPr>
                    <w:adjustRightInd w:val="0"/>
                    <w:snapToGrid w:val="0"/>
                    <w:jc w:val="center"/>
                    <w:rPr>
                      <w:rFonts w:hint="default" w:ascii="Times New Roman" w:hAnsi="Times New Roman" w:eastAsia="宋体" w:cs="Times New Roman"/>
                      <w:color w:val="000000"/>
                      <w:spacing w:val="4"/>
                      <w:kern w:val="18"/>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01"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w:t>
                  </w:r>
                </w:p>
              </w:tc>
              <w:tc>
                <w:tcPr>
                  <w:tcW w:w="571" w:type="pct"/>
                  <w:vAlign w:val="center"/>
                </w:tcPr>
                <w:p>
                  <w:pPr>
                    <w:pStyle w:val="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生活垃圾</w:t>
                  </w:r>
                </w:p>
              </w:tc>
              <w:tc>
                <w:tcPr>
                  <w:tcW w:w="571" w:type="pct"/>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生活垃圾</w:t>
                  </w:r>
                </w:p>
              </w:tc>
              <w:tc>
                <w:tcPr>
                  <w:tcW w:w="571" w:type="pct"/>
                  <w:vAlign w:val="center"/>
                </w:tcPr>
                <w:p>
                  <w:pPr>
                    <w:pStyle w:val="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职工生活</w:t>
                  </w:r>
                </w:p>
              </w:tc>
              <w:tc>
                <w:tcPr>
                  <w:tcW w:w="380" w:type="pct"/>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固态</w:t>
                  </w:r>
                </w:p>
              </w:tc>
              <w:tc>
                <w:tcPr>
                  <w:tcW w:w="856" w:type="pct"/>
                  <w:vAlign w:val="center"/>
                </w:tcPr>
                <w:p>
                  <w:pPr>
                    <w:adjustRightInd w:val="0"/>
                    <w:snapToGrid w:val="0"/>
                    <w:spacing w:line="320" w:lineRule="exact"/>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szCs w:val="21"/>
                    </w:rPr>
                    <w:t>果皮等</w:t>
                  </w:r>
                </w:p>
              </w:tc>
              <w:tc>
                <w:tcPr>
                  <w:tcW w:w="873" w:type="pct"/>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1.5</w:t>
                  </w:r>
                </w:p>
              </w:tc>
              <w:tc>
                <w:tcPr>
                  <w:tcW w:w="873" w:type="pct"/>
                  <w:vAlign w:val="center"/>
                </w:tcPr>
                <w:p>
                  <w:pPr>
                    <w:adjustRightInd w:val="0"/>
                    <w:snapToGrid w:val="0"/>
                    <w:jc w:val="center"/>
                    <w:rPr>
                      <w:rFonts w:hint="eastAsia" w:ascii="Times New Roman" w:hAnsi="Times New Roman"/>
                      <w:color w:val="auto"/>
                      <w:szCs w:val="21"/>
                      <w:lang w:val="en-US" w:eastAsia="zh-CN"/>
                    </w:rPr>
                  </w:pPr>
                  <w:r>
                    <w:rPr>
                      <w:rFonts w:hint="eastAsia" w:ascii="Times New Roman" w:hAnsi="Times New Roman"/>
                      <w:color w:val="auto"/>
                      <w:szCs w:val="21"/>
                    </w:rPr>
                    <w:t>环卫清运</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b/>
                <w:bCs/>
                <w:color w:val="auto"/>
                <w:sz w:val="24"/>
              </w:rPr>
            </w:pPr>
            <w:r>
              <w:rPr>
                <w:rFonts w:ascii="Times New Roman" w:hAnsi="Times New Roman"/>
                <w:b/>
                <w:bCs/>
                <w:color w:val="auto"/>
                <w:szCs w:val="21"/>
              </w:rPr>
              <w:t>表</w:t>
            </w:r>
            <w:r>
              <w:rPr>
                <w:rFonts w:hint="eastAsia" w:ascii="Times New Roman" w:hAnsi="Times New Roman"/>
                <w:b/>
                <w:bCs/>
                <w:color w:val="auto"/>
                <w:szCs w:val="21"/>
              </w:rPr>
              <w:t>4-</w:t>
            </w:r>
            <w:r>
              <w:rPr>
                <w:rFonts w:hint="eastAsia"/>
                <w:b/>
                <w:bCs/>
                <w:color w:val="auto"/>
                <w:szCs w:val="21"/>
                <w:lang w:val="en-US" w:eastAsia="zh-CN"/>
              </w:rPr>
              <w:t>31</w:t>
            </w:r>
            <w:r>
              <w:rPr>
                <w:rFonts w:hint="eastAsia" w:ascii="Times New Roman" w:hAnsi="Times New Roman"/>
                <w:b/>
                <w:bCs/>
                <w:color w:val="auto"/>
                <w:szCs w:val="21"/>
              </w:rPr>
              <w:t xml:space="preserve"> </w:t>
            </w:r>
            <w:r>
              <w:rPr>
                <w:rFonts w:hint="eastAsia" w:ascii="Times New Roman" w:hAnsi="Times New Roman"/>
                <w:b/>
                <w:bCs/>
                <w:color w:val="auto"/>
                <w:szCs w:val="21"/>
                <w:lang w:val="en-US" w:eastAsia="zh-CN"/>
              </w:rPr>
              <w:t>技改后全厂</w:t>
            </w:r>
            <w:r>
              <w:rPr>
                <w:rFonts w:ascii="Times New Roman" w:hAnsi="Times New Roman"/>
                <w:b/>
                <w:bCs/>
                <w:color w:val="auto"/>
                <w:szCs w:val="21"/>
              </w:rPr>
              <w:t>固体废物利用处置方式</w:t>
            </w:r>
          </w:p>
          <w:tbl>
            <w:tblPr>
              <w:tblStyle w:val="21"/>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8"/>
              <w:gridCol w:w="870"/>
              <w:gridCol w:w="870"/>
              <w:gridCol w:w="1251"/>
              <w:gridCol w:w="790"/>
              <w:gridCol w:w="863"/>
              <w:gridCol w:w="33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5"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序号</w:t>
                  </w:r>
                </w:p>
              </w:tc>
              <w:tc>
                <w:tcPr>
                  <w:tcW w:w="526"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名称</w:t>
                  </w:r>
                </w:p>
              </w:tc>
              <w:tc>
                <w:tcPr>
                  <w:tcW w:w="559"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废物类别</w:t>
                  </w:r>
                </w:p>
              </w:tc>
              <w:tc>
                <w:tcPr>
                  <w:tcW w:w="61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废物代码</w:t>
                  </w:r>
                </w:p>
              </w:tc>
              <w:tc>
                <w:tcPr>
                  <w:tcW w:w="532"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Style w:val="42"/>
                      <w:rFonts w:hint="default" w:ascii="Times New Roman" w:hAnsi="Times New Roman" w:eastAsia="宋体" w:cs="Times New Roman"/>
                      <w:color w:val="auto"/>
                      <w:sz w:val="21"/>
                      <w:szCs w:val="21"/>
                      <w:lang w:val="en-US" w:eastAsia="zh-CN" w:bidi="ar"/>
                    </w:rPr>
                    <w:t>产生量（</w:t>
                  </w:r>
                  <w:r>
                    <w:rPr>
                      <w:rStyle w:val="43"/>
                      <w:rFonts w:hint="default" w:ascii="Times New Roman" w:hAnsi="Times New Roman" w:eastAsia="宋体" w:cs="Times New Roman"/>
                      <w:color w:val="auto"/>
                      <w:sz w:val="21"/>
                      <w:szCs w:val="21"/>
                      <w:lang w:val="en-US" w:eastAsia="zh-CN" w:bidi="ar"/>
                    </w:rPr>
                    <w:t>t/a</w:t>
                  </w:r>
                  <w:r>
                    <w:rPr>
                      <w:rStyle w:val="42"/>
                      <w:rFonts w:hint="default" w:ascii="Times New Roman" w:hAnsi="Times New Roman" w:eastAsia="宋体" w:cs="Times New Roman"/>
                      <w:color w:val="auto"/>
                      <w:sz w:val="21"/>
                      <w:szCs w:val="21"/>
                      <w:lang w:val="en-US" w:eastAsia="zh-CN" w:bidi="ar"/>
                    </w:rPr>
                    <w:t>）</w:t>
                  </w:r>
                </w:p>
              </w:tc>
              <w:tc>
                <w:tcPr>
                  <w:tcW w:w="565"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存储方式</w:t>
                  </w:r>
                </w:p>
              </w:tc>
              <w:tc>
                <w:tcPr>
                  <w:tcW w:w="206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实际处理处置方式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4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526"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559"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61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532"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56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c>
                <w:tcPr>
                  <w:tcW w:w="206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26" w:type="pct"/>
                  <w:tcBorders>
                    <w:tl2br w:val="nil"/>
                    <w:tr2bl w:val="nil"/>
                  </w:tcBorders>
                  <w:noWrap w:val="0"/>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rPr>
                    <w:t>边角料</w:t>
                  </w:r>
                </w:p>
              </w:tc>
              <w:tc>
                <w:tcPr>
                  <w:tcW w:w="55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4"/>
                      <w:rFonts w:hint="default" w:ascii="Times New Roman" w:hAnsi="Times New Roman" w:eastAsia="宋体" w:cs="Times New Roman"/>
                      <w:color w:val="auto"/>
                      <w:sz w:val="21"/>
                      <w:szCs w:val="21"/>
                      <w:lang w:val="en-US" w:eastAsia="zh-CN" w:bidi="ar"/>
                    </w:rPr>
                    <w:t>一般固废</w:t>
                  </w:r>
                </w:p>
              </w:tc>
              <w:tc>
                <w:tcPr>
                  <w:tcW w:w="61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32"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sz w:val="21"/>
                      <w:szCs w:val="21"/>
                      <w:u w:val="none"/>
                      <w:lang w:val="en-US" w:eastAsia="zh-CN"/>
                    </w:rPr>
                    <w:t>62</w:t>
                  </w:r>
                </w:p>
              </w:tc>
              <w:tc>
                <w:tcPr>
                  <w:tcW w:w="565"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kern w:val="0"/>
                      <w:sz w:val="21"/>
                      <w:szCs w:val="21"/>
                      <w:u w:val="none"/>
                      <w:lang w:val="en-US" w:eastAsia="zh-CN" w:bidi="ar"/>
                    </w:rPr>
                    <w:t>暂存于一般固废堆场</w:t>
                  </w:r>
                </w:p>
              </w:tc>
              <w:tc>
                <w:tcPr>
                  <w:tcW w:w="2060"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r>
                    <w:rPr>
                      <w:rStyle w:val="45"/>
                      <w:rFonts w:hint="eastAsia" w:ascii="Times New Roman" w:hAnsi="Times New Roman" w:eastAsia="宋体" w:cs="Times New Roman"/>
                      <w:color w:val="auto"/>
                      <w:sz w:val="21"/>
                      <w:szCs w:val="21"/>
                      <w:lang w:val="en-US" w:eastAsia="zh-CN" w:bidi="ar"/>
                    </w:rPr>
                    <w:t>边角料外售，焊渣、除尘灰委托环卫清运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526" w:type="pct"/>
                  <w:tcBorders>
                    <w:tl2br w:val="nil"/>
                    <w:tr2bl w:val="nil"/>
                  </w:tcBorders>
                  <w:noWrap w:val="0"/>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rPr>
                    <w:t>焊渣</w:t>
                  </w:r>
                </w:p>
              </w:tc>
              <w:tc>
                <w:tcPr>
                  <w:tcW w:w="55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default" w:ascii="Times New Roman" w:hAnsi="Times New Roman" w:eastAsia="宋体" w:cs="Times New Roman"/>
                      <w:color w:val="auto"/>
                      <w:sz w:val="21"/>
                      <w:szCs w:val="21"/>
                      <w:lang w:val="en-US" w:eastAsia="zh-CN" w:bidi="ar"/>
                    </w:rPr>
                    <w:t>一般固废</w:t>
                  </w:r>
                </w:p>
              </w:tc>
              <w:tc>
                <w:tcPr>
                  <w:tcW w:w="61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32"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sz w:val="21"/>
                      <w:szCs w:val="21"/>
                      <w:u w:val="none"/>
                      <w:lang w:val="en-US" w:eastAsia="zh-CN"/>
                    </w:rPr>
                    <w:t>0.75</w:t>
                  </w:r>
                </w:p>
              </w:tc>
              <w:tc>
                <w:tcPr>
                  <w:tcW w:w="56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c>
                <w:tcPr>
                  <w:tcW w:w="2060"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52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lang w:eastAsia="zh-CN"/>
                    </w:rPr>
                    <w:t>除尘灰</w:t>
                  </w:r>
                </w:p>
              </w:tc>
              <w:tc>
                <w:tcPr>
                  <w:tcW w:w="5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default" w:ascii="Times New Roman" w:hAnsi="Times New Roman" w:eastAsia="宋体" w:cs="Times New Roman"/>
                      <w:color w:val="auto"/>
                      <w:sz w:val="21"/>
                      <w:szCs w:val="21"/>
                      <w:lang w:val="en-US" w:eastAsia="zh-CN" w:bidi="ar"/>
                    </w:rPr>
                    <w:t>一般固废</w:t>
                  </w:r>
                </w:p>
              </w:tc>
              <w:tc>
                <w:tcPr>
                  <w:tcW w:w="61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3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w:t>
                  </w:r>
                </w:p>
              </w:tc>
              <w:tc>
                <w:tcPr>
                  <w:tcW w:w="565"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p>
              </w:tc>
              <w:tc>
                <w:tcPr>
                  <w:tcW w:w="2060"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w:t>
                  </w:r>
                </w:p>
              </w:tc>
              <w:tc>
                <w:tcPr>
                  <w:tcW w:w="52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olor w:val="auto"/>
                      <w:sz w:val="21"/>
                      <w:szCs w:val="21"/>
                      <w:lang w:eastAsia="zh-CN"/>
                    </w:rPr>
                    <w:t>生活垃圾</w:t>
                  </w:r>
                </w:p>
              </w:tc>
              <w:tc>
                <w:tcPr>
                  <w:tcW w:w="5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Style w:val="45"/>
                      <w:rFonts w:hint="default" w:ascii="Times New Roman" w:hAnsi="Times New Roman" w:eastAsia="宋体" w:cs="Times New Roman"/>
                      <w:color w:val="auto"/>
                      <w:sz w:val="21"/>
                      <w:szCs w:val="21"/>
                      <w:lang w:val="en-US" w:eastAsia="zh-CN" w:bidi="ar"/>
                    </w:rPr>
                    <w:t>一般固废</w:t>
                  </w:r>
                </w:p>
              </w:tc>
              <w:tc>
                <w:tcPr>
                  <w:tcW w:w="61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3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9.6</w:t>
                  </w:r>
                </w:p>
              </w:tc>
              <w:tc>
                <w:tcPr>
                  <w:tcW w:w="56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c>
                <w:tcPr>
                  <w:tcW w:w="2060"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w:t>
                  </w:r>
                </w:p>
              </w:tc>
              <w:tc>
                <w:tcPr>
                  <w:tcW w:w="526" w:type="pct"/>
                  <w:tcBorders>
                    <w:tl2br w:val="nil"/>
                    <w:tr2bl w:val="nil"/>
                  </w:tcBorders>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olor w:val="auto"/>
                      <w:sz w:val="21"/>
                      <w:szCs w:val="21"/>
                    </w:rPr>
                    <w:t>废润滑油</w:t>
                  </w:r>
                </w:p>
              </w:tc>
              <w:tc>
                <w:tcPr>
                  <w:tcW w:w="559" w:type="pct"/>
                  <w:vMerge w:val="restar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u w:val="none"/>
                      <w:lang w:val="en-US" w:eastAsia="zh-CN" w:bidi="ar"/>
                    </w:rPr>
                  </w:pPr>
                  <w:r>
                    <w:rPr>
                      <w:rStyle w:val="45"/>
                      <w:rFonts w:hint="eastAsia" w:ascii="Times New Roman" w:hAnsi="Times New Roman" w:eastAsia="宋体" w:cs="Times New Roman"/>
                      <w:color w:val="auto"/>
                      <w:sz w:val="21"/>
                      <w:szCs w:val="21"/>
                      <w:lang w:val="en-US" w:eastAsia="zh-CN" w:bidi="ar"/>
                    </w:rPr>
                    <w:t>危险废物</w:t>
                  </w:r>
                </w:p>
              </w:tc>
              <w:tc>
                <w:tcPr>
                  <w:tcW w:w="61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rPr>
                    <w:t>900-2</w:t>
                  </w:r>
                  <w:r>
                    <w:rPr>
                      <w:rFonts w:hint="eastAsia" w:ascii="Times New Roman" w:hAnsi="Times New Roman" w:eastAsia="宋体" w:cs="Times New Roman"/>
                      <w:i w:val="0"/>
                      <w:color w:val="auto"/>
                      <w:sz w:val="21"/>
                      <w:szCs w:val="21"/>
                      <w:u w:val="none"/>
                      <w:lang w:val="en-US" w:eastAsia="zh-CN"/>
                    </w:rPr>
                    <w:t>49-08</w:t>
                  </w:r>
                </w:p>
              </w:tc>
              <w:tc>
                <w:tcPr>
                  <w:tcW w:w="53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sz w:val="21"/>
                      <w:szCs w:val="21"/>
                      <w:u w:val="none"/>
                      <w:lang w:val="en-US" w:eastAsia="zh-CN"/>
                    </w:rPr>
                    <w:t>0.25</w:t>
                  </w:r>
                </w:p>
              </w:tc>
              <w:tc>
                <w:tcPr>
                  <w:tcW w:w="565"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存放于危废仓库</w:t>
                  </w:r>
                </w:p>
              </w:tc>
              <w:tc>
                <w:tcPr>
                  <w:tcW w:w="2060" w:type="pct"/>
                  <w:vMerge w:val="restar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eastAsia="zh-CN"/>
                    </w:rPr>
                    <w:t>委托</w:t>
                  </w:r>
                  <w:r>
                    <w:rPr>
                      <w:rFonts w:hint="eastAsia" w:ascii="Times New Roman" w:hAnsi="Times New Roman" w:eastAsia="宋体" w:cs="Times New Roman"/>
                      <w:i w:val="0"/>
                      <w:color w:val="auto"/>
                      <w:sz w:val="21"/>
                      <w:szCs w:val="21"/>
                      <w:u w:val="none"/>
                      <w:lang w:val="en-US" w:eastAsia="zh-CN"/>
                    </w:rPr>
                    <w:t>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w:t>
                  </w:r>
                </w:p>
              </w:tc>
              <w:tc>
                <w:tcPr>
                  <w:tcW w:w="52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漆渣</w:t>
                  </w:r>
                </w:p>
              </w:tc>
              <w:tc>
                <w:tcPr>
                  <w:tcW w:w="5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p>
              </w:tc>
              <w:tc>
                <w:tcPr>
                  <w:tcW w:w="610" w:type="pct"/>
                  <w:tcBorders>
                    <w:tl2br w:val="nil"/>
                    <w:tr2bl w:val="nil"/>
                  </w:tcBorders>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900-252-12</w:t>
                  </w:r>
                </w:p>
              </w:tc>
              <w:tc>
                <w:tcPr>
                  <w:tcW w:w="532" w:type="pct"/>
                  <w:tcBorders>
                    <w:tl2br w:val="nil"/>
                    <w:tr2bl w:val="nil"/>
                  </w:tcBorders>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0.414</w:t>
                  </w:r>
                </w:p>
              </w:tc>
              <w:tc>
                <w:tcPr>
                  <w:tcW w:w="56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2060"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w:t>
                  </w:r>
                </w:p>
              </w:tc>
              <w:tc>
                <w:tcPr>
                  <w:tcW w:w="526" w:type="pct"/>
                  <w:tcBorders>
                    <w:tl2br w:val="nil"/>
                    <w:tr2bl w:val="nil"/>
                  </w:tcBorders>
                  <w:noWrap/>
                  <w:tcMar>
                    <w:top w:w="15" w:type="dxa"/>
                    <w:left w:w="15" w:type="dxa"/>
                    <w:right w:w="15" w:type="dxa"/>
                  </w:tcMar>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废包装桶</w:t>
                  </w:r>
                </w:p>
              </w:tc>
              <w:tc>
                <w:tcPr>
                  <w:tcW w:w="5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p>
              </w:tc>
              <w:tc>
                <w:tcPr>
                  <w:tcW w:w="610" w:type="pct"/>
                  <w:tcBorders>
                    <w:tl2br w:val="nil"/>
                    <w:tr2bl w:val="nil"/>
                  </w:tcBorders>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900-041-49</w:t>
                  </w:r>
                </w:p>
              </w:tc>
              <w:tc>
                <w:tcPr>
                  <w:tcW w:w="532" w:type="pct"/>
                  <w:tcBorders>
                    <w:tl2br w:val="nil"/>
                    <w:tr2bl w:val="nil"/>
                  </w:tcBorders>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0.482</w:t>
                  </w:r>
                </w:p>
              </w:tc>
              <w:tc>
                <w:tcPr>
                  <w:tcW w:w="56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2060"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w:t>
                  </w: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废过滤材料</w:t>
                  </w:r>
                </w:p>
              </w:tc>
              <w:tc>
                <w:tcPr>
                  <w:tcW w:w="559"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p>
              </w:tc>
              <w:tc>
                <w:tcPr>
                  <w:tcW w:w="0" w:type="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900-041-49</w:t>
                  </w:r>
                </w:p>
              </w:tc>
              <w:tc>
                <w:tcPr>
                  <w:tcW w:w="0" w:type="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0.841</w:t>
                  </w:r>
                </w:p>
              </w:tc>
              <w:tc>
                <w:tcPr>
                  <w:tcW w:w="5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20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w:t>
                  </w: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废活性炭</w:t>
                  </w:r>
                </w:p>
              </w:tc>
              <w:tc>
                <w:tcPr>
                  <w:tcW w:w="559"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900-039-49</w:t>
                  </w: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15.94</w:t>
                  </w:r>
                </w:p>
              </w:tc>
              <w:tc>
                <w:tcPr>
                  <w:tcW w:w="5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20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w:t>
                  </w: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废切削液</w:t>
                  </w:r>
                </w:p>
              </w:tc>
              <w:tc>
                <w:tcPr>
                  <w:tcW w:w="559"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p>
              </w:tc>
              <w:tc>
                <w:tcPr>
                  <w:tcW w:w="0" w:type="auto"/>
                  <w:vAlign w:val="center"/>
                </w:tcPr>
                <w:p>
                  <w:pPr>
                    <w:pStyle w:val="33"/>
                    <w:spacing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900-006-09</w:t>
                  </w:r>
                </w:p>
              </w:tc>
              <w:tc>
                <w:tcPr>
                  <w:tcW w:w="0" w:type="auto"/>
                  <w:vAlign w:val="center"/>
                </w:tcPr>
                <w:p>
                  <w:pPr>
                    <w:adjustRightInd w:val="0"/>
                    <w:snapToGrid w:val="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1.1</w:t>
                  </w:r>
                </w:p>
              </w:tc>
              <w:tc>
                <w:tcPr>
                  <w:tcW w:w="5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20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w:t>
                  </w:r>
                </w:p>
              </w:tc>
              <w:tc>
                <w:tcPr>
                  <w:tcW w:w="0" w:type="auto"/>
                  <w:vAlign w:val="center"/>
                </w:tcPr>
                <w:p>
                  <w:pPr>
                    <w:pStyle w:val="33"/>
                    <w:spacing w:before="100" w:beforeAutospacing="1" w:after="100" w:afterAutospacing="1" w:line="320" w:lineRule="exact"/>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喷漆清洗废液</w:t>
                  </w:r>
                </w:p>
              </w:tc>
              <w:tc>
                <w:tcPr>
                  <w:tcW w:w="559"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p>
              </w:tc>
              <w:tc>
                <w:tcPr>
                  <w:tcW w:w="0" w:type="auto"/>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900-252-12</w:t>
                  </w:r>
                </w:p>
              </w:tc>
              <w:tc>
                <w:tcPr>
                  <w:tcW w:w="0" w:type="auto"/>
                  <w:vAlign w:val="center"/>
                </w:tcPr>
                <w:p>
                  <w:pPr>
                    <w:adjustRightInd w:val="0"/>
                    <w:snapToGrid w:val="0"/>
                    <w:jc w:val="center"/>
                    <w:rPr>
                      <w:rFonts w:hint="eastAsia" w:ascii="Times New Roman" w:hAnsi="Times New Roman" w:eastAsia="宋体" w:cs="Times New Roman"/>
                      <w:color w:val="auto"/>
                      <w:spacing w:val="4"/>
                      <w:kern w:val="18"/>
                      <w:sz w:val="21"/>
                      <w:szCs w:val="21"/>
                      <w:lang w:val="en-US" w:eastAsia="zh-CN" w:bidi="ar-SA"/>
                    </w:rPr>
                  </w:pPr>
                  <w:r>
                    <w:rPr>
                      <w:rFonts w:hint="eastAsia" w:cs="Times New Roman"/>
                      <w:color w:val="auto"/>
                      <w:spacing w:val="4"/>
                      <w:kern w:val="18"/>
                      <w:sz w:val="21"/>
                      <w:szCs w:val="21"/>
                      <w:lang w:val="en-US" w:eastAsia="zh-CN" w:bidi="ar-SA"/>
                    </w:rPr>
                    <w:t>0.07</w:t>
                  </w:r>
                </w:p>
              </w:tc>
              <w:tc>
                <w:tcPr>
                  <w:tcW w:w="5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val="en-US" w:eastAsia="zh-CN"/>
                    </w:rPr>
                  </w:pPr>
                </w:p>
              </w:tc>
              <w:tc>
                <w:tcPr>
                  <w:tcW w:w="20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color w:val="auto"/>
                      <w:sz w:val="21"/>
                      <w:szCs w:val="21"/>
                      <w:u w:val="none"/>
                      <w:lang w:eastAsia="zh-CN"/>
                    </w:rPr>
                  </w:pPr>
                </w:p>
              </w:tc>
            </w:tr>
          </w:tbl>
          <w:p>
            <w:pPr>
              <w:adjustRightInd w:val="0"/>
              <w:snapToGrid w:val="0"/>
              <w:spacing w:line="360" w:lineRule="auto"/>
              <w:ind w:firstLine="482" w:firstLineChars="200"/>
              <w:rPr>
                <w:rFonts w:ascii="Times New Roman" w:hAnsi="Times New Roman"/>
                <w:color w:val="auto"/>
                <w:sz w:val="24"/>
              </w:rPr>
            </w:pPr>
            <w:r>
              <w:rPr>
                <w:rFonts w:hint="eastAsia" w:ascii="Times New Roman" w:hAnsi="Times New Roman"/>
                <w:b/>
                <w:bCs/>
                <w:color w:val="auto"/>
                <w:sz w:val="24"/>
              </w:rPr>
              <w:t>固废暂存场所（设施）环境影响分析</w:t>
            </w:r>
          </w:p>
          <w:p>
            <w:pPr>
              <w:spacing w:line="360" w:lineRule="auto"/>
              <w:ind w:firstLine="480" w:firstLineChars="200"/>
              <w:rPr>
                <w:rFonts w:ascii="Times New Roman" w:hAnsi="Times New Roman"/>
                <w:color w:val="auto"/>
                <w:sz w:val="24"/>
              </w:rPr>
            </w:pPr>
            <w:r>
              <w:rPr>
                <w:rFonts w:hint="eastAsia" w:ascii="Times New Roman" w:hAnsi="Times New Roman"/>
                <w:color w:val="auto"/>
                <w:sz w:val="24"/>
              </w:rPr>
              <w:t>（1）一般固废暂存场所要求</w:t>
            </w:r>
          </w:p>
          <w:p>
            <w:pPr>
              <w:spacing w:line="360" w:lineRule="auto"/>
              <w:ind w:firstLine="480" w:firstLineChars="200"/>
              <w:rPr>
                <w:rFonts w:ascii="Times New Roman" w:hAnsi="Times New Roman"/>
                <w:color w:val="auto"/>
                <w:sz w:val="24"/>
              </w:rPr>
            </w:pPr>
            <w:r>
              <w:rPr>
                <w:rFonts w:ascii="Times New Roman" w:hAnsi="Times New Roman"/>
                <w:sz w:val="24"/>
              </w:rPr>
              <w:t>本项目依托现有的</w:t>
            </w:r>
            <w:r>
              <w:rPr>
                <w:rFonts w:hint="eastAsia"/>
                <w:sz w:val="24"/>
                <w:lang w:val="en-US" w:eastAsia="zh-CN"/>
              </w:rPr>
              <w:t>15</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的一般工业固废库，最大贮存能力为</w:t>
            </w:r>
            <w:r>
              <w:rPr>
                <w:rFonts w:hint="eastAsia"/>
                <w:sz w:val="24"/>
                <w:lang w:val="en-US" w:eastAsia="zh-CN"/>
              </w:rPr>
              <w:t>15</w:t>
            </w:r>
            <w:r>
              <w:rPr>
                <w:rFonts w:ascii="Times New Roman" w:hAnsi="Times New Roman"/>
                <w:sz w:val="24"/>
              </w:rPr>
              <w:t>t，现有项目一般工业固体废物产生量为</w:t>
            </w:r>
            <w:r>
              <w:rPr>
                <w:rFonts w:hint="eastAsia"/>
                <w:sz w:val="24"/>
                <w:lang w:val="en-US" w:eastAsia="zh-CN"/>
              </w:rPr>
              <w:t>63.25</w:t>
            </w:r>
            <w:r>
              <w:rPr>
                <w:rFonts w:ascii="Times New Roman" w:hAnsi="Times New Roman"/>
                <w:sz w:val="24"/>
              </w:rPr>
              <w:t>t/a，企业每</w:t>
            </w:r>
            <w:r>
              <w:rPr>
                <w:rFonts w:hint="eastAsia"/>
                <w:sz w:val="24"/>
                <w:lang w:val="en-US" w:eastAsia="zh-CN"/>
              </w:rPr>
              <w:t>两个月</w:t>
            </w:r>
            <w:r>
              <w:rPr>
                <w:rFonts w:ascii="Times New Roman" w:hAnsi="Times New Roman"/>
                <w:sz w:val="24"/>
              </w:rPr>
              <w:t>清运一次，现有最大储存量为</w:t>
            </w:r>
            <w:r>
              <w:rPr>
                <w:rFonts w:hint="eastAsia"/>
                <w:sz w:val="24"/>
                <w:lang w:val="en-US" w:eastAsia="zh-CN"/>
              </w:rPr>
              <w:t>10.54</w:t>
            </w:r>
            <w:r>
              <w:rPr>
                <w:rFonts w:ascii="Times New Roman" w:hAnsi="Times New Roman"/>
                <w:sz w:val="24"/>
              </w:rPr>
              <w:t>t，剩余</w:t>
            </w:r>
            <w:r>
              <w:rPr>
                <w:rFonts w:hint="eastAsia"/>
                <w:sz w:val="24"/>
                <w:lang w:val="en-US" w:eastAsia="zh-CN"/>
              </w:rPr>
              <w:t>4.46</w:t>
            </w:r>
            <w:r>
              <w:rPr>
                <w:rFonts w:ascii="Times New Roman" w:hAnsi="Times New Roman"/>
                <w:sz w:val="24"/>
              </w:rPr>
              <w:t>t 贮存余量，本项目</w:t>
            </w:r>
            <w:r>
              <w:rPr>
                <w:rFonts w:hint="eastAsia"/>
                <w:sz w:val="24"/>
                <w:lang w:val="en-US" w:eastAsia="zh-CN"/>
              </w:rPr>
              <w:t>不新增</w:t>
            </w:r>
            <w:r>
              <w:rPr>
                <w:rFonts w:ascii="Times New Roman" w:hAnsi="Times New Roman"/>
                <w:sz w:val="24"/>
              </w:rPr>
              <w:t>一般固废，能够满足贮存能力要求。</w:t>
            </w:r>
          </w:p>
          <w:p>
            <w:pPr>
              <w:spacing w:line="360" w:lineRule="auto"/>
              <w:ind w:firstLine="480" w:firstLineChars="200"/>
              <w:rPr>
                <w:rFonts w:hint="default" w:ascii="Times New Roman" w:hAnsi="Times New Roman" w:cs="宋体"/>
                <w:color w:val="auto"/>
                <w:sz w:val="24"/>
                <w:lang w:val="en-US" w:eastAsia="zh-CN"/>
              </w:rPr>
            </w:pPr>
            <w:r>
              <w:rPr>
                <w:rFonts w:hint="eastAsia" w:ascii="Times New Roman" w:hAnsi="Times New Roman" w:cs="宋体"/>
                <w:color w:val="auto"/>
                <w:sz w:val="24"/>
                <w:lang w:val="en-US" w:eastAsia="zh-CN"/>
              </w:rPr>
              <w:t>本项目已建一座15m</w:t>
            </w:r>
            <w:r>
              <w:rPr>
                <w:rFonts w:hint="eastAsia" w:ascii="Times New Roman" w:hAnsi="Times New Roman" w:cs="宋体"/>
                <w:color w:val="auto"/>
                <w:sz w:val="24"/>
                <w:vertAlign w:val="superscript"/>
                <w:lang w:val="en-US" w:eastAsia="zh-CN"/>
              </w:rPr>
              <w:t>2</w:t>
            </w:r>
            <w:r>
              <w:rPr>
                <w:rFonts w:hint="eastAsia" w:ascii="Times New Roman" w:hAnsi="Times New Roman" w:cs="宋体"/>
                <w:color w:val="auto"/>
                <w:sz w:val="24"/>
                <w:lang w:val="en-US" w:eastAsia="zh-CN"/>
              </w:rPr>
              <w:t>的一般工业固废库，一般固废堆场按照《一般工业固体废物贮存和填埋污染控制标准》（GB 18599-2020）要求建设，对一般固废堆放区地面进行了硬化，并做好防腐、防渗和防漏处理，制定了“一般固废仓库管理制度”“一般工业固废处置管理规定”，由专人维护。本次技改项目不新增一般工业固体废物。</w:t>
            </w: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一般工业固体废物贮存设施警示标识牌如下：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表4-</w:t>
            </w:r>
            <w:r>
              <w:rPr>
                <w:rFonts w:hint="eastAsia" w:cs="Times New Roman"/>
                <w:b/>
                <w:bCs/>
                <w:color w:val="000000"/>
                <w:sz w:val="24"/>
                <w:szCs w:val="24"/>
                <w:lang w:val="en-US" w:eastAsia="zh-CN"/>
              </w:rPr>
              <w:t>32</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val="en-US" w:eastAsia="zh-CN"/>
              </w:rPr>
              <w:t>一般工业固体废物贮存设施警示标识牌</w:t>
            </w:r>
          </w:p>
          <w:tbl>
            <w:tblPr>
              <w:tblStyle w:val="21"/>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71"/>
              <w:gridCol w:w="1247"/>
              <w:gridCol w:w="985"/>
              <w:gridCol w:w="1094"/>
              <w:gridCol w:w="2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排放口名称</w:t>
                  </w:r>
                </w:p>
              </w:tc>
              <w:tc>
                <w:tcPr>
                  <w:tcW w:w="8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图形标志</w:t>
                  </w:r>
                </w:p>
              </w:tc>
              <w:tc>
                <w:tcPr>
                  <w:tcW w:w="716"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形状</w:t>
                  </w:r>
                </w:p>
              </w:tc>
              <w:tc>
                <w:tcPr>
                  <w:tcW w:w="60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背景</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颜色</w:t>
                  </w:r>
                </w:p>
              </w:tc>
              <w:tc>
                <w:tcPr>
                  <w:tcW w:w="668"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图形颜色</w:t>
                  </w:r>
                </w:p>
              </w:tc>
              <w:tc>
                <w:tcPr>
                  <w:tcW w:w="137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一般固废暂存场所</w:t>
                  </w:r>
                </w:p>
              </w:tc>
              <w:tc>
                <w:tcPr>
                  <w:tcW w:w="8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提示标志</w:t>
                  </w:r>
                </w:p>
              </w:tc>
              <w:tc>
                <w:tcPr>
                  <w:tcW w:w="716"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70</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50cm</w:t>
                  </w:r>
                </w:p>
              </w:tc>
              <w:tc>
                <w:tcPr>
                  <w:tcW w:w="60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绿色</w:t>
                  </w:r>
                </w:p>
              </w:tc>
              <w:tc>
                <w:tcPr>
                  <w:tcW w:w="668"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白色</w:t>
                  </w:r>
                </w:p>
              </w:tc>
              <w:tc>
                <w:tcPr>
                  <w:tcW w:w="137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cs="Times New Roman"/>
                      <w:color w:val="000000"/>
                      <w:sz w:val="21"/>
                      <w:szCs w:val="21"/>
                    </w:rPr>
                    <w:drawing>
                      <wp:inline distT="0" distB="0" distL="114300" distR="114300">
                        <wp:extent cx="952500" cy="671830"/>
                        <wp:effectExtent l="0" t="0" r="7620" b="13970"/>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24"/>
                                <a:stretch>
                                  <a:fillRect/>
                                </a:stretch>
                              </pic:blipFill>
                              <pic:spPr>
                                <a:xfrm>
                                  <a:off x="0" y="0"/>
                                  <a:ext cx="952500" cy="671830"/>
                                </a:xfrm>
                                <a:prstGeom prst="rect">
                                  <a:avLst/>
                                </a:prstGeom>
                                <a:noFill/>
                                <a:ln>
                                  <a:noFill/>
                                </a:ln>
                              </pic:spPr>
                            </pic:pic>
                          </a:graphicData>
                        </a:graphic>
                      </wp:inline>
                    </w:drawing>
                  </w:r>
                </w:p>
              </w:tc>
            </w:tr>
          </w:tbl>
          <w:p>
            <w:pPr>
              <w:spacing w:line="360" w:lineRule="auto"/>
              <w:ind w:firstLine="480" w:firstLineChars="200"/>
              <w:rPr>
                <w:rFonts w:ascii="Times New Roman" w:hAnsi="Times New Roman"/>
                <w:color w:val="auto"/>
                <w:sz w:val="24"/>
              </w:rPr>
            </w:pPr>
            <w:r>
              <w:rPr>
                <w:rFonts w:hint="eastAsia" w:ascii="Times New Roman" w:hAnsi="Times New Roman"/>
                <w:color w:val="auto"/>
                <w:sz w:val="24"/>
              </w:rPr>
              <w:t>（2）</w:t>
            </w:r>
            <w:r>
              <w:rPr>
                <w:rFonts w:ascii="Times New Roman" w:hAnsi="Times New Roman"/>
                <w:color w:val="auto"/>
                <w:sz w:val="24"/>
              </w:rPr>
              <w:t>危险废物暂存场所要求</w:t>
            </w:r>
          </w:p>
          <w:p>
            <w:pPr>
              <w:spacing w:line="360" w:lineRule="auto"/>
              <w:ind w:firstLine="480" w:firstLineChars="200"/>
              <w:rPr>
                <w:rFonts w:ascii="Times New Roman" w:hAnsi="Times New Roman"/>
                <w:color w:val="auto"/>
                <w:sz w:val="24"/>
              </w:rPr>
            </w:pPr>
            <w:r>
              <w:rPr>
                <w:rFonts w:ascii="Times New Roman" w:hAnsi="Times New Roman"/>
                <w:color w:val="auto"/>
                <w:sz w:val="24"/>
              </w:rPr>
              <w:t>危险废物暂存场地的设置应按《危险废物贮存污染控制标准》（GB18597-2023）要求设置，要求做到以下几点：</w:t>
            </w:r>
          </w:p>
          <w:p>
            <w:pPr>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①</w:t>
            </w:r>
            <w:r>
              <w:rPr>
                <w:rFonts w:ascii="Times New Roman" w:hAnsi="Times New Roman"/>
                <w:color w:val="auto"/>
                <w:sz w:val="24"/>
              </w:rPr>
              <w:t>废物贮存设施必须按《环境保护图</w:t>
            </w:r>
            <w:r>
              <w:rPr>
                <w:rFonts w:hint="eastAsia" w:ascii="Times New Roman" w:hAnsi="Times New Roman" w:cs="宋体"/>
                <w:color w:val="auto"/>
                <w:sz w:val="24"/>
              </w:rPr>
              <w:t>(GB15562-1995)</w:t>
            </w:r>
            <w:r>
              <w:rPr>
                <w:rFonts w:ascii="Times New Roman" w:hAnsi="Times New Roman"/>
                <w:color w:val="auto"/>
                <w:sz w:val="24"/>
              </w:rPr>
              <w:t>》的规定设置警示标志；</w:t>
            </w:r>
          </w:p>
          <w:p>
            <w:pPr>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②</w:t>
            </w:r>
            <w:r>
              <w:rPr>
                <w:rFonts w:ascii="Times New Roman" w:hAnsi="Times New Roman"/>
                <w:color w:val="auto"/>
                <w:sz w:val="24"/>
              </w:rPr>
              <w:t>废物贮存设施周围应设置围墙或</w:t>
            </w:r>
            <w:r>
              <w:rPr>
                <w:rFonts w:hint="eastAsia"/>
                <w:color w:val="auto"/>
                <w:sz w:val="24"/>
                <w:lang w:eastAsia="zh-CN"/>
              </w:rPr>
              <w:t>其他</w:t>
            </w:r>
            <w:r>
              <w:rPr>
                <w:rFonts w:ascii="Times New Roman" w:hAnsi="Times New Roman"/>
                <w:color w:val="auto"/>
                <w:sz w:val="24"/>
              </w:rPr>
              <w:t>防护栅栏；</w:t>
            </w:r>
          </w:p>
          <w:p>
            <w:pPr>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③</w:t>
            </w:r>
            <w:r>
              <w:rPr>
                <w:rFonts w:ascii="Times New Roman" w:hAnsi="Times New Roman"/>
                <w:color w:val="auto"/>
                <w:sz w:val="24"/>
              </w:rPr>
              <w:t>废物贮存设施应配备通讯设备、照明设施、安全防护服装及工具，并设有应急防护设施；</w:t>
            </w:r>
          </w:p>
          <w:p>
            <w:pPr>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④</w:t>
            </w:r>
            <w:r>
              <w:rPr>
                <w:rFonts w:ascii="Times New Roman" w:hAnsi="Times New Roman"/>
                <w:color w:val="auto"/>
                <w:sz w:val="24"/>
              </w:rPr>
              <w:t>建设单位收集危险废物后，放置在厂内的固废暂存库同时作好危险废物情况的记录，记录上注明危险废物的名称、数量及接收单位名称；</w:t>
            </w:r>
          </w:p>
          <w:p>
            <w:pPr>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⑤</w:t>
            </w:r>
            <w:r>
              <w:rPr>
                <w:rFonts w:ascii="Times New Roman" w:hAnsi="Times New Roman"/>
                <w:color w:val="auto"/>
                <w:sz w:val="24"/>
              </w:rPr>
              <w:t>建设单位应做好危废转移申报、转移联单等相关手续，需满足《关于加强危险废物交换和转移管理工作的通知》要求。加强对固体废弃物管理，做好跟踪管理，建立</w:t>
            </w:r>
            <w:r>
              <w:rPr>
                <w:rFonts w:hint="eastAsia"/>
                <w:color w:val="auto"/>
                <w:sz w:val="24"/>
                <w:lang w:eastAsia="zh-CN"/>
              </w:rPr>
              <w:t>管理台账</w:t>
            </w:r>
            <w:r>
              <w:rPr>
                <w:rFonts w:ascii="Times New Roman" w:hAnsi="Times New Roman"/>
                <w:color w:val="auto"/>
                <w:sz w:val="24"/>
              </w:rPr>
              <w:t>；</w:t>
            </w:r>
          </w:p>
          <w:p>
            <w:pPr>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⑥</w:t>
            </w:r>
            <w:r>
              <w:rPr>
                <w:rFonts w:ascii="Times New Roman" w:hAnsi="Times New Roman"/>
                <w:color w:val="auto"/>
                <w:sz w:val="24"/>
              </w:rPr>
              <w:t>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p>
          <w:p>
            <w:pPr>
              <w:spacing w:line="360" w:lineRule="auto"/>
              <w:ind w:firstLine="480" w:firstLineChars="200"/>
              <w:rPr>
                <w:rFonts w:hint="eastAsia" w:ascii="Times New Roman" w:hAnsi="Times New Roman"/>
                <w:b/>
                <w:bCs/>
                <w:color w:val="auto"/>
                <w:kern w:val="0"/>
                <w:sz w:val="24"/>
              </w:rPr>
            </w:pPr>
            <w:r>
              <w:rPr>
                <w:rFonts w:hint="eastAsia" w:ascii="Times New Roman" w:hAnsi="Times New Roman" w:cs="宋体"/>
                <w:color w:val="auto"/>
                <w:sz w:val="24"/>
              </w:rPr>
              <w:t>⑦</w:t>
            </w:r>
            <w:r>
              <w:rPr>
                <w:rFonts w:ascii="Times New Roman" w:hAnsi="Times New Roman"/>
                <w:color w:val="auto"/>
                <w:sz w:val="24"/>
              </w:rPr>
              <w:t>危险废物委托处置单位应具备相应的资质，运输车辆须经主管单位检查，并持有有关单位签发的许可证，承载危险废物的车辆须有明显的标志。</w:t>
            </w:r>
          </w:p>
          <w:p>
            <w:pPr>
              <w:pStyle w:val="56"/>
              <w:adjustRightInd w:val="0"/>
              <w:snapToGrid w:val="0"/>
              <w:ind w:firstLine="482"/>
              <w:rPr>
                <w:rFonts w:ascii="Times New Roman" w:hAnsi="Times New Roman"/>
                <w:b/>
                <w:color w:val="auto"/>
              </w:rPr>
            </w:pPr>
            <w:r>
              <w:rPr>
                <w:rFonts w:ascii="Times New Roman" w:hAnsi="Times New Roman"/>
                <w:b/>
                <w:color w:val="auto"/>
              </w:rPr>
              <w:t>运输过程的环境影响分析</w:t>
            </w:r>
          </w:p>
          <w:p>
            <w:pPr>
              <w:pStyle w:val="56"/>
              <w:ind w:firstLine="480"/>
              <w:rPr>
                <w:rFonts w:ascii="Times New Roman" w:hAnsi="Times New Roman"/>
                <w:bCs/>
                <w:color w:val="auto"/>
              </w:rPr>
            </w:pPr>
            <w:r>
              <w:rPr>
                <w:rFonts w:hint="eastAsia" w:ascii="Times New Roman" w:hAnsi="Times New Roman"/>
                <w:bCs/>
                <w:color w:val="auto"/>
              </w:rPr>
              <w:t xml:space="preserve">危险废物在转移运输过程中要严格遵守《国家危险废物转移联单管理办法》，需按程序和期限向有关环境保护部门报告以便及时控制废物流向，控制危险废物污染的扩散。 危险废物运输中应做到以下几点： </w:t>
            </w:r>
          </w:p>
          <w:p>
            <w:pPr>
              <w:pStyle w:val="56"/>
              <w:ind w:firstLine="480"/>
              <w:rPr>
                <w:rFonts w:ascii="Times New Roman" w:hAnsi="Times New Roman"/>
                <w:bCs/>
                <w:color w:val="auto"/>
              </w:rPr>
            </w:pPr>
            <w:r>
              <w:rPr>
                <w:rFonts w:hint="eastAsia" w:ascii="Times New Roman" w:hAnsi="Times New Roman"/>
                <w:bCs/>
                <w:color w:val="auto"/>
              </w:rPr>
              <w:t xml:space="preserve">（1）危险废物的运输车辆须经主管单位检查，并持有有关单位签发的许可证，负责运输的司机应通过培训，持有证明文件。 </w:t>
            </w:r>
          </w:p>
          <w:p>
            <w:pPr>
              <w:pStyle w:val="56"/>
              <w:ind w:firstLine="480"/>
              <w:rPr>
                <w:rFonts w:ascii="Times New Roman" w:hAnsi="Times New Roman"/>
                <w:bCs/>
                <w:color w:val="auto"/>
              </w:rPr>
            </w:pPr>
            <w:r>
              <w:rPr>
                <w:rFonts w:hint="eastAsia" w:ascii="Times New Roman" w:hAnsi="Times New Roman"/>
                <w:bCs/>
                <w:color w:val="auto"/>
              </w:rPr>
              <w:t xml:space="preserve">（2）承载危险废物的车辆须有明显的标志或适当的危险符号，以引起注意。 </w:t>
            </w:r>
          </w:p>
          <w:p>
            <w:pPr>
              <w:pStyle w:val="56"/>
              <w:ind w:firstLine="480"/>
              <w:rPr>
                <w:rFonts w:ascii="Times New Roman" w:hAnsi="Times New Roman"/>
                <w:bCs/>
                <w:color w:val="auto"/>
              </w:rPr>
            </w:pPr>
            <w:r>
              <w:rPr>
                <w:rFonts w:hint="eastAsia" w:ascii="Times New Roman" w:hAnsi="Times New Roman"/>
                <w:bCs/>
                <w:color w:val="auto"/>
              </w:rPr>
              <w:t xml:space="preserve">（3）载有危险废物的车辆在公路上行驶时，需持有运输许可证，其上应注明废物来源、性质和运往地点。 </w:t>
            </w:r>
          </w:p>
          <w:p>
            <w:pPr>
              <w:pStyle w:val="56"/>
              <w:ind w:firstLine="480"/>
              <w:rPr>
                <w:rFonts w:ascii="Times New Roman" w:hAnsi="Times New Roman"/>
                <w:bCs/>
                <w:color w:val="auto"/>
              </w:rPr>
            </w:pPr>
            <w:r>
              <w:rPr>
                <w:rFonts w:hint="eastAsia" w:ascii="Times New Roman" w:hAnsi="Times New Roman"/>
                <w:bCs/>
                <w:color w:val="auto"/>
              </w:rPr>
              <w:t>以上危险废物严格按照上述措施处理处置和利用后，对周围环境及人体不会产生影响，也不会造成二次污染，所采取的治理措施是可行</w:t>
            </w:r>
          </w:p>
          <w:p>
            <w:pPr>
              <w:adjustRightInd w:val="0"/>
              <w:snapToGrid w:val="0"/>
              <w:spacing w:line="360" w:lineRule="auto"/>
              <w:ind w:firstLine="482" w:firstLineChars="200"/>
              <w:rPr>
                <w:rFonts w:ascii="Times New Roman" w:hAnsi="Times New Roman"/>
                <w:b/>
                <w:color w:val="auto"/>
                <w:sz w:val="24"/>
              </w:rPr>
            </w:pPr>
            <w:r>
              <w:rPr>
                <w:rFonts w:hint="eastAsia" w:ascii="Times New Roman" w:hAnsi="Times New Roman"/>
                <w:b/>
                <w:color w:val="auto"/>
                <w:sz w:val="24"/>
              </w:rPr>
              <w:t>污染防治措施及其经济、技术分析</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（1）贮存场所（设施）污染防治措施</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①一般固废贮存场所（设施）污染防治措施</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本项目一般工业固废</w:t>
            </w:r>
            <w:r>
              <w:rPr>
                <w:rFonts w:hint="eastAsia" w:ascii="Times New Roman" w:hAnsi="Times New Roman"/>
                <w:bCs/>
                <w:color w:val="auto"/>
                <w:sz w:val="24"/>
                <w:lang w:val="en-US" w:eastAsia="zh-CN"/>
              </w:rPr>
              <w:t>已</w:t>
            </w:r>
            <w:r>
              <w:rPr>
                <w:rFonts w:hint="eastAsia" w:ascii="Times New Roman" w:hAnsi="Times New Roman"/>
                <w:bCs/>
                <w:color w:val="auto"/>
                <w:sz w:val="24"/>
              </w:rPr>
              <w:t>按照相关要求分类收集贮存，暂存场所应满足《一般工业固体废物贮存和填埋污染控制标准》（GB 18599-2020）、《环境保护图形标志-固体废物贮存（处置场）》（GB15562.2-1995）等规定要求。</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Ⅰ、贮存、处置场的建设类型，必须与将要堆放的一般工业固体废物的类别相一致。</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Ⅱ、为保障设施、设备正常运营，必要时应采取措施防止地基下沉，尤其是防止不均匀或局部下沉。</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Ⅲ、贮存、处置场的使用单位，应建立档案制度。应将入场的一般工业固体废物的种类和数量以及下列资料，详细记录在案，长期保存，供随时查阅。</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②危险废物贮存场所（设施）污染防治措施</w:t>
            </w:r>
          </w:p>
          <w:p>
            <w:pPr>
              <w:adjustRightInd w:val="0"/>
              <w:snapToGrid w:val="0"/>
              <w:spacing w:line="360" w:lineRule="auto"/>
              <w:ind w:firstLine="480" w:firstLineChars="200"/>
              <w:rPr>
                <w:rFonts w:hint="eastAsia" w:ascii="Times New Roman" w:eastAsia="宋体" w:cs="Times New Roman"/>
                <w:b w:val="0"/>
                <w:bCs/>
                <w:color w:val="auto"/>
                <w:kern w:val="2"/>
                <w:sz w:val="24"/>
                <w:szCs w:val="24"/>
                <w:lang w:val="en-US" w:eastAsia="zh-CN" w:bidi="ar-SA"/>
              </w:rPr>
            </w:pPr>
            <w:r>
              <w:rPr>
                <w:rFonts w:hint="eastAsia" w:ascii="Times New Roman" w:hAnsi="Times New Roman"/>
                <w:bCs/>
                <w:color w:val="auto"/>
                <w:sz w:val="24"/>
                <w:lang w:val="en-US" w:eastAsia="zh-CN"/>
              </w:rPr>
              <w:t>现有项目已按照《环境保护图形标志-固体废物贮存（处置）场》及修改单和《危险废物识别标志设置技术规范》（HJ 1276-2022）设置标志，</w:t>
            </w:r>
            <w:r>
              <w:rPr>
                <w:rFonts w:hint="default" w:ascii="Times New Roman" w:eastAsia="宋体" w:cs="Times New Roman"/>
                <w:b w:val="0"/>
                <w:bCs/>
                <w:color w:val="auto"/>
                <w:kern w:val="2"/>
                <w:sz w:val="24"/>
                <w:szCs w:val="24"/>
                <w:lang w:val="en-US" w:eastAsia="zh-CN" w:bidi="ar-SA"/>
              </w:rPr>
              <w:t>危废</w:t>
            </w:r>
            <w:r>
              <w:rPr>
                <w:rFonts w:hint="eastAsia" w:ascii="Times New Roman" w:eastAsia="宋体" w:cs="Times New Roman"/>
                <w:b w:val="0"/>
                <w:bCs/>
                <w:color w:val="auto"/>
                <w:kern w:val="2"/>
                <w:sz w:val="24"/>
                <w:szCs w:val="24"/>
                <w:lang w:val="en-US" w:eastAsia="zh-CN" w:bidi="ar-SA"/>
              </w:rPr>
              <w:t>仓库</w:t>
            </w:r>
            <w:r>
              <w:rPr>
                <w:rFonts w:hint="default" w:ascii="Times New Roman" w:eastAsia="宋体" w:cs="Times New Roman"/>
                <w:b w:val="0"/>
                <w:bCs/>
                <w:color w:val="auto"/>
                <w:kern w:val="2"/>
                <w:sz w:val="24"/>
                <w:szCs w:val="24"/>
                <w:lang w:val="en-US" w:eastAsia="zh-CN" w:bidi="ar-SA"/>
              </w:rPr>
              <w:t>按照《危险废物贮存污染控制标准》（GB 18597-2023）要求设置，设有防渗漏、防雨淋、防扬散措施，并设置危险废物标识和警示牌</w:t>
            </w:r>
            <w:r>
              <w:rPr>
                <w:rFonts w:hint="eastAsia" w:ascii="Times New Roman" w:eastAsia="宋体" w:cs="Times New Roman"/>
                <w:b w:val="0"/>
                <w:bCs/>
                <w:color w:val="auto"/>
                <w:kern w:val="2"/>
                <w:sz w:val="24"/>
                <w:szCs w:val="24"/>
                <w:lang w:val="en-US" w:eastAsia="zh-CN" w:bidi="ar-SA"/>
              </w:rPr>
              <w:t>。</w:t>
            </w:r>
          </w:p>
          <w:p>
            <w:pPr>
              <w:adjustRightInd w:val="0"/>
              <w:snapToGrid w:val="0"/>
              <w:spacing w:line="360" w:lineRule="auto"/>
              <w:ind w:firstLine="480" w:firstLineChars="200"/>
              <w:rPr>
                <w:rFonts w:ascii="Times New Roman" w:hAnsi="Times New Roman"/>
                <w:bCs/>
                <w:color w:val="auto"/>
                <w:sz w:val="24"/>
              </w:rPr>
            </w:pPr>
            <w:r>
              <w:rPr>
                <w:rFonts w:hint="eastAsia" w:ascii="Times New Roman" w:eastAsia="宋体" w:cs="Times New Roman"/>
                <w:b w:val="0"/>
                <w:bCs/>
                <w:color w:val="auto"/>
                <w:kern w:val="2"/>
                <w:sz w:val="24"/>
                <w:szCs w:val="24"/>
                <w:lang w:val="en-US" w:eastAsia="zh-CN" w:bidi="ar-SA"/>
              </w:rPr>
              <w:t>现有</w:t>
            </w:r>
            <w:r>
              <w:rPr>
                <w:rFonts w:hint="eastAsia" w:ascii="Times New Roman" w:hAnsi="Times New Roman"/>
                <w:bCs/>
                <w:color w:val="auto"/>
                <w:sz w:val="24"/>
                <w:lang w:val="en-US" w:eastAsia="zh-CN"/>
              </w:rPr>
              <w:t>危废库面积为3m</w:t>
            </w:r>
            <w:r>
              <w:rPr>
                <w:rFonts w:hint="eastAsia" w:ascii="Times New Roman" w:hAnsi="Times New Roman"/>
                <w:bCs/>
                <w:color w:val="auto"/>
                <w:sz w:val="24"/>
                <w:vertAlign w:val="superscript"/>
                <w:lang w:val="en-US" w:eastAsia="zh-CN"/>
              </w:rPr>
              <w:t>2</w:t>
            </w:r>
            <w:r>
              <w:rPr>
                <w:rFonts w:hint="eastAsia" w:ascii="Times New Roman" w:hAnsi="Times New Roman"/>
                <w:bCs/>
                <w:color w:val="auto"/>
                <w:sz w:val="24"/>
                <w:lang w:val="en-US" w:eastAsia="zh-CN"/>
              </w:rPr>
              <w:t>，无法满足本项目危险废物的储存，因此本项目需设一个30</w:t>
            </w:r>
            <w:r>
              <w:rPr>
                <w:rFonts w:hint="eastAsia" w:ascii="Times New Roman" w:hAnsi="Times New Roman"/>
                <w:bCs/>
                <w:color w:val="auto"/>
                <w:sz w:val="24"/>
              </w:rPr>
              <w:t>m</w:t>
            </w:r>
            <w:r>
              <w:rPr>
                <w:rFonts w:hint="eastAsia" w:ascii="Times New Roman" w:hAnsi="Times New Roman"/>
                <w:bCs/>
                <w:color w:val="auto"/>
                <w:sz w:val="24"/>
                <w:vertAlign w:val="superscript"/>
              </w:rPr>
              <w:t>2</w:t>
            </w:r>
            <w:r>
              <w:rPr>
                <w:rFonts w:hint="eastAsia" w:ascii="Times New Roman" w:hAnsi="Times New Roman"/>
                <w:bCs/>
                <w:color w:val="auto"/>
                <w:sz w:val="24"/>
              </w:rPr>
              <w:t>的危险废物贮存场所，贮存场所贮存能力满足要求。</w:t>
            </w:r>
          </w:p>
          <w:p>
            <w:pPr>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4-</w:t>
            </w:r>
            <w:r>
              <w:rPr>
                <w:rFonts w:hint="eastAsia"/>
                <w:b/>
                <w:color w:val="auto"/>
                <w:szCs w:val="21"/>
                <w:lang w:val="en-US" w:eastAsia="zh-CN"/>
              </w:rPr>
              <w:t>33</w:t>
            </w:r>
            <w:r>
              <w:rPr>
                <w:rFonts w:hint="eastAsia" w:ascii="Times New Roman" w:hAnsi="Times New Roman"/>
                <w:b/>
                <w:color w:val="auto"/>
                <w:szCs w:val="21"/>
              </w:rPr>
              <w:t xml:space="preserve"> </w:t>
            </w:r>
            <w:r>
              <w:rPr>
                <w:rFonts w:ascii="Times New Roman" w:hAnsi="Times New Roman"/>
                <w:b/>
                <w:color w:val="auto"/>
                <w:szCs w:val="21"/>
              </w:rPr>
              <w:t>建设项目危险废物贮存场所（设施）基本情况表</w:t>
            </w:r>
          </w:p>
          <w:tbl>
            <w:tblPr>
              <w:tblStyle w:val="2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989"/>
              <w:gridCol w:w="1578"/>
              <w:gridCol w:w="983"/>
              <w:gridCol w:w="1566"/>
              <w:gridCol w:w="644"/>
              <w:gridCol w:w="781"/>
              <w:gridCol w:w="644"/>
              <w:gridCol w:w="6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285"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序号</w:t>
                  </w:r>
                </w:p>
              </w:tc>
              <w:tc>
                <w:tcPr>
                  <w:tcW w:w="600"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贮存场所（设施）</w:t>
                  </w:r>
                </w:p>
                <w:p>
                  <w:pPr>
                    <w:spacing w:line="320" w:lineRule="exact"/>
                    <w:jc w:val="center"/>
                    <w:rPr>
                      <w:rFonts w:ascii="Times New Roman" w:hAnsi="Times New Roman"/>
                      <w:b/>
                      <w:color w:val="auto"/>
                      <w:szCs w:val="21"/>
                    </w:rPr>
                  </w:pPr>
                  <w:r>
                    <w:rPr>
                      <w:rFonts w:ascii="Times New Roman" w:hAnsi="Times New Roman"/>
                      <w:b/>
                      <w:color w:val="auto"/>
                      <w:szCs w:val="21"/>
                    </w:rPr>
                    <w:t>名称</w:t>
                  </w:r>
                </w:p>
              </w:tc>
              <w:tc>
                <w:tcPr>
                  <w:tcW w:w="955"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危险废物名称</w:t>
                  </w:r>
                </w:p>
              </w:tc>
              <w:tc>
                <w:tcPr>
                  <w:tcW w:w="596"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危险废物类别</w:t>
                  </w:r>
                </w:p>
              </w:tc>
              <w:tc>
                <w:tcPr>
                  <w:tcW w:w="948"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危险废物代码</w:t>
                  </w:r>
                </w:p>
              </w:tc>
              <w:tc>
                <w:tcPr>
                  <w:tcW w:w="391"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位置</w:t>
                  </w:r>
                </w:p>
              </w:tc>
              <w:tc>
                <w:tcPr>
                  <w:tcW w:w="456"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占地面积</w:t>
                  </w:r>
                </w:p>
              </w:tc>
              <w:tc>
                <w:tcPr>
                  <w:tcW w:w="391"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贮存方式</w:t>
                  </w:r>
                </w:p>
              </w:tc>
              <w:tc>
                <w:tcPr>
                  <w:tcW w:w="374" w:type="pct"/>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贮存</w:t>
                  </w:r>
                </w:p>
                <w:p>
                  <w:pPr>
                    <w:spacing w:line="320" w:lineRule="exact"/>
                    <w:jc w:val="center"/>
                    <w:rPr>
                      <w:rFonts w:ascii="Times New Roman" w:hAnsi="Times New Roman"/>
                      <w:b/>
                      <w:color w:val="auto"/>
                      <w:szCs w:val="21"/>
                    </w:rPr>
                  </w:pPr>
                  <w:r>
                    <w:rPr>
                      <w:rFonts w:ascii="Times New Roman" w:hAnsi="Times New Roman"/>
                      <w:b/>
                      <w:color w:val="auto"/>
                      <w:szCs w:val="21"/>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5" w:type="pct"/>
                  <w:tcBorders>
                    <w:tl2br w:val="nil"/>
                    <w:tr2bl w:val="nil"/>
                  </w:tcBorders>
                  <w:vAlign w:val="center"/>
                </w:tcPr>
                <w:p>
                  <w:pPr>
                    <w:pStyle w:val="33"/>
                    <w:spacing w:before="100" w:beforeAutospacing="1" w:after="100" w:afterAutospacing="1" w:line="320" w:lineRule="exact"/>
                    <w:rPr>
                      <w:rFonts w:ascii="Times New Roman" w:hAnsi="Times New Roman"/>
                      <w:color w:val="auto"/>
                    </w:rPr>
                  </w:pPr>
                  <w:r>
                    <w:rPr>
                      <w:rFonts w:ascii="Times New Roman" w:hAnsi="Times New Roman"/>
                      <w:color w:val="auto"/>
                    </w:rPr>
                    <w:t>1</w:t>
                  </w:r>
                </w:p>
              </w:tc>
              <w:tc>
                <w:tcPr>
                  <w:tcW w:w="600" w:type="pct"/>
                  <w:vMerge w:val="restart"/>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color w:val="auto"/>
                      <w:szCs w:val="21"/>
                    </w:rPr>
                    <w:t>危废库</w:t>
                  </w:r>
                </w:p>
              </w:tc>
              <w:tc>
                <w:tcPr>
                  <w:tcW w:w="955" w:type="pct"/>
                  <w:tcBorders>
                    <w:tl2br w:val="nil"/>
                    <w:tr2bl w:val="nil"/>
                  </w:tcBorders>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漆渣</w:t>
                  </w:r>
                </w:p>
              </w:tc>
              <w:tc>
                <w:tcPr>
                  <w:tcW w:w="596" w:type="pct"/>
                  <w:tcBorders>
                    <w:tl2br w:val="nil"/>
                    <w:tr2bl w:val="nil"/>
                  </w:tcBorders>
                  <w:vAlign w:val="center"/>
                </w:tcPr>
                <w:p>
                  <w:pPr>
                    <w:pStyle w:val="3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color w:val="auto"/>
                      <w:szCs w:val="21"/>
                    </w:rPr>
                    <w:t>HW</w:t>
                  </w:r>
                  <w:r>
                    <w:rPr>
                      <w:rFonts w:hint="eastAsia" w:ascii="Times New Roman" w:hAnsi="Times New Roman"/>
                      <w:color w:val="auto"/>
                      <w:szCs w:val="21"/>
                      <w:lang w:val="en-US" w:eastAsia="zh-CN"/>
                    </w:rPr>
                    <w:t>12</w:t>
                  </w:r>
                </w:p>
              </w:tc>
              <w:tc>
                <w:tcPr>
                  <w:tcW w:w="948" w:type="pct"/>
                  <w:tcBorders>
                    <w:tl2br w:val="nil"/>
                    <w:tr2bl w:val="nil"/>
                  </w:tcBorders>
                  <w:vAlign w:val="center"/>
                </w:tcPr>
                <w:p>
                  <w:pPr>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900-252-12</w:t>
                  </w:r>
                </w:p>
              </w:tc>
              <w:tc>
                <w:tcPr>
                  <w:tcW w:w="391" w:type="pct"/>
                  <w:vMerge w:val="restart"/>
                  <w:tcBorders>
                    <w:tl2br w:val="nil"/>
                    <w:tr2bl w:val="nil"/>
                  </w:tcBorders>
                  <w:vAlign w:val="center"/>
                </w:tcPr>
                <w:p>
                  <w:pPr>
                    <w:spacing w:line="320" w:lineRule="exact"/>
                    <w:jc w:val="center"/>
                    <w:rPr>
                      <w:rFonts w:hint="eastAsia" w:ascii="Times New Roman" w:hAnsi="Times New Roman"/>
                      <w:color w:val="auto"/>
                      <w:szCs w:val="21"/>
                    </w:rPr>
                  </w:pPr>
                  <w:r>
                    <w:rPr>
                      <w:rFonts w:hint="eastAsia" w:ascii="Times New Roman" w:hAnsi="Times New Roman"/>
                      <w:color w:val="auto"/>
                      <w:szCs w:val="21"/>
                    </w:rPr>
                    <w:t>生产车间</w:t>
                  </w:r>
                </w:p>
              </w:tc>
              <w:tc>
                <w:tcPr>
                  <w:tcW w:w="456" w:type="pct"/>
                  <w:vMerge w:val="restart"/>
                  <w:tcBorders>
                    <w:tl2br w:val="nil"/>
                    <w:tr2bl w:val="nil"/>
                  </w:tcBorders>
                  <w:vAlign w:val="center"/>
                </w:tcPr>
                <w:p>
                  <w:pPr>
                    <w:spacing w:line="320" w:lineRule="exact"/>
                    <w:jc w:val="center"/>
                    <w:rPr>
                      <w:rFonts w:ascii="Times New Roman" w:hAnsi="Times New Roman"/>
                      <w:color w:val="auto"/>
                      <w:szCs w:val="21"/>
                    </w:rPr>
                  </w:pPr>
                  <w:r>
                    <w:rPr>
                      <w:rFonts w:hint="eastAsia" w:ascii="Times New Roman" w:hAnsi="Times New Roman"/>
                      <w:color w:val="auto"/>
                      <w:szCs w:val="21"/>
                      <w:lang w:val="en-US" w:eastAsia="zh-CN"/>
                    </w:rPr>
                    <w:t>3</w:t>
                  </w:r>
                  <w:r>
                    <w:rPr>
                      <w:rFonts w:hint="eastAsia" w:ascii="Times New Roman" w:hAnsi="Times New Roman"/>
                      <w:color w:val="auto"/>
                      <w:szCs w:val="21"/>
                    </w:rPr>
                    <w:t>0</w:t>
                  </w:r>
                  <w:r>
                    <w:rPr>
                      <w:rFonts w:ascii="Times New Roman" w:hAnsi="Times New Roman"/>
                      <w:color w:val="auto"/>
                      <w:szCs w:val="21"/>
                    </w:rPr>
                    <w:t>m</w:t>
                  </w:r>
                  <w:r>
                    <w:rPr>
                      <w:rFonts w:ascii="Times New Roman" w:hAnsi="Times New Roman"/>
                      <w:color w:val="auto"/>
                      <w:szCs w:val="21"/>
                      <w:vertAlign w:val="superscript"/>
                    </w:rPr>
                    <w:t>2</w:t>
                  </w:r>
                </w:p>
              </w:tc>
              <w:tc>
                <w:tcPr>
                  <w:tcW w:w="391" w:type="pct"/>
                  <w:vMerge w:val="restart"/>
                  <w:tcBorders>
                    <w:tl2br w:val="nil"/>
                    <w:tr2bl w:val="nil"/>
                  </w:tcBorders>
                  <w:vAlign w:val="center"/>
                </w:tcPr>
                <w:p>
                  <w:pPr>
                    <w:spacing w:line="320" w:lineRule="exact"/>
                    <w:jc w:val="center"/>
                    <w:rPr>
                      <w:rFonts w:hint="eastAsia" w:ascii="Times New Roman" w:hAnsi="Times New Roman"/>
                      <w:color w:val="auto"/>
                      <w:szCs w:val="21"/>
                    </w:rPr>
                  </w:pPr>
                  <w:r>
                    <w:rPr>
                      <w:rFonts w:ascii="Times New Roman" w:hAnsi="Times New Roman"/>
                      <w:color w:val="auto"/>
                      <w:szCs w:val="21"/>
                    </w:rPr>
                    <w:t>分区储存</w:t>
                  </w:r>
                </w:p>
              </w:tc>
              <w:tc>
                <w:tcPr>
                  <w:tcW w:w="374" w:type="pct"/>
                  <w:vMerge w:val="restart"/>
                  <w:tcBorders>
                    <w:tl2br w:val="nil"/>
                    <w:tr2bl w:val="nil"/>
                  </w:tcBorders>
                  <w:vAlign w:val="center"/>
                </w:tcPr>
                <w:p>
                  <w:pPr>
                    <w:spacing w:line="320" w:lineRule="exact"/>
                    <w:jc w:val="center"/>
                    <w:rPr>
                      <w:rFonts w:ascii="Times New Roman" w:hAnsi="Times New Roman"/>
                      <w:color w:val="auto"/>
                      <w:szCs w:val="21"/>
                    </w:rPr>
                  </w:pPr>
                  <w:r>
                    <w:rPr>
                      <w:rFonts w:hint="eastAsia" w:ascii="Times New Roman" w:hAnsi="Times New Roman"/>
                      <w:color w:val="auto"/>
                      <w:szCs w:val="21"/>
                    </w:rPr>
                    <w:t>3个月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5" w:type="pct"/>
                  <w:tcBorders>
                    <w:tl2br w:val="nil"/>
                    <w:tr2bl w:val="nil"/>
                  </w:tcBorders>
                  <w:vAlign w:val="center"/>
                </w:tcPr>
                <w:p>
                  <w:pPr>
                    <w:pStyle w:val="33"/>
                    <w:spacing w:before="100" w:beforeAutospacing="1" w:after="100" w:afterAutospacing="1" w:line="320" w:lineRule="exact"/>
                    <w:rPr>
                      <w:rFonts w:ascii="Times New Roman" w:hAnsi="Times New Roman"/>
                      <w:color w:val="auto"/>
                    </w:rPr>
                  </w:pPr>
                  <w:r>
                    <w:rPr>
                      <w:rFonts w:hint="eastAsia" w:ascii="Times New Roman" w:hAnsi="Times New Roman"/>
                      <w:color w:val="auto"/>
                    </w:rPr>
                    <w:t>2</w:t>
                  </w:r>
                </w:p>
              </w:tc>
              <w:tc>
                <w:tcPr>
                  <w:tcW w:w="600" w:type="pct"/>
                  <w:vMerge w:val="continue"/>
                  <w:tcBorders>
                    <w:tl2br w:val="nil"/>
                    <w:tr2bl w:val="nil"/>
                  </w:tcBorders>
                  <w:vAlign w:val="center"/>
                </w:tcPr>
                <w:p>
                  <w:pPr>
                    <w:spacing w:line="320" w:lineRule="exact"/>
                    <w:jc w:val="center"/>
                    <w:rPr>
                      <w:rFonts w:hint="eastAsia" w:ascii="Times New Roman" w:hAnsi="Times New Roman"/>
                      <w:color w:val="auto"/>
                      <w:szCs w:val="21"/>
                    </w:rPr>
                  </w:pPr>
                </w:p>
              </w:tc>
              <w:tc>
                <w:tcPr>
                  <w:tcW w:w="95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废包装桶</w:t>
                  </w:r>
                </w:p>
              </w:tc>
              <w:tc>
                <w:tcPr>
                  <w:tcW w:w="596" w:type="pct"/>
                  <w:tcBorders>
                    <w:tl2br w:val="nil"/>
                    <w:tr2bl w:val="nil"/>
                  </w:tcBorders>
                  <w:vAlign w:val="center"/>
                </w:tcPr>
                <w:p>
                  <w:pPr>
                    <w:pStyle w:val="30"/>
                    <w:jc w:val="center"/>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color w:val="auto"/>
                      <w:szCs w:val="21"/>
                    </w:rPr>
                    <w:t>HW49</w:t>
                  </w:r>
                </w:p>
              </w:tc>
              <w:tc>
                <w:tcPr>
                  <w:tcW w:w="948" w:type="pct"/>
                  <w:tcBorders>
                    <w:tl2br w:val="nil"/>
                    <w:tr2bl w:val="nil"/>
                  </w:tcBorders>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900-041-49</w:t>
                  </w:r>
                </w:p>
              </w:tc>
              <w:tc>
                <w:tcPr>
                  <w:tcW w:w="391" w:type="pct"/>
                  <w:vMerge w:val="continue"/>
                  <w:tcBorders>
                    <w:tl2br w:val="nil"/>
                    <w:tr2bl w:val="nil"/>
                  </w:tcBorders>
                  <w:vAlign w:val="center"/>
                </w:tcPr>
                <w:p>
                  <w:pPr>
                    <w:spacing w:line="320" w:lineRule="exact"/>
                    <w:jc w:val="center"/>
                    <w:rPr>
                      <w:rFonts w:hint="eastAsia" w:ascii="Times New Roman" w:hAnsi="Times New Roman"/>
                      <w:color w:val="auto"/>
                      <w:szCs w:val="21"/>
                    </w:rPr>
                  </w:pPr>
                </w:p>
              </w:tc>
              <w:tc>
                <w:tcPr>
                  <w:tcW w:w="456" w:type="pct"/>
                  <w:vMerge w:val="continue"/>
                  <w:tcBorders>
                    <w:tl2br w:val="nil"/>
                    <w:tr2bl w:val="nil"/>
                  </w:tcBorders>
                  <w:vAlign w:val="center"/>
                </w:tcPr>
                <w:p>
                  <w:pPr>
                    <w:spacing w:line="320" w:lineRule="exact"/>
                    <w:jc w:val="center"/>
                    <w:rPr>
                      <w:rFonts w:ascii="Times New Roman" w:hAnsi="Times New Roman"/>
                      <w:color w:val="auto"/>
                      <w:szCs w:val="21"/>
                    </w:rPr>
                  </w:pPr>
                </w:p>
              </w:tc>
              <w:tc>
                <w:tcPr>
                  <w:tcW w:w="391" w:type="pct"/>
                  <w:vMerge w:val="continue"/>
                  <w:tcBorders>
                    <w:tl2br w:val="nil"/>
                    <w:tr2bl w:val="nil"/>
                  </w:tcBorders>
                  <w:vAlign w:val="center"/>
                </w:tcPr>
                <w:p>
                  <w:pPr>
                    <w:spacing w:line="320" w:lineRule="exact"/>
                    <w:jc w:val="center"/>
                    <w:rPr>
                      <w:rFonts w:ascii="Times New Roman" w:hAnsi="Times New Roman"/>
                      <w:color w:val="auto"/>
                      <w:szCs w:val="21"/>
                    </w:rPr>
                  </w:pPr>
                </w:p>
              </w:tc>
              <w:tc>
                <w:tcPr>
                  <w:tcW w:w="374" w:type="pct"/>
                  <w:vMerge w:val="continue"/>
                  <w:tcBorders>
                    <w:tl2br w:val="nil"/>
                    <w:tr2bl w:val="nil"/>
                  </w:tcBorders>
                  <w:vAlign w:val="center"/>
                </w:tcPr>
                <w:p>
                  <w:pPr>
                    <w:spacing w:line="320" w:lineRule="exact"/>
                    <w:jc w:val="center"/>
                    <w:rPr>
                      <w:rFonts w:ascii="Times New Roman" w:hAnsi="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5" w:type="pct"/>
                  <w:tcBorders>
                    <w:tl2br w:val="nil"/>
                    <w:tr2bl w:val="nil"/>
                  </w:tcBorders>
                  <w:vAlign w:val="center"/>
                </w:tcPr>
                <w:p>
                  <w:pPr>
                    <w:pStyle w:val="33"/>
                    <w:spacing w:before="100" w:beforeAutospacing="1" w:after="100" w:afterAutospacing="1" w:line="320" w:lineRule="exact"/>
                    <w:rPr>
                      <w:rFonts w:ascii="Times New Roman" w:hAnsi="Times New Roman"/>
                      <w:color w:val="auto"/>
                    </w:rPr>
                  </w:pPr>
                  <w:r>
                    <w:rPr>
                      <w:rFonts w:hint="eastAsia" w:ascii="Times New Roman" w:hAnsi="Times New Roman"/>
                      <w:color w:val="auto"/>
                    </w:rPr>
                    <w:t>3</w:t>
                  </w:r>
                </w:p>
              </w:tc>
              <w:tc>
                <w:tcPr>
                  <w:tcW w:w="600" w:type="pct"/>
                  <w:vMerge w:val="continue"/>
                  <w:tcBorders>
                    <w:tl2br w:val="nil"/>
                    <w:tr2bl w:val="nil"/>
                  </w:tcBorders>
                  <w:vAlign w:val="center"/>
                </w:tcPr>
                <w:p>
                  <w:pPr>
                    <w:spacing w:line="320" w:lineRule="exact"/>
                    <w:jc w:val="center"/>
                    <w:rPr>
                      <w:rFonts w:hint="eastAsia" w:ascii="Times New Roman" w:hAnsi="Times New Roman"/>
                      <w:color w:val="auto"/>
                      <w:szCs w:val="21"/>
                    </w:rPr>
                  </w:pPr>
                </w:p>
              </w:tc>
              <w:tc>
                <w:tcPr>
                  <w:tcW w:w="955" w:type="pct"/>
                  <w:tcBorders>
                    <w:tl2br w:val="nil"/>
                    <w:tr2bl w:val="nil"/>
                  </w:tcBorders>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废过滤材料</w:t>
                  </w:r>
                </w:p>
              </w:tc>
              <w:tc>
                <w:tcPr>
                  <w:tcW w:w="596" w:type="pct"/>
                  <w:tcBorders>
                    <w:tl2br w:val="nil"/>
                    <w:tr2bl w:val="nil"/>
                  </w:tcBorders>
                  <w:vAlign w:val="center"/>
                </w:tcPr>
                <w:p>
                  <w:pPr>
                    <w:pStyle w:val="30"/>
                    <w:jc w:val="center"/>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color w:val="auto"/>
                      <w:szCs w:val="21"/>
                    </w:rPr>
                    <w:t>HW49</w:t>
                  </w:r>
                </w:p>
              </w:tc>
              <w:tc>
                <w:tcPr>
                  <w:tcW w:w="948" w:type="pct"/>
                  <w:tcBorders>
                    <w:tl2br w:val="nil"/>
                    <w:tr2bl w:val="nil"/>
                  </w:tcBorders>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900-041-49</w:t>
                  </w:r>
                </w:p>
              </w:tc>
              <w:tc>
                <w:tcPr>
                  <w:tcW w:w="391" w:type="pct"/>
                  <w:vMerge w:val="continue"/>
                  <w:tcBorders>
                    <w:tl2br w:val="nil"/>
                    <w:tr2bl w:val="nil"/>
                  </w:tcBorders>
                  <w:vAlign w:val="center"/>
                </w:tcPr>
                <w:p>
                  <w:pPr>
                    <w:spacing w:line="320" w:lineRule="exact"/>
                    <w:jc w:val="center"/>
                    <w:rPr>
                      <w:rFonts w:hint="eastAsia" w:ascii="Times New Roman" w:hAnsi="Times New Roman"/>
                      <w:color w:val="auto"/>
                      <w:szCs w:val="21"/>
                    </w:rPr>
                  </w:pPr>
                </w:p>
              </w:tc>
              <w:tc>
                <w:tcPr>
                  <w:tcW w:w="456" w:type="pct"/>
                  <w:vMerge w:val="continue"/>
                  <w:tcBorders>
                    <w:tl2br w:val="nil"/>
                    <w:tr2bl w:val="nil"/>
                  </w:tcBorders>
                  <w:vAlign w:val="center"/>
                </w:tcPr>
                <w:p>
                  <w:pPr>
                    <w:spacing w:line="320" w:lineRule="exact"/>
                    <w:jc w:val="center"/>
                    <w:rPr>
                      <w:rFonts w:ascii="Times New Roman" w:hAnsi="Times New Roman"/>
                      <w:color w:val="auto"/>
                      <w:szCs w:val="21"/>
                    </w:rPr>
                  </w:pPr>
                </w:p>
              </w:tc>
              <w:tc>
                <w:tcPr>
                  <w:tcW w:w="391" w:type="pct"/>
                  <w:vMerge w:val="continue"/>
                  <w:tcBorders>
                    <w:tl2br w:val="nil"/>
                    <w:tr2bl w:val="nil"/>
                  </w:tcBorders>
                  <w:vAlign w:val="center"/>
                </w:tcPr>
                <w:p>
                  <w:pPr>
                    <w:spacing w:line="320" w:lineRule="exact"/>
                    <w:jc w:val="center"/>
                    <w:rPr>
                      <w:rFonts w:hint="eastAsia" w:ascii="Times New Roman" w:hAnsi="Times New Roman"/>
                      <w:color w:val="auto"/>
                      <w:szCs w:val="21"/>
                    </w:rPr>
                  </w:pPr>
                </w:p>
              </w:tc>
              <w:tc>
                <w:tcPr>
                  <w:tcW w:w="374" w:type="pct"/>
                  <w:vMerge w:val="continue"/>
                  <w:tcBorders>
                    <w:tl2br w:val="nil"/>
                    <w:tr2bl w:val="nil"/>
                  </w:tcBorders>
                  <w:vAlign w:val="center"/>
                </w:tcPr>
                <w:p>
                  <w:pPr>
                    <w:spacing w:line="320" w:lineRule="exact"/>
                    <w:jc w:val="center"/>
                    <w:rPr>
                      <w:rFonts w:ascii="Times New Roman" w:hAnsi="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tcPr>
                <w:p>
                  <w:pPr>
                    <w:pStyle w:val="33"/>
                    <w:spacing w:before="100" w:beforeAutospacing="1" w:after="100" w:afterAutospacing="1" w:line="320" w:lineRule="exact"/>
                    <w:rPr>
                      <w:rFonts w:hint="eastAsia" w:ascii="Times New Roman" w:hAnsi="Times New Roman" w:eastAsia="宋体"/>
                      <w:color w:val="auto"/>
                      <w:lang w:val="en-US" w:eastAsia="zh-CN"/>
                    </w:rPr>
                  </w:pPr>
                  <w:r>
                    <w:rPr>
                      <w:rFonts w:hint="eastAsia" w:ascii="Times New Roman" w:hAnsi="Times New Roman"/>
                      <w:color w:val="auto"/>
                      <w:lang w:val="en-US" w:eastAsia="zh-CN"/>
                    </w:rPr>
                    <w:t>4</w:t>
                  </w:r>
                </w:p>
              </w:tc>
              <w:tc>
                <w:tcPr>
                  <w:tcW w:w="600" w:type="pct"/>
                  <w:vMerge w:val="continue"/>
                </w:tcPr>
                <w:p>
                  <w:pPr>
                    <w:spacing w:line="320" w:lineRule="exact"/>
                    <w:jc w:val="center"/>
                    <w:rPr>
                      <w:rFonts w:hint="eastAsia" w:ascii="Times New Roman" w:hAnsi="Times New Roman"/>
                      <w:color w:val="auto"/>
                      <w:szCs w:val="21"/>
                    </w:rPr>
                  </w:pP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废活性炭</w:t>
                  </w:r>
                </w:p>
              </w:tc>
              <w:tc>
                <w:tcPr>
                  <w:tcW w:w="0" w:type="auto"/>
                  <w:vAlign w:val="center"/>
                </w:tcPr>
                <w:p>
                  <w:pPr>
                    <w:pStyle w:val="30"/>
                    <w:jc w:val="center"/>
                    <w:rPr>
                      <w:rFonts w:ascii="Times New Roman" w:hAnsi="Times New Roman" w:eastAsia="宋体" w:cs="Times New Roman"/>
                      <w:color w:val="auto"/>
                      <w:spacing w:val="4"/>
                      <w:kern w:val="18"/>
                      <w:sz w:val="21"/>
                      <w:szCs w:val="21"/>
                      <w:lang w:val="en-US" w:eastAsia="zh-CN" w:bidi="ar-SA"/>
                    </w:rPr>
                  </w:pPr>
                  <w:r>
                    <w:rPr>
                      <w:rFonts w:hint="eastAsia" w:ascii="Times New Roman" w:hAnsi="Times New Roman"/>
                      <w:color w:val="auto"/>
                      <w:szCs w:val="21"/>
                    </w:rPr>
                    <w:t>HW49</w:t>
                  </w:r>
                </w:p>
              </w:tc>
              <w:tc>
                <w:tcPr>
                  <w:tcW w:w="0" w:type="auto"/>
                  <w:vAlign w:val="center"/>
                </w:tcPr>
                <w:p>
                  <w:pPr>
                    <w:adjustRightInd w:val="0"/>
                    <w:snapToGrid w:val="0"/>
                    <w:jc w:val="center"/>
                    <w:rPr>
                      <w:rFonts w:hint="default" w:ascii="Times New Roman" w:hAnsi="Times New Roman" w:eastAsia="宋体" w:cs="Times New Roman"/>
                      <w:color w:val="000000"/>
                      <w:spacing w:val="4"/>
                      <w:kern w:val="18"/>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900-039-49</w:t>
                  </w:r>
                </w:p>
              </w:tc>
              <w:tc>
                <w:tcPr>
                  <w:tcW w:w="391" w:type="pct"/>
                  <w:vMerge w:val="continue"/>
                </w:tcPr>
                <w:p>
                  <w:pPr>
                    <w:spacing w:line="320" w:lineRule="exact"/>
                    <w:jc w:val="center"/>
                    <w:rPr>
                      <w:rFonts w:hint="eastAsia" w:ascii="Times New Roman" w:hAnsi="Times New Roman"/>
                      <w:color w:val="auto"/>
                      <w:szCs w:val="21"/>
                    </w:rPr>
                  </w:pPr>
                </w:p>
              </w:tc>
              <w:tc>
                <w:tcPr>
                  <w:tcW w:w="456" w:type="pct"/>
                  <w:vMerge w:val="continue"/>
                </w:tcPr>
                <w:p>
                  <w:pPr>
                    <w:spacing w:line="320" w:lineRule="exact"/>
                    <w:jc w:val="center"/>
                    <w:rPr>
                      <w:rFonts w:ascii="Times New Roman" w:hAnsi="Times New Roman"/>
                      <w:color w:val="auto"/>
                      <w:szCs w:val="21"/>
                    </w:rPr>
                  </w:pPr>
                </w:p>
              </w:tc>
              <w:tc>
                <w:tcPr>
                  <w:tcW w:w="391" w:type="pct"/>
                  <w:vMerge w:val="continue"/>
                </w:tcPr>
                <w:p>
                  <w:pPr>
                    <w:spacing w:line="320" w:lineRule="exact"/>
                    <w:jc w:val="center"/>
                    <w:rPr>
                      <w:rFonts w:hint="eastAsia" w:ascii="Times New Roman" w:hAnsi="Times New Roman"/>
                      <w:color w:val="auto"/>
                      <w:szCs w:val="21"/>
                    </w:rPr>
                  </w:pPr>
                </w:p>
              </w:tc>
              <w:tc>
                <w:tcPr>
                  <w:tcW w:w="374" w:type="pct"/>
                  <w:vMerge w:val="continue"/>
                </w:tcPr>
                <w:p>
                  <w:pPr>
                    <w:spacing w:line="320" w:lineRule="exact"/>
                    <w:jc w:val="center"/>
                    <w:rPr>
                      <w:rFonts w:ascii="Times New Roman" w:hAnsi="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tcPr>
                <w:p>
                  <w:pPr>
                    <w:pStyle w:val="33"/>
                    <w:spacing w:before="100" w:beforeAutospacing="1" w:after="100" w:afterAutospacing="1" w:line="320" w:lineRule="exact"/>
                    <w:rPr>
                      <w:rFonts w:hint="default" w:ascii="Times New Roman" w:hAnsi="Times New Roman"/>
                      <w:color w:val="auto"/>
                      <w:lang w:val="en-US" w:eastAsia="zh-CN"/>
                    </w:rPr>
                  </w:pPr>
                  <w:r>
                    <w:rPr>
                      <w:rFonts w:hint="eastAsia" w:ascii="Times New Roman" w:hAnsi="Times New Roman"/>
                      <w:color w:val="auto"/>
                      <w:lang w:val="en-US" w:eastAsia="zh-CN"/>
                    </w:rPr>
                    <w:t>5</w:t>
                  </w:r>
                </w:p>
              </w:tc>
              <w:tc>
                <w:tcPr>
                  <w:tcW w:w="600" w:type="pct"/>
                  <w:vMerge w:val="continue"/>
                </w:tcPr>
                <w:p>
                  <w:pPr>
                    <w:spacing w:line="320" w:lineRule="exact"/>
                    <w:jc w:val="center"/>
                    <w:rPr>
                      <w:rFonts w:hint="eastAsia" w:ascii="Times New Roman" w:hAnsi="Times New Roman"/>
                      <w:color w:val="auto"/>
                      <w:szCs w:val="21"/>
                    </w:rPr>
                  </w:pP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喷漆清洗废液</w:t>
                  </w:r>
                </w:p>
              </w:tc>
              <w:tc>
                <w:tcPr>
                  <w:tcW w:w="0" w:type="auto"/>
                  <w:vAlign w:val="center"/>
                </w:tcPr>
                <w:p>
                  <w:pPr>
                    <w:pStyle w:val="30"/>
                    <w:jc w:val="center"/>
                    <w:rPr>
                      <w:rFonts w:hint="eastAsia" w:ascii="Times New Roman" w:hAnsi="Times New Roman" w:eastAsia="宋体" w:cs="Times New Roman"/>
                      <w:color w:val="auto"/>
                      <w:spacing w:val="4"/>
                      <w:kern w:val="18"/>
                      <w:sz w:val="21"/>
                      <w:szCs w:val="21"/>
                      <w:lang w:val="en-US" w:eastAsia="zh-CN" w:bidi="ar-SA"/>
                    </w:rPr>
                  </w:pPr>
                  <w:r>
                    <w:rPr>
                      <w:rFonts w:hint="eastAsia" w:ascii="Times New Roman" w:hAnsi="Times New Roman"/>
                      <w:color w:val="auto"/>
                      <w:szCs w:val="21"/>
                    </w:rPr>
                    <w:t>HW</w:t>
                  </w:r>
                  <w:r>
                    <w:rPr>
                      <w:rFonts w:hint="eastAsia" w:ascii="Times New Roman" w:hAnsi="Times New Roman"/>
                      <w:color w:val="auto"/>
                      <w:szCs w:val="21"/>
                      <w:lang w:val="en-US" w:eastAsia="zh-CN"/>
                    </w:rPr>
                    <w:t>12</w:t>
                  </w:r>
                </w:p>
              </w:tc>
              <w:tc>
                <w:tcPr>
                  <w:tcW w:w="0" w:type="auto"/>
                  <w:vAlign w:val="center"/>
                </w:tcPr>
                <w:p>
                  <w:pPr>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900-252-12</w:t>
                  </w:r>
                </w:p>
              </w:tc>
              <w:tc>
                <w:tcPr>
                  <w:tcW w:w="391" w:type="pct"/>
                  <w:vMerge w:val="continue"/>
                </w:tcPr>
                <w:p>
                  <w:pPr>
                    <w:spacing w:line="320" w:lineRule="exact"/>
                    <w:jc w:val="center"/>
                    <w:rPr>
                      <w:rFonts w:hint="eastAsia" w:ascii="Times New Roman" w:hAnsi="Times New Roman"/>
                      <w:color w:val="auto"/>
                      <w:szCs w:val="21"/>
                    </w:rPr>
                  </w:pPr>
                </w:p>
              </w:tc>
              <w:tc>
                <w:tcPr>
                  <w:tcW w:w="456" w:type="pct"/>
                  <w:vMerge w:val="continue"/>
                </w:tcPr>
                <w:p>
                  <w:pPr>
                    <w:spacing w:line="320" w:lineRule="exact"/>
                    <w:jc w:val="center"/>
                    <w:rPr>
                      <w:rFonts w:ascii="Times New Roman" w:hAnsi="Times New Roman"/>
                      <w:color w:val="auto"/>
                      <w:szCs w:val="21"/>
                    </w:rPr>
                  </w:pPr>
                </w:p>
              </w:tc>
              <w:tc>
                <w:tcPr>
                  <w:tcW w:w="391" w:type="pct"/>
                  <w:vMerge w:val="continue"/>
                </w:tcPr>
                <w:p>
                  <w:pPr>
                    <w:spacing w:line="320" w:lineRule="exact"/>
                    <w:jc w:val="center"/>
                    <w:rPr>
                      <w:rFonts w:hint="eastAsia" w:ascii="Times New Roman" w:hAnsi="Times New Roman"/>
                      <w:color w:val="auto"/>
                      <w:szCs w:val="21"/>
                    </w:rPr>
                  </w:pPr>
                </w:p>
              </w:tc>
              <w:tc>
                <w:tcPr>
                  <w:tcW w:w="374" w:type="pct"/>
                  <w:vMerge w:val="continue"/>
                </w:tcPr>
                <w:p>
                  <w:pPr>
                    <w:spacing w:line="320" w:lineRule="exact"/>
                    <w:jc w:val="center"/>
                    <w:rPr>
                      <w:rFonts w:ascii="Times New Roman" w:hAnsi="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tcPr>
                <w:p>
                  <w:pPr>
                    <w:pStyle w:val="33"/>
                    <w:spacing w:before="100" w:beforeAutospacing="1" w:after="100" w:afterAutospacing="1" w:line="320" w:lineRule="exact"/>
                    <w:rPr>
                      <w:rFonts w:hint="default" w:ascii="Times New Roman" w:hAnsi="Times New Roman"/>
                      <w:color w:val="auto"/>
                      <w:lang w:val="en-US" w:eastAsia="zh-CN"/>
                    </w:rPr>
                  </w:pPr>
                  <w:r>
                    <w:rPr>
                      <w:rFonts w:hint="eastAsia" w:ascii="Times New Roman" w:hAnsi="Times New Roman"/>
                      <w:color w:val="auto"/>
                      <w:lang w:val="en-US" w:eastAsia="zh-CN"/>
                    </w:rPr>
                    <w:t>6</w:t>
                  </w:r>
                </w:p>
              </w:tc>
              <w:tc>
                <w:tcPr>
                  <w:tcW w:w="600" w:type="pct"/>
                  <w:vMerge w:val="continue"/>
                </w:tcPr>
                <w:p>
                  <w:pPr>
                    <w:spacing w:line="320" w:lineRule="exact"/>
                    <w:jc w:val="center"/>
                    <w:rPr>
                      <w:rFonts w:hint="eastAsia" w:ascii="Times New Roman" w:hAnsi="Times New Roman"/>
                      <w:color w:val="auto"/>
                      <w:szCs w:val="21"/>
                    </w:rPr>
                  </w:pP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废切削液</w:t>
                  </w:r>
                </w:p>
              </w:tc>
              <w:tc>
                <w:tcPr>
                  <w:tcW w:w="0" w:type="auto"/>
                  <w:vAlign w:val="center"/>
                </w:tcPr>
                <w:p>
                  <w:pPr>
                    <w:pStyle w:val="33"/>
                    <w:spacing w:line="320" w:lineRule="exact"/>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HW09</w:t>
                  </w:r>
                </w:p>
              </w:tc>
              <w:tc>
                <w:tcPr>
                  <w:tcW w:w="0" w:type="auto"/>
                  <w:vAlign w:val="center"/>
                </w:tcPr>
                <w:p>
                  <w:pPr>
                    <w:pStyle w:val="33"/>
                    <w:spacing w:line="320" w:lineRule="exact"/>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900-006-09</w:t>
                  </w:r>
                </w:p>
              </w:tc>
              <w:tc>
                <w:tcPr>
                  <w:tcW w:w="391" w:type="pct"/>
                  <w:vMerge w:val="continue"/>
                </w:tcPr>
                <w:p>
                  <w:pPr>
                    <w:spacing w:line="320" w:lineRule="exact"/>
                    <w:jc w:val="center"/>
                    <w:rPr>
                      <w:rFonts w:hint="eastAsia" w:ascii="Times New Roman" w:hAnsi="Times New Roman"/>
                      <w:color w:val="auto"/>
                      <w:szCs w:val="21"/>
                    </w:rPr>
                  </w:pPr>
                </w:p>
              </w:tc>
              <w:tc>
                <w:tcPr>
                  <w:tcW w:w="456" w:type="pct"/>
                  <w:vMerge w:val="continue"/>
                </w:tcPr>
                <w:p>
                  <w:pPr>
                    <w:spacing w:line="320" w:lineRule="exact"/>
                    <w:jc w:val="center"/>
                    <w:rPr>
                      <w:rFonts w:ascii="Times New Roman" w:hAnsi="Times New Roman"/>
                      <w:color w:val="auto"/>
                      <w:szCs w:val="21"/>
                    </w:rPr>
                  </w:pPr>
                </w:p>
              </w:tc>
              <w:tc>
                <w:tcPr>
                  <w:tcW w:w="391" w:type="pct"/>
                  <w:vMerge w:val="continue"/>
                </w:tcPr>
                <w:p>
                  <w:pPr>
                    <w:spacing w:line="320" w:lineRule="exact"/>
                    <w:jc w:val="center"/>
                    <w:rPr>
                      <w:rFonts w:hint="eastAsia" w:ascii="Times New Roman" w:hAnsi="Times New Roman"/>
                      <w:color w:val="auto"/>
                      <w:szCs w:val="21"/>
                    </w:rPr>
                  </w:pPr>
                </w:p>
              </w:tc>
              <w:tc>
                <w:tcPr>
                  <w:tcW w:w="374" w:type="pct"/>
                  <w:vMerge w:val="continue"/>
                </w:tcPr>
                <w:p>
                  <w:pPr>
                    <w:spacing w:line="320" w:lineRule="exact"/>
                    <w:jc w:val="center"/>
                    <w:rPr>
                      <w:rFonts w:ascii="Times New Roman" w:hAnsi="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tcPr>
                <w:p>
                  <w:pPr>
                    <w:pStyle w:val="33"/>
                    <w:spacing w:before="100" w:beforeAutospacing="1" w:after="100" w:afterAutospacing="1" w:line="320" w:lineRule="exact"/>
                    <w:rPr>
                      <w:rFonts w:hint="default" w:ascii="Times New Roman" w:hAnsi="Times New Roman"/>
                      <w:color w:val="auto"/>
                      <w:lang w:val="en-US" w:eastAsia="zh-CN"/>
                    </w:rPr>
                  </w:pPr>
                  <w:r>
                    <w:rPr>
                      <w:rFonts w:hint="eastAsia" w:ascii="Times New Roman" w:hAnsi="Times New Roman"/>
                      <w:color w:val="auto"/>
                      <w:lang w:val="en-US" w:eastAsia="zh-CN"/>
                    </w:rPr>
                    <w:t>7</w:t>
                  </w:r>
                </w:p>
              </w:tc>
              <w:tc>
                <w:tcPr>
                  <w:tcW w:w="600" w:type="pct"/>
                  <w:vMerge w:val="continue"/>
                </w:tcPr>
                <w:p>
                  <w:pPr>
                    <w:spacing w:line="320" w:lineRule="exact"/>
                    <w:jc w:val="center"/>
                    <w:rPr>
                      <w:rFonts w:hint="eastAsia" w:ascii="Times New Roman" w:hAnsi="Times New Roman"/>
                      <w:color w:val="auto"/>
                      <w:szCs w:val="21"/>
                    </w:rPr>
                  </w:pPr>
                </w:p>
              </w:tc>
              <w:tc>
                <w:tcPr>
                  <w:tcW w:w="0" w:type="auto"/>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废润滑油</w:t>
                  </w:r>
                </w:p>
              </w:tc>
              <w:tc>
                <w:tcPr>
                  <w:tcW w:w="0" w:type="auto"/>
                  <w:vAlign w:val="center"/>
                </w:tcPr>
                <w:p>
                  <w:pPr>
                    <w:pStyle w:val="30"/>
                    <w:jc w:val="center"/>
                    <w:rPr>
                      <w:rFonts w:hint="default" w:ascii="Times New Roman" w:hAnsi="Times New Roman"/>
                      <w:color w:val="auto"/>
                      <w:szCs w:val="21"/>
                      <w:lang w:val="en-US"/>
                    </w:rPr>
                  </w:pPr>
                  <w:r>
                    <w:rPr>
                      <w:rFonts w:hint="eastAsia" w:ascii="Times New Roman" w:hAnsi="Times New Roman" w:eastAsia="宋体" w:cs="Times New Roman"/>
                      <w:color w:val="000000"/>
                      <w:kern w:val="0"/>
                      <w:sz w:val="21"/>
                      <w:szCs w:val="21"/>
                      <w:lang w:val="en-US" w:eastAsia="zh-CN" w:bidi="ar-SA"/>
                    </w:rPr>
                    <w:t>HW08</w:t>
                  </w:r>
                </w:p>
              </w:tc>
              <w:tc>
                <w:tcPr>
                  <w:tcW w:w="0" w:type="auto"/>
                  <w:vAlign w:val="center"/>
                </w:tcPr>
                <w:p>
                  <w:pPr>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i w:val="0"/>
                      <w:color w:val="auto"/>
                      <w:sz w:val="21"/>
                      <w:szCs w:val="21"/>
                      <w:u w:val="none"/>
                      <w:lang w:val="en-US" w:eastAsia="zh-CN"/>
                    </w:rPr>
                    <w:t>9</w:t>
                  </w:r>
                  <w:r>
                    <w:rPr>
                      <w:rFonts w:hint="default" w:ascii="Times New Roman" w:hAnsi="Times New Roman" w:eastAsia="宋体" w:cs="Times New Roman"/>
                      <w:i w:val="0"/>
                      <w:color w:val="auto"/>
                      <w:sz w:val="21"/>
                      <w:szCs w:val="21"/>
                      <w:u w:val="none"/>
                      <w:lang w:val="en-US" w:eastAsia="zh-CN"/>
                    </w:rPr>
                    <w:t>00-2</w:t>
                  </w:r>
                  <w:r>
                    <w:rPr>
                      <w:rFonts w:hint="eastAsia" w:ascii="Times New Roman" w:hAnsi="Times New Roman" w:eastAsia="宋体" w:cs="Times New Roman"/>
                      <w:i w:val="0"/>
                      <w:color w:val="auto"/>
                      <w:sz w:val="21"/>
                      <w:szCs w:val="21"/>
                      <w:u w:val="none"/>
                      <w:lang w:val="en-US" w:eastAsia="zh-CN"/>
                    </w:rPr>
                    <w:t>49-08</w:t>
                  </w:r>
                </w:p>
              </w:tc>
              <w:tc>
                <w:tcPr>
                  <w:tcW w:w="391" w:type="pct"/>
                  <w:vMerge w:val="continue"/>
                </w:tcPr>
                <w:p>
                  <w:pPr>
                    <w:spacing w:line="320" w:lineRule="exact"/>
                    <w:jc w:val="center"/>
                    <w:rPr>
                      <w:rFonts w:hint="eastAsia" w:ascii="Times New Roman" w:hAnsi="Times New Roman"/>
                      <w:color w:val="auto"/>
                      <w:szCs w:val="21"/>
                    </w:rPr>
                  </w:pPr>
                </w:p>
              </w:tc>
              <w:tc>
                <w:tcPr>
                  <w:tcW w:w="456" w:type="pct"/>
                  <w:vMerge w:val="continue"/>
                </w:tcPr>
                <w:p>
                  <w:pPr>
                    <w:spacing w:line="320" w:lineRule="exact"/>
                    <w:jc w:val="center"/>
                    <w:rPr>
                      <w:rFonts w:ascii="Times New Roman" w:hAnsi="Times New Roman"/>
                      <w:color w:val="auto"/>
                      <w:szCs w:val="21"/>
                    </w:rPr>
                  </w:pPr>
                </w:p>
              </w:tc>
              <w:tc>
                <w:tcPr>
                  <w:tcW w:w="391" w:type="pct"/>
                  <w:vMerge w:val="continue"/>
                </w:tcPr>
                <w:p>
                  <w:pPr>
                    <w:spacing w:line="320" w:lineRule="exact"/>
                    <w:jc w:val="center"/>
                    <w:rPr>
                      <w:rFonts w:hint="eastAsia" w:ascii="Times New Roman" w:hAnsi="Times New Roman"/>
                      <w:color w:val="auto"/>
                      <w:szCs w:val="21"/>
                    </w:rPr>
                  </w:pPr>
                </w:p>
              </w:tc>
              <w:tc>
                <w:tcPr>
                  <w:tcW w:w="374" w:type="pct"/>
                  <w:vMerge w:val="continue"/>
                </w:tcPr>
                <w:p>
                  <w:pPr>
                    <w:spacing w:line="320" w:lineRule="exact"/>
                    <w:jc w:val="center"/>
                    <w:rPr>
                      <w:rFonts w:ascii="Times New Roman" w:hAnsi="Times New Roman"/>
                      <w:color w:val="auto"/>
                      <w:szCs w:val="21"/>
                    </w:rPr>
                  </w:pPr>
                </w:p>
              </w:tc>
            </w:tr>
          </w:tbl>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本项目危险废物贮存场所应满足如下要求：</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I、贮存物质相容性要求：在常温常压下不水解、不挥发的固体危险废物可在贮存场所内分别堆放，除此之外的其他危险废物必须存放于容器中，存放用容器也需符合(</w:t>
            </w:r>
            <w:r>
              <w:rPr>
                <w:rFonts w:ascii="Times New Roman" w:hAnsi="Times New Roman"/>
                <w:color w:val="auto"/>
                <w:sz w:val="24"/>
              </w:rPr>
              <w:t>GB18597-2023</w:t>
            </w:r>
            <w:r>
              <w:rPr>
                <w:rFonts w:hint="eastAsia" w:ascii="Times New Roman" w:hAnsi="Times New Roman"/>
                <w:bCs/>
                <w:color w:val="auto"/>
                <w:sz w:val="24"/>
              </w:rPr>
              <w:t>)标准的相关规定；禁止将不相容(相互反应)的危险废物在同一容器中存放；无法装入常用容器的危险废物可用防漏胶袋等盛装。</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II、包装容器要求：危险废物贮存容器应当使用符合标准的容器盛装危险废物，装载危险废物的容器及材质要满足相应的强度要求，完好无损，盛装危险废物的容器材质和衬里要与危险废物相容。</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III、危险废物贮存场所要求：建设项目危废仓库拟按照</w:t>
            </w:r>
            <w:r>
              <w:rPr>
                <w:rFonts w:ascii="Times New Roman" w:hAnsi="Times New Roman"/>
                <w:color w:val="auto"/>
                <w:sz w:val="24"/>
              </w:rPr>
              <w:t>《危险废物贮存污染控制标准》（GB18597-2023）</w:t>
            </w:r>
            <w:r>
              <w:rPr>
                <w:rFonts w:hint="eastAsia" w:ascii="Times New Roman" w:hAnsi="Times New Roman"/>
                <w:bCs/>
                <w:color w:val="auto"/>
                <w:sz w:val="24"/>
              </w:rPr>
              <w:t>的相关要求建设：地面设置防渗层，配备通讯设备、照明设施、安全防护服装及工具，并设有应急防护设施；在危险废物仓库出入口、设施内部、危险废物运输车辆通道等关键位置按照危险废物贮存设施视频监控布设要求设置视频监控，并与中控室联网。对危险废物的容器和包装物以及收集、贮存、运输、处置危险废物的设施、场所，拟设置危险废物识别标志。</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危废贮存过程必须分类存放、贮存，并必须要做到防雨、防渗、防漏、防扬散、防流失及其他防止污染环境的措施，不得随意露天堆放，地面进行耐腐蚀硬化处理，地基须防渗，地面表面无裂缝；不相容的危险废物需分类存放，并设置隔离间隔断；具备警示标识等方面内容。</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IV、危险废物暂存管理要求：危废暂存间设立危险废物进出入台账登记管理制度，记录每次运送流程和处置去向，严格执行危险废物电子联单制度，试行对危险废物从源头到终端处理的全过程监管，确保危险废物 100%得到安全处置。</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根据《环境保护图形标志－固体废物贮存(处置)场》(GB15562.2-1995)及《危险废物识别标志设置技术规范》（HJ 1276-2022）设置环境保护图形标志。</w:t>
            </w:r>
          </w:p>
          <w:p>
            <w:pPr>
              <w:adjustRightInd w:val="0"/>
              <w:snapToGrid w:val="0"/>
              <w:spacing w:line="360" w:lineRule="auto"/>
              <w:ind w:firstLine="480" w:firstLineChars="200"/>
              <w:rPr>
                <w:rFonts w:ascii="Times New Roman" w:hAnsi="Times New Roman"/>
                <w:b/>
                <w:bCs/>
                <w:color w:val="auto"/>
                <w:sz w:val="24"/>
              </w:rPr>
            </w:pPr>
            <w:r>
              <w:rPr>
                <w:rFonts w:hint="eastAsia" w:ascii="Times New Roman" w:hAnsi="Times New Roman"/>
                <w:bCs/>
                <w:color w:val="auto"/>
                <w:sz w:val="24"/>
              </w:rPr>
              <w:t>根据江苏省危险废物全生命周期监控系统要求，危废会生成唯一二维码，二维码需及时张贴在每一个包装固废上。</w:t>
            </w:r>
          </w:p>
          <w:p>
            <w:pPr>
              <w:pStyle w:val="31"/>
              <w:rPr>
                <w:rFonts w:ascii="Times New Roman" w:hAnsi="Times New Roman"/>
                <w:color w:val="auto"/>
                <w:szCs w:val="21"/>
              </w:rPr>
            </w:pPr>
            <w:r>
              <w:rPr>
                <w:rFonts w:hint="eastAsia" w:ascii="Times New Roman" w:hAnsi="Times New Roman"/>
                <w:b/>
                <w:bCs/>
                <w:color w:val="auto"/>
                <w:szCs w:val="21"/>
              </w:rPr>
              <w:t>表4-</w:t>
            </w:r>
            <w:r>
              <w:rPr>
                <w:rFonts w:hint="eastAsia" w:ascii="Times New Roman" w:hAnsi="Times New Roman"/>
                <w:b/>
                <w:bCs/>
                <w:color w:val="auto"/>
                <w:szCs w:val="21"/>
                <w:lang w:val="en-US" w:eastAsia="zh-CN"/>
              </w:rPr>
              <w:t>3</w:t>
            </w:r>
            <w:r>
              <w:rPr>
                <w:rFonts w:hint="eastAsia"/>
                <w:b/>
                <w:bCs/>
                <w:color w:val="auto"/>
                <w:szCs w:val="21"/>
                <w:lang w:val="en-US" w:eastAsia="zh-CN"/>
              </w:rPr>
              <w:t>4</w:t>
            </w:r>
            <w:r>
              <w:rPr>
                <w:rFonts w:hint="eastAsia" w:ascii="Times New Roman" w:hAnsi="Times New Roman"/>
                <w:color w:val="auto"/>
                <w:szCs w:val="21"/>
                <w:lang w:val="en-US"/>
              </w:rPr>
              <w:t xml:space="preserve"> </w:t>
            </w:r>
            <w:r>
              <w:rPr>
                <w:rFonts w:ascii="Times New Roman" w:hAnsi="Times New Roman"/>
                <w:b/>
                <w:bCs/>
                <w:color w:val="auto"/>
                <w:szCs w:val="21"/>
              </w:rPr>
              <w:t>固废堆场的环境保护图形标志一览表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48"/>
              <w:gridCol w:w="958"/>
              <w:gridCol w:w="1041"/>
              <w:gridCol w:w="3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28" w:type="pct"/>
                  <w:tcBorders>
                    <w:tl2br w:val="nil"/>
                    <w:tr2bl w:val="nil"/>
                  </w:tcBorders>
                  <w:vAlign w:val="center"/>
                </w:tcPr>
                <w:p>
                  <w:pPr>
                    <w:topLinePunct/>
                    <w:adjustRightInd w:val="0"/>
                    <w:snapToGrid w:val="0"/>
                    <w:jc w:val="center"/>
                    <w:rPr>
                      <w:rFonts w:ascii="Times New Roman" w:hAnsi="Times New Roman"/>
                      <w:b/>
                      <w:bCs/>
                      <w:color w:val="auto"/>
                      <w:szCs w:val="21"/>
                    </w:rPr>
                  </w:pPr>
                  <w:r>
                    <w:rPr>
                      <w:rFonts w:ascii="Times New Roman" w:hAnsi="Times New Roman"/>
                      <w:b/>
                      <w:bCs/>
                      <w:color w:val="auto"/>
                      <w:szCs w:val="21"/>
                    </w:rPr>
                    <w:t>排放口名称</w:t>
                  </w:r>
                </w:p>
              </w:tc>
              <w:tc>
                <w:tcPr>
                  <w:tcW w:w="754" w:type="pct"/>
                  <w:tcBorders>
                    <w:tl2br w:val="nil"/>
                    <w:tr2bl w:val="nil"/>
                  </w:tcBorders>
                  <w:vAlign w:val="center"/>
                </w:tcPr>
                <w:p>
                  <w:pPr>
                    <w:topLinePunct/>
                    <w:adjustRightInd w:val="0"/>
                    <w:snapToGrid w:val="0"/>
                    <w:jc w:val="center"/>
                    <w:rPr>
                      <w:rFonts w:ascii="Times New Roman" w:hAnsi="Times New Roman"/>
                      <w:b/>
                      <w:bCs/>
                      <w:color w:val="auto"/>
                      <w:szCs w:val="21"/>
                    </w:rPr>
                  </w:pPr>
                  <w:r>
                    <w:rPr>
                      <w:rFonts w:ascii="Times New Roman" w:hAnsi="Times New Roman"/>
                      <w:b/>
                      <w:bCs/>
                      <w:color w:val="auto"/>
                      <w:szCs w:val="21"/>
                    </w:rPr>
                    <w:t>图形标志</w:t>
                  </w:r>
                </w:p>
              </w:tc>
              <w:tc>
                <w:tcPr>
                  <w:tcW w:w="579" w:type="pct"/>
                  <w:tcBorders>
                    <w:tl2br w:val="nil"/>
                    <w:tr2bl w:val="nil"/>
                  </w:tcBorders>
                  <w:vAlign w:val="center"/>
                </w:tcPr>
                <w:p>
                  <w:pPr>
                    <w:topLinePunct/>
                    <w:adjustRightInd w:val="0"/>
                    <w:snapToGrid w:val="0"/>
                    <w:jc w:val="center"/>
                    <w:rPr>
                      <w:rFonts w:ascii="Times New Roman" w:hAnsi="Times New Roman"/>
                      <w:b/>
                      <w:bCs/>
                      <w:color w:val="auto"/>
                      <w:szCs w:val="21"/>
                    </w:rPr>
                  </w:pPr>
                  <w:r>
                    <w:rPr>
                      <w:rFonts w:ascii="Times New Roman" w:hAnsi="Times New Roman"/>
                      <w:b/>
                      <w:bCs/>
                      <w:color w:val="auto"/>
                      <w:szCs w:val="21"/>
                    </w:rPr>
                    <w:t>背景颜色</w:t>
                  </w:r>
                </w:p>
              </w:tc>
              <w:tc>
                <w:tcPr>
                  <w:tcW w:w="629" w:type="pct"/>
                  <w:tcBorders>
                    <w:tl2br w:val="nil"/>
                    <w:tr2bl w:val="nil"/>
                  </w:tcBorders>
                  <w:vAlign w:val="center"/>
                </w:tcPr>
                <w:p>
                  <w:pPr>
                    <w:topLinePunct/>
                    <w:adjustRightInd w:val="0"/>
                    <w:snapToGrid w:val="0"/>
                    <w:jc w:val="center"/>
                    <w:rPr>
                      <w:rFonts w:ascii="Times New Roman" w:hAnsi="Times New Roman"/>
                      <w:b/>
                      <w:bCs/>
                      <w:color w:val="auto"/>
                      <w:szCs w:val="21"/>
                    </w:rPr>
                  </w:pPr>
                  <w:r>
                    <w:rPr>
                      <w:rFonts w:ascii="Times New Roman" w:hAnsi="Times New Roman"/>
                      <w:b/>
                      <w:bCs/>
                      <w:color w:val="auto"/>
                      <w:szCs w:val="21"/>
                    </w:rPr>
                    <w:t>图形颜色</w:t>
                  </w:r>
                </w:p>
              </w:tc>
              <w:tc>
                <w:tcPr>
                  <w:tcW w:w="2308" w:type="pct"/>
                  <w:tcBorders>
                    <w:tl2br w:val="nil"/>
                    <w:tr2bl w:val="nil"/>
                  </w:tcBorders>
                  <w:vAlign w:val="center"/>
                </w:tcPr>
                <w:p>
                  <w:pPr>
                    <w:topLinePunct/>
                    <w:adjustRightInd w:val="0"/>
                    <w:snapToGrid w:val="0"/>
                    <w:jc w:val="center"/>
                    <w:rPr>
                      <w:rFonts w:ascii="Times New Roman" w:hAnsi="Times New Roman"/>
                      <w:b/>
                      <w:bCs/>
                      <w:color w:val="auto"/>
                      <w:szCs w:val="21"/>
                    </w:rPr>
                  </w:pPr>
                  <w:r>
                    <w:rPr>
                      <w:rFonts w:ascii="Times New Roman" w:hAnsi="Times New Roman"/>
                      <w:b/>
                      <w:bCs/>
                      <w:color w:val="auto"/>
                      <w:szCs w:val="21"/>
                    </w:rPr>
                    <w:t>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2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一般固废暂存场所</w:t>
                  </w:r>
                </w:p>
              </w:tc>
              <w:tc>
                <w:tcPr>
                  <w:tcW w:w="754"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提示标志</w:t>
                  </w:r>
                </w:p>
              </w:tc>
              <w:tc>
                <w:tcPr>
                  <w:tcW w:w="57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绿色</w:t>
                  </w:r>
                </w:p>
              </w:tc>
              <w:tc>
                <w:tcPr>
                  <w:tcW w:w="62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白色</w:t>
                  </w:r>
                </w:p>
              </w:tc>
              <w:tc>
                <w:tcPr>
                  <w:tcW w:w="230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drawing>
                      <wp:inline distT="0" distB="0" distL="114300" distR="114300">
                        <wp:extent cx="1917700" cy="1197610"/>
                        <wp:effectExtent l="0" t="0" r="2540" b="635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5"/>
                                <a:stretch>
                                  <a:fillRect/>
                                </a:stretch>
                              </pic:blipFill>
                              <pic:spPr>
                                <a:xfrm>
                                  <a:off x="0" y="0"/>
                                  <a:ext cx="1917700" cy="119761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2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厂区门口</w:t>
                  </w:r>
                </w:p>
              </w:tc>
              <w:tc>
                <w:tcPr>
                  <w:tcW w:w="754"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提示标志</w:t>
                  </w:r>
                </w:p>
              </w:tc>
              <w:tc>
                <w:tcPr>
                  <w:tcW w:w="57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蓝色</w:t>
                  </w:r>
                </w:p>
              </w:tc>
              <w:tc>
                <w:tcPr>
                  <w:tcW w:w="62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白色</w:t>
                  </w:r>
                </w:p>
              </w:tc>
              <w:tc>
                <w:tcPr>
                  <w:tcW w:w="230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drawing>
                      <wp:inline distT="0" distB="0" distL="114300" distR="114300">
                        <wp:extent cx="1897380" cy="1270635"/>
                        <wp:effectExtent l="0" t="0" r="7620" b="952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6"/>
                                <a:stretch>
                                  <a:fillRect/>
                                </a:stretch>
                              </pic:blipFill>
                              <pic:spPr>
                                <a:xfrm>
                                  <a:off x="0" y="0"/>
                                  <a:ext cx="1897380" cy="127063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6" w:hRule="atLeast"/>
                <w:jc w:val="center"/>
              </w:trPr>
              <w:tc>
                <w:tcPr>
                  <w:tcW w:w="728" w:type="pct"/>
                  <w:vMerge w:val="restar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危险废物暂存场所</w:t>
                  </w:r>
                </w:p>
              </w:tc>
              <w:tc>
                <w:tcPr>
                  <w:tcW w:w="754"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警示标志</w:t>
                  </w:r>
                </w:p>
              </w:tc>
              <w:tc>
                <w:tcPr>
                  <w:tcW w:w="57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黄色</w:t>
                  </w:r>
                </w:p>
              </w:tc>
              <w:tc>
                <w:tcPr>
                  <w:tcW w:w="62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黑色</w:t>
                  </w:r>
                </w:p>
              </w:tc>
              <w:tc>
                <w:tcPr>
                  <w:tcW w:w="230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rPr>
                    <w:drawing>
                      <wp:inline distT="0" distB="0" distL="114300" distR="114300">
                        <wp:extent cx="2058035" cy="1744345"/>
                        <wp:effectExtent l="0" t="0" r="14605" b="825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7"/>
                                <a:stretch>
                                  <a:fillRect/>
                                </a:stretch>
                              </pic:blipFill>
                              <pic:spPr>
                                <a:xfrm>
                                  <a:off x="0" y="0"/>
                                  <a:ext cx="2058035" cy="1744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8" w:type="pct"/>
                  <w:vMerge w:val="continue"/>
                  <w:tcBorders>
                    <w:tl2br w:val="nil"/>
                    <w:tr2bl w:val="nil"/>
                  </w:tcBorders>
                  <w:vAlign w:val="center"/>
                </w:tcPr>
                <w:p>
                  <w:pPr>
                    <w:rPr>
                      <w:rFonts w:ascii="Times New Roman" w:hAnsi="Times New Roman"/>
                      <w:color w:val="auto"/>
                      <w:szCs w:val="21"/>
                    </w:rPr>
                  </w:pPr>
                </w:p>
              </w:tc>
              <w:tc>
                <w:tcPr>
                  <w:tcW w:w="754"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贮存设施内部分区域警示标志牌</w:t>
                  </w:r>
                </w:p>
              </w:tc>
              <w:tc>
                <w:tcPr>
                  <w:tcW w:w="57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黄色</w:t>
                  </w:r>
                </w:p>
              </w:tc>
              <w:tc>
                <w:tcPr>
                  <w:tcW w:w="62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黑色</w:t>
                  </w:r>
                </w:p>
              </w:tc>
              <w:tc>
                <w:tcPr>
                  <w:tcW w:w="230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rPr>
                    <w:drawing>
                      <wp:inline distT="0" distB="0" distL="114300" distR="114300">
                        <wp:extent cx="2105025" cy="1293495"/>
                        <wp:effectExtent l="0" t="0" r="13335" b="190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28"/>
                                <a:stretch>
                                  <a:fillRect/>
                                </a:stretch>
                              </pic:blipFill>
                              <pic:spPr>
                                <a:xfrm>
                                  <a:off x="0" y="0"/>
                                  <a:ext cx="2105025" cy="129349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728" w:type="pct"/>
                  <w:vMerge w:val="continue"/>
                  <w:tcBorders>
                    <w:tl2br w:val="nil"/>
                    <w:tr2bl w:val="nil"/>
                  </w:tcBorders>
                  <w:vAlign w:val="center"/>
                </w:tcPr>
                <w:p>
                  <w:pPr>
                    <w:rPr>
                      <w:rFonts w:ascii="Times New Roman" w:hAnsi="Times New Roman"/>
                      <w:color w:val="auto"/>
                      <w:szCs w:val="21"/>
                    </w:rPr>
                  </w:pPr>
                </w:p>
              </w:tc>
              <w:tc>
                <w:tcPr>
                  <w:tcW w:w="754"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包装识别标签</w:t>
                  </w:r>
                </w:p>
              </w:tc>
              <w:tc>
                <w:tcPr>
                  <w:tcW w:w="57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桔黄色</w:t>
                  </w:r>
                </w:p>
              </w:tc>
              <w:tc>
                <w:tcPr>
                  <w:tcW w:w="629"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szCs w:val="21"/>
                    </w:rPr>
                    <w:t>黑色</w:t>
                  </w:r>
                </w:p>
              </w:tc>
              <w:tc>
                <w:tcPr>
                  <w:tcW w:w="2308" w:type="pct"/>
                  <w:tcBorders>
                    <w:tl2br w:val="nil"/>
                    <w:tr2bl w:val="nil"/>
                  </w:tcBorders>
                  <w:vAlign w:val="center"/>
                </w:tcPr>
                <w:p>
                  <w:pPr>
                    <w:topLinePunct/>
                    <w:adjustRightInd w:val="0"/>
                    <w:snapToGrid w:val="0"/>
                    <w:jc w:val="center"/>
                    <w:rPr>
                      <w:rFonts w:ascii="Times New Roman" w:hAnsi="Times New Roman"/>
                      <w:color w:val="auto"/>
                      <w:szCs w:val="21"/>
                    </w:rPr>
                  </w:pPr>
                  <w:r>
                    <w:rPr>
                      <w:rFonts w:ascii="Times New Roman" w:hAnsi="Times New Roman"/>
                      <w:color w:val="auto"/>
                    </w:rPr>
                    <w:drawing>
                      <wp:inline distT="0" distB="0" distL="114300" distR="114300">
                        <wp:extent cx="2120900" cy="2120900"/>
                        <wp:effectExtent l="0" t="0" r="12700" b="1270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9"/>
                                <a:stretch>
                                  <a:fillRect/>
                                </a:stretch>
                              </pic:blipFill>
                              <pic:spPr>
                                <a:xfrm>
                                  <a:off x="0" y="0"/>
                                  <a:ext cx="2120900" cy="2120900"/>
                                </a:xfrm>
                                <a:prstGeom prst="rect">
                                  <a:avLst/>
                                </a:prstGeom>
                                <a:noFill/>
                                <a:ln>
                                  <a:noFill/>
                                </a:ln>
                              </pic:spPr>
                            </pic:pic>
                          </a:graphicData>
                        </a:graphic>
                      </wp:inline>
                    </w:drawing>
                  </w:r>
                </w:p>
              </w:tc>
            </w:tr>
          </w:tbl>
          <w:p>
            <w:pPr>
              <w:pStyle w:val="16"/>
              <w:adjustRightInd w:val="0"/>
              <w:snapToGrid w:val="0"/>
              <w:spacing w:before="0" w:beforeAutospacing="0" w:after="0" w:afterAutospacing="0" w:line="360" w:lineRule="auto"/>
              <w:ind w:firstLine="480"/>
              <w:jc w:val="both"/>
              <w:rPr>
                <w:rFonts w:ascii="Times New Roman" w:hAnsi="Times New Roman"/>
                <w:b/>
                <w:color w:val="auto"/>
                <w:szCs w:val="24"/>
              </w:rPr>
            </w:pPr>
            <w:r>
              <w:rPr>
                <w:rFonts w:ascii="Times New Roman" w:hAnsi="Times New Roman"/>
                <w:b/>
                <w:color w:val="auto"/>
                <w:szCs w:val="24"/>
              </w:rPr>
              <w:t>本项目与苏环办【20</w:t>
            </w:r>
            <w:r>
              <w:rPr>
                <w:rFonts w:hint="eastAsia" w:ascii="Times New Roman" w:hAnsi="Times New Roman"/>
                <w:b/>
                <w:color w:val="auto"/>
                <w:szCs w:val="24"/>
              </w:rPr>
              <w:t>24</w:t>
            </w:r>
            <w:r>
              <w:rPr>
                <w:rFonts w:ascii="Times New Roman" w:hAnsi="Times New Roman"/>
                <w:b/>
                <w:color w:val="auto"/>
                <w:szCs w:val="24"/>
              </w:rPr>
              <w:t>】</w:t>
            </w:r>
            <w:r>
              <w:rPr>
                <w:rFonts w:hint="eastAsia" w:ascii="Times New Roman" w:hAnsi="Times New Roman"/>
                <w:b/>
                <w:color w:val="auto"/>
                <w:szCs w:val="24"/>
              </w:rPr>
              <w:t>16</w:t>
            </w:r>
            <w:r>
              <w:rPr>
                <w:rFonts w:ascii="Times New Roman" w:hAnsi="Times New Roman"/>
                <w:b/>
                <w:color w:val="auto"/>
                <w:szCs w:val="24"/>
              </w:rPr>
              <w:t>号文相符</w:t>
            </w:r>
          </w:p>
          <w:p>
            <w:pPr>
              <w:adjustRightInd w:val="0"/>
              <w:snapToGrid w:val="0"/>
              <w:jc w:val="center"/>
              <w:rPr>
                <w:rFonts w:ascii="Times New Roman" w:hAnsi="Times New Roman"/>
                <w:b/>
                <w:bCs/>
                <w:color w:val="auto"/>
                <w:kern w:val="0"/>
                <w:szCs w:val="21"/>
              </w:rPr>
            </w:pPr>
            <w:r>
              <w:rPr>
                <w:rFonts w:ascii="Times New Roman" w:hAnsi="Times New Roman"/>
                <w:b/>
                <w:bCs/>
                <w:color w:val="auto"/>
                <w:kern w:val="0"/>
                <w:szCs w:val="21"/>
              </w:rPr>
              <w:t>表4-</w:t>
            </w:r>
            <w:r>
              <w:rPr>
                <w:rFonts w:hint="eastAsia" w:ascii="Times New Roman" w:hAnsi="Times New Roman"/>
                <w:b/>
                <w:bCs/>
                <w:color w:val="auto"/>
                <w:kern w:val="0"/>
                <w:szCs w:val="21"/>
                <w:lang w:val="en-US" w:eastAsia="zh-CN"/>
              </w:rPr>
              <w:t>3</w:t>
            </w:r>
            <w:r>
              <w:rPr>
                <w:rFonts w:hint="eastAsia"/>
                <w:b/>
                <w:bCs/>
                <w:color w:val="auto"/>
                <w:kern w:val="0"/>
                <w:szCs w:val="21"/>
                <w:lang w:val="en-US" w:eastAsia="zh-CN"/>
              </w:rPr>
              <w:t>5</w:t>
            </w:r>
            <w:r>
              <w:rPr>
                <w:rFonts w:ascii="Times New Roman" w:hAnsi="Times New Roman"/>
                <w:b/>
                <w:bCs/>
                <w:color w:val="auto"/>
                <w:kern w:val="0"/>
                <w:szCs w:val="21"/>
              </w:rPr>
              <w:t xml:space="preserve"> 与苏环办【20</w:t>
            </w:r>
            <w:r>
              <w:rPr>
                <w:rFonts w:hint="eastAsia" w:ascii="Times New Roman" w:hAnsi="Times New Roman"/>
                <w:b/>
                <w:bCs/>
                <w:color w:val="auto"/>
                <w:kern w:val="0"/>
                <w:szCs w:val="21"/>
              </w:rPr>
              <w:t>24</w:t>
            </w:r>
            <w:r>
              <w:rPr>
                <w:rFonts w:ascii="Times New Roman" w:hAnsi="Times New Roman"/>
                <w:b/>
                <w:bCs/>
                <w:color w:val="auto"/>
                <w:kern w:val="0"/>
                <w:szCs w:val="21"/>
              </w:rPr>
              <w:t>】</w:t>
            </w:r>
            <w:r>
              <w:rPr>
                <w:rFonts w:hint="eastAsia" w:ascii="Times New Roman" w:hAnsi="Times New Roman"/>
                <w:b/>
                <w:bCs/>
                <w:color w:val="auto"/>
                <w:kern w:val="0"/>
                <w:szCs w:val="21"/>
              </w:rPr>
              <w:t>16</w:t>
            </w:r>
            <w:r>
              <w:rPr>
                <w:rFonts w:ascii="Times New Roman" w:hAnsi="Times New Roman"/>
                <w:b/>
                <w:bCs/>
                <w:color w:val="auto"/>
                <w:kern w:val="0"/>
                <w:szCs w:val="21"/>
              </w:rPr>
              <w:t>号相符性分析</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3755"/>
              <w:gridCol w:w="3328"/>
              <w:gridCol w:w="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Borders>
                    <w:tl2br w:val="nil"/>
                    <w:tr2bl w:val="nil"/>
                  </w:tcBorders>
                  <w:vAlign w:val="center"/>
                </w:tcPr>
                <w:p>
                  <w:pPr>
                    <w:pStyle w:val="57"/>
                    <w:adjustRightInd w:val="0"/>
                    <w:jc w:val="center"/>
                    <w:rPr>
                      <w:rFonts w:ascii="Times New Roman" w:hAnsi="Times New Roman" w:eastAsia="宋体"/>
                      <w:b/>
                      <w:bCs/>
                      <w:color w:val="auto"/>
                      <w:szCs w:val="21"/>
                    </w:rPr>
                  </w:pPr>
                  <w:r>
                    <w:rPr>
                      <w:rFonts w:ascii="Times New Roman" w:hAnsi="Times New Roman" w:eastAsia="宋体"/>
                      <w:b/>
                      <w:bCs/>
                      <w:color w:val="auto"/>
                      <w:szCs w:val="21"/>
                    </w:rPr>
                    <w:t>序号</w:t>
                  </w:r>
                </w:p>
              </w:tc>
              <w:tc>
                <w:tcPr>
                  <w:tcW w:w="3605" w:type="dxa"/>
                  <w:tcBorders>
                    <w:tl2br w:val="nil"/>
                    <w:tr2bl w:val="nil"/>
                  </w:tcBorders>
                  <w:vAlign w:val="center"/>
                </w:tcPr>
                <w:p>
                  <w:pPr>
                    <w:pStyle w:val="57"/>
                    <w:adjustRightInd w:val="0"/>
                    <w:jc w:val="center"/>
                    <w:rPr>
                      <w:rFonts w:ascii="Times New Roman" w:hAnsi="Times New Roman" w:eastAsia="宋体"/>
                      <w:b/>
                      <w:bCs/>
                      <w:color w:val="auto"/>
                      <w:szCs w:val="21"/>
                    </w:rPr>
                  </w:pPr>
                  <w:r>
                    <w:rPr>
                      <w:rFonts w:ascii="Times New Roman" w:hAnsi="Times New Roman" w:eastAsia="宋体"/>
                      <w:b/>
                      <w:bCs/>
                      <w:color w:val="auto"/>
                      <w:szCs w:val="21"/>
                    </w:rPr>
                    <w:t>文件规定要求</w:t>
                  </w:r>
                </w:p>
              </w:tc>
              <w:tc>
                <w:tcPr>
                  <w:tcW w:w="3195" w:type="dxa"/>
                  <w:tcBorders>
                    <w:tl2br w:val="nil"/>
                    <w:tr2bl w:val="nil"/>
                  </w:tcBorders>
                  <w:vAlign w:val="center"/>
                </w:tcPr>
                <w:p>
                  <w:pPr>
                    <w:pStyle w:val="57"/>
                    <w:adjustRightInd w:val="0"/>
                    <w:jc w:val="center"/>
                    <w:rPr>
                      <w:rFonts w:ascii="Times New Roman" w:hAnsi="Times New Roman" w:eastAsia="宋体"/>
                      <w:b/>
                      <w:bCs/>
                      <w:color w:val="auto"/>
                      <w:szCs w:val="21"/>
                    </w:rPr>
                  </w:pPr>
                  <w:r>
                    <w:rPr>
                      <w:rFonts w:ascii="Times New Roman" w:hAnsi="Times New Roman" w:eastAsia="宋体"/>
                      <w:b/>
                      <w:bCs/>
                      <w:color w:val="auto"/>
                      <w:szCs w:val="21"/>
                    </w:rPr>
                    <w:t>拟实施情况</w:t>
                  </w:r>
                </w:p>
              </w:tc>
              <w:tc>
                <w:tcPr>
                  <w:tcW w:w="617" w:type="dxa"/>
                  <w:tcBorders>
                    <w:tl2br w:val="nil"/>
                    <w:tr2bl w:val="nil"/>
                  </w:tcBorders>
                  <w:vAlign w:val="center"/>
                </w:tcPr>
                <w:p>
                  <w:pPr>
                    <w:pStyle w:val="57"/>
                    <w:adjustRightInd w:val="0"/>
                    <w:jc w:val="center"/>
                    <w:rPr>
                      <w:rFonts w:ascii="Times New Roman" w:hAnsi="Times New Roman" w:eastAsia="宋体"/>
                      <w:b/>
                      <w:bCs/>
                      <w:color w:val="auto"/>
                      <w:szCs w:val="21"/>
                    </w:rPr>
                  </w:pPr>
                  <w:r>
                    <w:rPr>
                      <w:rFonts w:ascii="Times New Roman" w:hAnsi="Times New Roman" w:eastAsia="宋体"/>
                      <w:b/>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1</w:t>
                  </w:r>
                </w:p>
              </w:tc>
              <w:tc>
                <w:tcPr>
                  <w:tcW w:w="360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规范项目环评审批。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 34330、HJ 1091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w:t>
                  </w:r>
                </w:p>
              </w:tc>
              <w:tc>
                <w:tcPr>
                  <w:tcW w:w="319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本项目产生的固体废物种类、数量、来源和属性等详细评价见前文。本项目废活性炭、</w:t>
                  </w:r>
                  <w:r>
                    <w:rPr>
                      <w:rFonts w:hint="eastAsia" w:ascii="Times New Roman" w:hAnsi="Times New Roman" w:eastAsia="宋体"/>
                      <w:color w:val="auto"/>
                      <w:szCs w:val="21"/>
                      <w:lang w:val="en-US" w:eastAsia="zh-CN"/>
                    </w:rPr>
                    <w:t>漆渣、废过滤材料</w:t>
                  </w:r>
                  <w:r>
                    <w:rPr>
                      <w:rFonts w:hint="eastAsia" w:ascii="Times New Roman" w:hAnsi="Times New Roman" w:eastAsia="宋体"/>
                      <w:color w:val="auto"/>
                      <w:szCs w:val="21"/>
                    </w:rPr>
                    <w:t>袋装贮存</w:t>
                  </w:r>
                  <w:r>
                    <w:rPr>
                      <w:rFonts w:hint="eastAsia" w:eastAsia="宋体"/>
                      <w:color w:val="auto"/>
                      <w:szCs w:val="21"/>
                      <w:lang w:eastAsia="zh-CN"/>
                    </w:rPr>
                    <w:t>；</w:t>
                  </w:r>
                  <w:r>
                    <w:rPr>
                      <w:rFonts w:hint="eastAsia" w:ascii="Times New Roman" w:hAnsi="Times New Roman" w:eastAsia="宋体"/>
                      <w:color w:val="auto"/>
                      <w:szCs w:val="21"/>
                    </w:rPr>
                    <w:t>废包装桶托盘贮存</w:t>
                  </w:r>
                  <w:r>
                    <w:rPr>
                      <w:rFonts w:hint="eastAsia" w:eastAsia="宋体"/>
                      <w:color w:val="auto"/>
                      <w:szCs w:val="21"/>
                      <w:lang w:eastAsia="zh-CN"/>
                    </w:rPr>
                    <w:t>；</w:t>
                  </w:r>
                  <w:r>
                    <w:rPr>
                      <w:rFonts w:hint="eastAsia" w:eastAsia="宋体"/>
                      <w:color w:val="auto"/>
                      <w:szCs w:val="21"/>
                      <w:lang w:val="en-US" w:eastAsia="zh-CN"/>
                    </w:rPr>
                    <w:t>废切削液、废润滑油、喷漆清洗废液桶装贮存</w:t>
                  </w:r>
                  <w:r>
                    <w:rPr>
                      <w:rFonts w:hint="eastAsia" w:ascii="Times New Roman" w:hAnsi="Times New Roman" w:eastAsia="宋体"/>
                      <w:color w:val="auto"/>
                      <w:szCs w:val="21"/>
                    </w:rPr>
                    <w:t>。本项目严格执行危险废物转移制度，建立电子档案，做好危废相关的手续及存档。本项目危险废物均交由有资质单位处置</w:t>
                  </w:r>
                  <w:r>
                    <w:rPr>
                      <w:rFonts w:ascii="Times New Roman" w:hAnsi="Times New Roman" w:eastAsia="宋体"/>
                      <w:color w:val="auto"/>
                      <w:szCs w:val="21"/>
                    </w:rPr>
                    <w:t>。</w:t>
                  </w:r>
                </w:p>
              </w:tc>
              <w:tc>
                <w:tcPr>
                  <w:tcW w:w="617"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2</w:t>
                  </w:r>
                </w:p>
              </w:tc>
              <w:tc>
                <w:tcPr>
                  <w:tcW w:w="360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规范贮存管理要求。根据《危险废物贮存污染控制标准》 (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Ⅱ级、Ⅲ级危险废物贮存时间分别不得超过30天、60天、90天，最大贮存量不得超过1吨</w:t>
                  </w:r>
                </w:p>
              </w:tc>
              <w:tc>
                <w:tcPr>
                  <w:tcW w:w="319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本项目废活性炭、</w:t>
                  </w:r>
                  <w:r>
                    <w:rPr>
                      <w:rFonts w:hint="eastAsia" w:ascii="Times New Roman" w:hAnsi="Times New Roman" w:eastAsia="宋体"/>
                      <w:color w:val="auto"/>
                      <w:szCs w:val="21"/>
                      <w:lang w:val="en-US" w:eastAsia="zh-CN"/>
                    </w:rPr>
                    <w:t>漆渣、废过滤材料</w:t>
                  </w:r>
                  <w:r>
                    <w:rPr>
                      <w:rFonts w:hint="eastAsia" w:ascii="Times New Roman" w:hAnsi="Times New Roman" w:eastAsia="宋体"/>
                      <w:color w:val="auto"/>
                      <w:szCs w:val="21"/>
                    </w:rPr>
                    <w:t>袋装贮存</w:t>
                  </w:r>
                  <w:r>
                    <w:rPr>
                      <w:rFonts w:hint="eastAsia" w:eastAsia="宋体"/>
                      <w:color w:val="auto"/>
                      <w:szCs w:val="21"/>
                      <w:lang w:eastAsia="zh-CN"/>
                    </w:rPr>
                    <w:t>；</w:t>
                  </w:r>
                  <w:r>
                    <w:rPr>
                      <w:rFonts w:hint="eastAsia" w:ascii="Times New Roman" w:hAnsi="Times New Roman" w:eastAsia="宋体"/>
                      <w:color w:val="auto"/>
                      <w:szCs w:val="21"/>
                    </w:rPr>
                    <w:t>废包装桶托盘贮存</w:t>
                  </w:r>
                  <w:r>
                    <w:rPr>
                      <w:rFonts w:hint="eastAsia" w:eastAsia="宋体"/>
                      <w:color w:val="auto"/>
                      <w:szCs w:val="21"/>
                      <w:lang w:eastAsia="zh-CN"/>
                    </w:rPr>
                    <w:t>；</w:t>
                  </w:r>
                  <w:r>
                    <w:rPr>
                      <w:rFonts w:hint="eastAsia" w:eastAsia="宋体"/>
                      <w:color w:val="auto"/>
                      <w:szCs w:val="21"/>
                      <w:lang w:val="en-US" w:eastAsia="zh-CN"/>
                    </w:rPr>
                    <w:t>废切削液、废润滑油、喷漆清洗废液桶装贮存</w:t>
                  </w:r>
                  <w:r>
                    <w:rPr>
                      <w:rFonts w:hint="eastAsia" w:ascii="Times New Roman" w:hAnsi="Times New Roman" w:eastAsia="宋体"/>
                      <w:color w:val="auto"/>
                      <w:szCs w:val="21"/>
                    </w:rPr>
                    <w:t>于危废仓库中</w:t>
                  </w:r>
                  <w:r>
                    <w:rPr>
                      <w:rFonts w:ascii="Times New Roman" w:hAnsi="Times New Roman" w:eastAsia="宋体"/>
                      <w:color w:val="auto"/>
                      <w:szCs w:val="21"/>
                    </w:rPr>
                    <w:t>。</w:t>
                  </w:r>
                </w:p>
              </w:tc>
              <w:tc>
                <w:tcPr>
                  <w:tcW w:w="617"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29"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3</w:t>
                  </w:r>
                </w:p>
              </w:tc>
              <w:tc>
                <w:tcPr>
                  <w:tcW w:w="360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w:t>
                  </w:r>
                  <w:r>
                    <w:rPr>
                      <w:rFonts w:hint="eastAsia" w:eastAsia="宋体"/>
                      <w:color w:val="auto"/>
                      <w:szCs w:val="21"/>
                      <w:lang w:eastAsia="zh-CN"/>
                    </w:rPr>
                    <w:t>单位</w:t>
                  </w:r>
                  <w:r>
                    <w:rPr>
                      <w:rFonts w:hint="eastAsia" w:ascii="Times New Roman" w:hAnsi="Times New Roman" w:eastAsia="宋体"/>
                      <w:color w:val="auto"/>
                      <w:szCs w:val="21"/>
                    </w:rPr>
                    <w:t>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319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本项目在日常的运营管理过程中，严格执行危险废物转移电子联单制度，通过江苏省污染源“一企一档”管理系统“环保脸谱”企业端实现危险废物从生产到贮存信息化监管</w:t>
                  </w:r>
                  <w:r>
                    <w:rPr>
                      <w:rFonts w:ascii="Times New Roman" w:hAnsi="Times New Roman" w:eastAsia="宋体"/>
                      <w:color w:val="auto"/>
                      <w:szCs w:val="21"/>
                    </w:rPr>
                    <w:t>。</w:t>
                  </w:r>
                </w:p>
              </w:tc>
              <w:tc>
                <w:tcPr>
                  <w:tcW w:w="617"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4</w:t>
                  </w:r>
                </w:p>
              </w:tc>
              <w:tc>
                <w:tcPr>
                  <w:tcW w:w="360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w:t>
                  </w:r>
                </w:p>
              </w:tc>
              <w:tc>
                <w:tcPr>
                  <w:tcW w:w="3195" w:type="dxa"/>
                  <w:tcBorders>
                    <w:tl2br w:val="nil"/>
                    <w:tr2bl w:val="nil"/>
                  </w:tcBorders>
                  <w:vAlign w:val="center"/>
                </w:tcPr>
                <w:p>
                  <w:pPr>
                    <w:pStyle w:val="57"/>
                    <w:adjustRightInd w:val="0"/>
                    <w:jc w:val="center"/>
                    <w:rPr>
                      <w:rFonts w:ascii="Times New Roman" w:hAnsi="Times New Roman" w:eastAsia="宋体"/>
                      <w:color w:val="auto"/>
                      <w:szCs w:val="21"/>
                    </w:rPr>
                  </w:pPr>
                  <w:r>
                    <w:rPr>
                      <w:rFonts w:hint="eastAsia" w:ascii="Times New Roman" w:hAnsi="Times New Roman" w:eastAsia="宋体"/>
                      <w:color w:val="auto"/>
                      <w:szCs w:val="21"/>
                    </w:rPr>
                    <w:t>本项目不属于危险废物环境重点监管单位</w:t>
                  </w:r>
                  <w:r>
                    <w:rPr>
                      <w:rFonts w:ascii="Times New Roman" w:hAnsi="Times New Roman" w:eastAsia="宋体"/>
                      <w:color w:val="auto"/>
                      <w:szCs w:val="21"/>
                    </w:rPr>
                    <w:t>。</w:t>
                  </w:r>
                </w:p>
              </w:tc>
              <w:tc>
                <w:tcPr>
                  <w:tcW w:w="617" w:type="dxa"/>
                  <w:tcBorders>
                    <w:tl2br w:val="nil"/>
                    <w:tr2bl w:val="nil"/>
                  </w:tcBorders>
                  <w:vAlign w:val="center"/>
                </w:tcPr>
                <w:p>
                  <w:pPr>
                    <w:pStyle w:val="57"/>
                    <w:adjustRightInd w:val="0"/>
                    <w:jc w:val="center"/>
                    <w:rPr>
                      <w:rFonts w:ascii="Times New Roman" w:hAnsi="Times New Roman" w:eastAsia="宋体"/>
                      <w:color w:val="auto"/>
                      <w:szCs w:val="21"/>
                    </w:rPr>
                  </w:pPr>
                  <w:r>
                    <w:rPr>
                      <w:rFonts w:ascii="Times New Roman" w:hAnsi="Times New Roman" w:eastAsia="宋体"/>
                      <w:color w:val="auto"/>
                      <w:szCs w:val="21"/>
                    </w:rPr>
                    <w:t>符合</w:t>
                  </w:r>
                </w:p>
              </w:tc>
            </w:tr>
          </w:tbl>
          <w:p>
            <w:pPr>
              <w:pStyle w:val="18"/>
              <w:spacing w:after="0" w:line="360" w:lineRule="auto"/>
              <w:ind w:firstLine="480"/>
              <w:rPr>
                <w:rFonts w:ascii="Times New Roman" w:hAnsi="Times New Roman" w:eastAsia="宋体" w:cs="Times New Roman"/>
                <w:b w:val="0"/>
                <w:bCs/>
                <w:color w:val="auto"/>
              </w:rPr>
            </w:pPr>
            <w:r>
              <w:rPr>
                <w:rFonts w:hint="eastAsia" w:ascii="Times New Roman" w:hAnsi="Times New Roman" w:eastAsia="宋体" w:cs="Times New Roman"/>
                <w:b w:val="0"/>
                <w:bCs/>
                <w:color w:val="auto"/>
              </w:rPr>
              <w:t>由上表可知，项目建成后危废处置可落实，因此对周边环境影响较小。</w:t>
            </w:r>
          </w:p>
          <w:p>
            <w:pPr>
              <w:adjustRightInd w:val="0"/>
              <w:snapToGrid w:val="0"/>
              <w:spacing w:line="360" w:lineRule="auto"/>
              <w:ind w:firstLine="482" w:firstLineChars="200"/>
              <w:jc w:val="left"/>
              <w:rPr>
                <w:rFonts w:ascii="Times New Roman" w:hAnsi="Times New Roman"/>
                <w:color w:val="auto"/>
                <w:sz w:val="24"/>
              </w:rPr>
            </w:pPr>
            <w:r>
              <w:rPr>
                <w:rFonts w:hint="eastAsia" w:ascii="Times New Roman" w:hAnsi="Times New Roman"/>
                <w:b/>
                <w:bCs/>
                <w:color w:val="auto"/>
                <w:sz w:val="24"/>
              </w:rPr>
              <w:t>（五）地下水</w:t>
            </w:r>
          </w:p>
          <w:p>
            <w:pPr>
              <w:widowControl/>
              <w:snapToGrid w:val="0"/>
              <w:spacing w:line="360" w:lineRule="auto"/>
              <w:ind w:firstLine="480" w:firstLineChars="200"/>
              <w:textAlignment w:val="baseline"/>
              <w:rPr>
                <w:rFonts w:ascii="Times New Roman" w:hAnsi="Times New Roman"/>
                <w:bCs/>
                <w:color w:val="auto"/>
                <w:kern w:val="0"/>
                <w:sz w:val="24"/>
              </w:rPr>
            </w:pPr>
            <w:r>
              <w:rPr>
                <w:rFonts w:ascii="Times New Roman" w:hAnsi="Times New Roman"/>
                <w:bCs/>
                <w:color w:val="auto"/>
                <w:kern w:val="0"/>
                <w:sz w:val="24"/>
              </w:rPr>
              <w:t>针对企业生产过程中废水及固体废物产生、输送和处理过程，采取合理有效的工程措施可防止污染物对地下水的污染。</w:t>
            </w:r>
          </w:p>
          <w:p>
            <w:pPr>
              <w:widowControl/>
              <w:numPr>
                <w:ilvl w:val="0"/>
                <w:numId w:val="5"/>
              </w:numPr>
              <w:snapToGrid w:val="0"/>
              <w:spacing w:line="360" w:lineRule="auto"/>
              <w:ind w:firstLine="480" w:firstLineChars="200"/>
              <w:textAlignment w:val="baseline"/>
              <w:rPr>
                <w:rFonts w:ascii="Times New Roman" w:hAnsi="Times New Roman"/>
                <w:bCs/>
                <w:color w:val="auto"/>
                <w:sz w:val="24"/>
              </w:rPr>
            </w:pPr>
            <w:r>
              <w:rPr>
                <w:rFonts w:hint="eastAsia" w:ascii="Times New Roman" w:hAnsi="Times New Roman"/>
                <w:bCs/>
                <w:color w:val="auto"/>
                <w:sz w:val="24"/>
              </w:rPr>
              <w:t>地下水</w:t>
            </w:r>
            <w:r>
              <w:rPr>
                <w:rFonts w:ascii="Times New Roman" w:hAnsi="Times New Roman"/>
                <w:bCs/>
                <w:color w:val="auto"/>
                <w:sz w:val="24"/>
              </w:rPr>
              <w:t>环境污染源及</w:t>
            </w:r>
            <w:r>
              <w:rPr>
                <w:rFonts w:hint="eastAsia" w:ascii="Times New Roman" w:hAnsi="Times New Roman"/>
                <w:bCs/>
                <w:color w:val="auto"/>
                <w:sz w:val="24"/>
              </w:rPr>
              <w:t>污染途径</w:t>
            </w:r>
          </w:p>
          <w:p>
            <w:pPr>
              <w:widowControl/>
              <w:snapToGrid w:val="0"/>
              <w:spacing w:line="360" w:lineRule="auto"/>
              <w:ind w:firstLine="480" w:firstLineChars="200"/>
              <w:textAlignment w:val="baseline"/>
              <w:rPr>
                <w:rFonts w:ascii="Times New Roman" w:hAnsi="Times New Roman"/>
                <w:bCs/>
                <w:color w:val="auto"/>
                <w:kern w:val="0"/>
                <w:sz w:val="24"/>
              </w:rPr>
            </w:pPr>
            <w:r>
              <w:rPr>
                <w:rFonts w:ascii="Times New Roman" w:hAnsi="Times New Roman"/>
                <w:bCs/>
                <w:color w:val="auto"/>
                <w:kern w:val="0"/>
                <w:sz w:val="24"/>
              </w:rPr>
              <w:t>本项目可能对地下水造成污染的区域主要有：</w:t>
            </w:r>
            <w:r>
              <w:rPr>
                <w:rFonts w:hint="eastAsia" w:ascii="Times New Roman" w:hAnsi="Times New Roman"/>
                <w:bCs/>
                <w:color w:val="auto"/>
                <w:kern w:val="0"/>
                <w:sz w:val="24"/>
              </w:rPr>
              <w:t>厂区雨污水管路系统、危废仓库</w:t>
            </w:r>
            <w:r>
              <w:rPr>
                <w:rFonts w:hint="eastAsia" w:ascii="Times New Roman" w:hAnsi="Times New Roman"/>
                <w:bCs/>
                <w:color w:val="auto"/>
                <w:kern w:val="0"/>
                <w:sz w:val="24"/>
                <w:lang w:eastAsia="zh-CN"/>
              </w:rPr>
              <w:t>、</w:t>
            </w:r>
            <w:r>
              <w:rPr>
                <w:rFonts w:hint="eastAsia" w:ascii="Times New Roman" w:hAnsi="Times New Roman"/>
                <w:bCs/>
                <w:color w:val="auto"/>
                <w:kern w:val="0"/>
                <w:sz w:val="24"/>
                <w:lang w:val="en-US" w:eastAsia="zh-CN"/>
              </w:rPr>
              <w:t>原辅料泄漏</w:t>
            </w:r>
            <w:r>
              <w:rPr>
                <w:rFonts w:ascii="Times New Roman" w:hAnsi="Times New Roman"/>
                <w:bCs/>
                <w:color w:val="auto"/>
                <w:kern w:val="0"/>
                <w:sz w:val="24"/>
              </w:rPr>
              <w:t>等。正常情况下，地下水的污染主要是由于污染物迁移穿过包气带进入含水层造成。通过水文地质条件分析，区内承压含水组顶板为分布比较稳定且厚度较大的淤泥质粘砂土隔水层，所以垂直渗入补给条件较差，与浅层地下水水利联系不密切。因此，深层地下水受到项目下渗污水污染影响更小。尽管如此，本项目仍存在造成地下水污染的可能性，且地下水一旦受污染其发现和治理难度都非常</w:t>
            </w:r>
            <w:r>
              <w:rPr>
                <w:rFonts w:hint="eastAsia" w:ascii="Times New Roman" w:hAnsi="Times New Roman"/>
                <w:bCs/>
                <w:color w:val="auto"/>
                <w:kern w:val="0"/>
                <w:sz w:val="24"/>
              </w:rPr>
              <w:t>大</w:t>
            </w:r>
            <w:r>
              <w:rPr>
                <w:rFonts w:ascii="Times New Roman" w:hAnsi="Times New Roman"/>
                <w:bCs/>
                <w:color w:val="auto"/>
                <w:kern w:val="0"/>
                <w:sz w:val="24"/>
              </w:rPr>
              <w:t>，为了更好的保护地下水资源，将本项目对地下水的影响降至最低限度，建议采取相关措施</w:t>
            </w:r>
            <w:r>
              <w:rPr>
                <w:rFonts w:hint="eastAsia" w:ascii="Times New Roman" w:hAnsi="Times New Roman"/>
                <w:bCs/>
                <w:color w:val="auto"/>
                <w:kern w:val="0"/>
                <w:sz w:val="24"/>
              </w:rPr>
              <w:t>。</w:t>
            </w:r>
          </w:p>
          <w:p>
            <w:pPr>
              <w:widowControl/>
              <w:snapToGrid w:val="0"/>
              <w:spacing w:line="360" w:lineRule="auto"/>
              <w:ind w:firstLine="480" w:firstLineChars="200"/>
              <w:textAlignment w:val="baseline"/>
              <w:rPr>
                <w:rFonts w:ascii="Times New Roman" w:hAnsi="Times New Roman"/>
                <w:bCs/>
                <w:color w:val="auto"/>
                <w:kern w:val="0"/>
                <w:sz w:val="24"/>
              </w:rPr>
            </w:pPr>
            <w:r>
              <w:rPr>
                <w:rFonts w:hint="eastAsia" w:ascii="Times New Roman" w:hAnsi="Times New Roman"/>
                <w:bCs/>
                <w:color w:val="auto"/>
                <w:kern w:val="0"/>
                <w:sz w:val="24"/>
              </w:rPr>
              <w:t>（2）</w:t>
            </w:r>
            <w:r>
              <w:rPr>
                <w:rFonts w:ascii="Times New Roman" w:hAnsi="Times New Roman"/>
                <w:color w:val="auto"/>
                <w:sz w:val="24"/>
              </w:rPr>
              <w:t>地下水</w:t>
            </w:r>
            <w:r>
              <w:rPr>
                <w:rFonts w:hint="eastAsia" w:ascii="Times New Roman" w:hAnsi="Times New Roman"/>
                <w:color w:val="auto"/>
                <w:sz w:val="24"/>
              </w:rPr>
              <w:t>污染控制</w:t>
            </w:r>
            <w:r>
              <w:rPr>
                <w:rFonts w:ascii="Times New Roman" w:hAnsi="Times New Roman"/>
                <w:color w:val="auto"/>
                <w:sz w:val="24"/>
              </w:rPr>
              <w:t>措施</w:t>
            </w:r>
          </w:p>
          <w:p>
            <w:pPr>
              <w:widowControl/>
              <w:spacing w:line="360" w:lineRule="auto"/>
              <w:ind w:firstLine="420"/>
              <w:rPr>
                <w:rFonts w:ascii="Times New Roman" w:hAnsi="Times New Roman"/>
                <w:color w:val="auto"/>
                <w:kern w:val="0"/>
                <w:sz w:val="24"/>
              </w:rPr>
            </w:pPr>
            <w:r>
              <w:rPr>
                <w:rFonts w:ascii="Times New Roman" w:hAnsi="Times New Roman"/>
                <w:bCs/>
                <w:color w:val="auto"/>
                <w:kern w:val="0"/>
                <w:sz w:val="24"/>
              </w:rPr>
              <w:t>①源头控制：</w:t>
            </w:r>
            <w:r>
              <w:rPr>
                <w:rFonts w:ascii="Times New Roman" w:hAnsi="Times New Roman"/>
                <w:color w:val="auto"/>
                <w:kern w:val="0"/>
                <w:sz w:val="24"/>
              </w:rPr>
              <w:t>为了保护地下水环境，采取措施从源头上控制对地下水的污染。实施清洁生产和循环经济，减少污染物的排放量。从设计、管理各种工艺设备和物料运输管线上，防止和减少污染物的跑冒滴漏；合理布局，减少污染物泄漏途径。</w:t>
            </w:r>
          </w:p>
          <w:p>
            <w:pPr>
              <w:widowControl/>
              <w:spacing w:line="360" w:lineRule="auto"/>
              <w:ind w:firstLine="420"/>
              <w:rPr>
                <w:rFonts w:ascii="Times New Roman" w:hAnsi="Times New Roman"/>
                <w:color w:val="auto"/>
                <w:kern w:val="0"/>
                <w:sz w:val="24"/>
              </w:rPr>
            </w:pPr>
            <w:r>
              <w:rPr>
                <w:rFonts w:ascii="Times New Roman" w:hAnsi="Times New Roman"/>
                <w:color w:val="auto"/>
                <w:kern w:val="0"/>
                <w:sz w:val="24"/>
              </w:rPr>
              <w:t>本项目所有污水管路均采取防渗措施，防范废水下渗。另外，应严格废水的管理，强调节约用水，防止污水“跑、冒、滴、漏”，确保设备正常运行。定期检查污水管线、泵阀等关键部位，避免跑冒滴漏，做到污染物泄漏“早发现、早处理”。</w:t>
            </w:r>
          </w:p>
          <w:p>
            <w:pPr>
              <w:widowControl/>
              <w:snapToGrid w:val="0"/>
              <w:spacing w:line="360" w:lineRule="auto"/>
              <w:ind w:firstLine="480" w:firstLineChars="200"/>
              <w:textAlignment w:val="baseline"/>
              <w:rPr>
                <w:rFonts w:ascii="Times New Roman" w:hAnsi="Times New Roman"/>
                <w:bCs/>
                <w:color w:val="auto"/>
                <w:kern w:val="0"/>
                <w:sz w:val="24"/>
              </w:rPr>
            </w:pPr>
            <w:r>
              <w:rPr>
                <w:rFonts w:ascii="Times New Roman" w:hAnsi="Times New Roman"/>
                <w:bCs/>
                <w:color w:val="auto"/>
                <w:kern w:val="0"/>
                <w:sz w:val="24"/>
              </w:rPr>
              <w:t>②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4-</w:t>
            </w:r>
            <w:r>
              <w:rPr>
                <w:rFonts w:hint="eastAsia" w:ascii="Times New Roman" w:hAnsi="Times New Roman"/>
                <w:bCs/>
                <w:color w:val="auto"/>
                <w:kern w:val="0"/>
                <w:sz w:val="24"/>
                <w:lang w:val="en-US" w:eastAsia="zh-CN"/>
              </w:rPr>
              <w:t>3</w:t>
            </w:r>
            <w:r>
              <w:rPr>
                <w:rFonts w:hint="eastAsia"/>
                <w:bCs/>
                <w:color w:val="auto"/>
                <w:kern w:val="0"/>
                <w:sz w:val="24"/>
                <w:lang w:val="en-US" w:eastAsia="zh-CN"/>
              </w:rPr>
              <w:t>6</w:t>
            </w:r>
            <w:r>
              <w:rPr>
                <w:rFonts w:ascii="Times New Roman" w:hAnsi="Times New Roman"/>
                <w:bCs/>
                <w:color w:val="auto"/>
                <w:kern w:val="0"/>
                <w:sz w:val="24"/>
              </w:rPr>
              <w:t>。</w:t>
            </w:r>
          </w:p>
          <w:p>
            <w:pPr>
              <w:pStyle w:val="18"/>
              <w:spacing w:after="0" w:line="240" w:lineRule="auto"/>
              <w:ind w:firstLine="422"/>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rPr>
              <w:t>4-</w:t>
            </w:r>
            <w:r>
              <w:rPr>
                <w:rFonts w:hint="eastAsia" w:ascii="Times New Roman" w:eastAsia="宋体" w:cs="Times New Roman"/>
                <w:bCs/>
                <w:color w:val="auto"/>
                <w:sz w:val="21"/>
                <w:szCs w:val="21"/>
                <w:lang w:val="en-US" w:eastAsia="zh-CN"/>
              </w:rPr>
              <w:t>36</w:t>
            </w:r>
            <w:r>
              <w:rPr>
                <w:rFonts w:ascii="Times New Roman" w:hAnsi="Times New Roman" w:eastAsia="宋体" w:cs="Times New Roman"/>
                <w:bCs/>
                <w:color w:val="auto"/>
                <w:sz w:val="21"/>
                <w:szCs w:val="21"/>
              </w:rPr>
              <w:t xml:space="preserve">  地下水污染防渗分区</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3153"/>
              <w:gridCol w:w="1200"/>
              <w:gridCol w:w="3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序号</w:t>
                  </w:r>
                </w:p>
              </w:tc>
              <w:tc>
                <w:tcPr>
                  <w:tcW w:w="3088"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区域</w:t>
                  </w:r>
                  <w:r>
                    <w:rPr>
                      <w:rFonts w:ascii="Times New Roman" w:hAnsi="Times New Roman"/>
                      <w:b/>
                      <w:bCs/>
                      <w:color w:val="auto"/>
                      <w:szCs w:val="21"/>
                    </w:rPr>
                    <w:t>名称</w:t>
                  </w:r>
                </w:p>
              </w:tc>
              <w:tc>
                <w:tcPr>
                  <w:tcW w:w="117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防渗分区</w:t>
                  </w:r>
                </w:p>
              </w:tc>
              <w:tc>
                <w:tcPr>
                  <w:tcW w:w="3264"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p>
              </w:tc>
              <w:tc>
                <w:tcPr>
                  <w:tcW w:w="3088" w:type="dxa"/>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雨污水管路系统、危废仓库、</w:t>
                  </w:r>
                  <w:r>
                    <w:rPr>
                      <w:rFonts w:hint="eastAsia" w:ascii="Times New Roman" w:hAnsi="Times New Roman"/>
                      <w:color w:val="auto"/>
                      <w:szCs w:val="21"/>
                      <w:lang w:val="en-US" w:eastAsia="zh-CN"/>
                    </w:rPr>
                    <w:t>喷漆房</w:t>
                  </w:r>
                  <w:r>
                    <w:rPr>
                      <w:rFonts w:hint="eastAsia" w:ascii="Times New Roman" w:hAnsi="Times New Roman"/>
                      <w:color w:val="auto"/>
                      <w:szCs w:val="21"/>
                    </w:rPr>
                    <w:t>、原料仓库</w:t>
                  </w:r>
                  <w:r>
                    <w:rPr>
                      <w:rFonts w:hint="eastAsia" w:ascii="Times New Roman" w:hAnsi="Times New Roman"/>
                      <w:color w:val="auto"/>
                      <w:szCs w:val="21"/>
                      <w:lang w:eastAsia="zh-CN"/>
                    </w:rPr>
                    <w:t>、</w:t>
                  </w:r>
                  <w:r>
                    <w:rPr>
                      <w:rFonts w:hint="eastAsia" w:ascii="Times New Roman" w:hAnsi="Times New Roman"/>
                      <w:color w:val="auto"/>
                      <w:lang w:val="en-US" w:eastAsia="zh-CN"/>
                    </w:rPr>
                    <w:t>事故应急池</w:t>
                  </w:r>
                </w:p>
              </w:tc>
              <w:tc>
                <w:tcPr>
                  <w:tcW w:w="1175"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重点防渗区</w:t>
                  </w:r>
                </w:p>
              </w:tc>
              <w:tc>
                <w:tcPr>
                  <w:tcW w:w="3264"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等效黏土防渗层Mb≥6.0m，K≤1×10</w:t>
                  </w:r>
                  <w:r>
                    <w:rPr>
                      <w:rFonts w:ascii="Times New Roman" w:hAnsi="Times New Roman"/>
                      <w:color w:val="auto"/>
                      <w:szCs w:val="21"/>
                      <w:vertAlign w:val="superscript"/>
                    </w:rPr>
                    <w:t>-7</w:t>
                  </w:r>
                  <w:r>
                    <w:rPr>
                      <w:rFonts w:ascii="Times New Roman" w:hAnsi="Times New Roman"/>
                      <w:color w:val="auto"/>
                      <w:szCs w:val="21"/>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dxa"/>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w:t>
                  </w:r>
                </w:p>
              </w:tc>
              <w:tc>
                <w:tcPr>
                  <w:tcW w:w="3088" w:type="dxa"/>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生产车间</w:t>
                  </w:r>
                </w:p>
              </w:tc>
              <w:tc>
                <w:tcPr>
                  <w:tcW w:w="1175"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一般防渗区</w:t>
                  </w:r>
                </w:p>
              </w:tc>
              <w:tc>
                <w:tcPr>
                  <w:tcW w:w="3264"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等效粘土防渗层Mb≥1.5m，K≤10</w:t>
                  </w:r>
                  <w:r>
                    <w:rPr>
                      <w:rFonts w:ascii="Times New Roman" w:hAnsi="Times New Roman"/>
                      <w:color w:val="auto"/>
                      <w:szCs w:val="21"/>
                      <w:vertAlign w:val="superscript"/>
                    </w:rPr>
                    <w:t>-7</w:t>
                  </w:r>
                  <w:r>
                    <w:rPr>
                      <w:rFonts w:ascii="Times New Roman" w:hAnsi="Times New Roman"/>
                      <w:color w:val="auto"/>
                      <w:szCs w:val="21"/>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dxa"/>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w:t>
                  </w:r>
                </w:p>
              </w:tc>
              <w:tc>
                <w:tcPr>
                  <w:tcW w:w="3088"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其余辅助区域</w:t>
                  </w:r>
                </w:p>
              </w:tc>
              <w:tc>
                <w:tcPr>
                  <w:tcW w:w="1175"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简单防渗区</w:t>
                  </w:r>
                </w:p>
              </w:tc>
              <w:tc>
                <w:tcPr>
                  <w:tcW w:w="3264"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一般地面硬化</w:t>
                  </w:r>
                </w:p>
              </w:tc>
            </w:tr>
          </w:tbl>
          <w:p>
            <w:pPr>
              <w:pStyle w:val="58"/>
              <w:adjustRightInd w:val="0"/>
              <w:snapToGrid w:val="0"/>
              <w:rPr>
                <w:rFonts w:ascii="Times New Roman" w:hAnsi="Times New Roman"/>
                <w:color w:val="auto"/>
              </w:rPr>
            </w:pPr>
            <w:r>
              <w:rPr>
                <w:rFonts w:ascii="Times New Roman" w:hAnsi="Times New Roman"/>
                <w:color w:val="auto"/>
              </w:rPr>
              <w:t>通过上述措施，可大大减少污染物进入地下水的可能性；本项目</w:t>
            </w:r>
            <w:r>
              <w:rPr>
                <w:rFonts w:hint="eastAsia"/>
                <w:color w:val="auto"/>
                <w:lang w:val="en-US" w:eastAsia="zh-CN"/>
              </w:rPr>
              <w:t>是技改</w:t>
            </w:r>
            <w:r>
              <w:rPr>
                <w:rFonts w:ascii="Times New Roman" w:hAnsi="Times New Roman"/>
                <w:color w:val="auto"/>
              </w:rPr>
              <w:t>项目，正常情况下，对区域地下水环境的影响较小。</w:t>
            </w:r>
          </w:p>
          <w:p>
            <w:pPr>
              <w:adjustRightInd w:val="0"/>
              <w:snapToGrid w:val="0"/>
              <w:spacing w:line="360" w:lineRule="auto"/>
              <w:ind w:firstLine="482" w:firstLineChars="200"/>
              <w:jc w:val="left"/>
              <w:rPr>
                <w:rFonts w:ascii="Times New Roman" w:hAnsi="Times New Roman"/>
                <w:b/>
                <w:bCs/>
                <w:color w:val="auto"/>
                <w:sz w:val="24"/>
              </w:rPr>
            </w:pPr>
            <w:r>
              <w:rPr>
                <w:rFonts w:hint="eastAsia" w:ascii="Times New Roman" w:hAnsi="Times New Roman"/>
                <w:b/>
                <w:bCs/>
                <w:color w:val="auto"/>
                <w:sz w:val="24"/>
              </w:rPr>
              <w:t>（六）土壤</w:t>
            </w:r>
          </w:p>
          <w:p>
            <w:pPr>
              <w:pStyle w:val="18"/>
              <w:spacing w:after="0" w:line="360" w:lineRule="auto"/>
              <w:ind w:firstLine="480"/>
              <w:rPr>
                <w:rFonts w:ascii="Times New Roman" w:hAnsi="Times New Roman" w:eastAsia="宋体" w:cs="Times New Roman"/>
                <w:b w:val="0"/>
                <w:bCs/>
                <w:color w:val="auto"/>
              </w:rPr>
            </w:pPr>
            <w:r>
              <w:rPr>
                <w:rFonts w:hint="eastAsia" w:ascii="Times New Roman" w:hAnsi="Times New Roman" w:eastAsia="宋体" w:cs="Times New Roman"/>
                <w:b w:val="0"/>
                <w:bCs/>
                <w:color w:val="auto"/>
              </w:rPr>
              <w:t>（1）</w:t>
            </w:r>
            <w:r>
              <w:rPr>
                <w:rFonts w:ascii="Times New Roman" w:hAnsi="Times New Roman" w:eastAsia="宋体" w:cs="Times New Roman"/>
                <w:b w:val="0"/>
                <w:bCs/>
                <w:color w:val="auto"/>
              </w:rPr>
              <w:t>土壤环境污染源及</w:t>
            </w:r>
            <w:r>
              <w:rPr>
                <w:rFonts w:hint="eastAsia" w:ascii="Times New Roman" w:hAnsi="Times New Roman" w:eastAsia="宋体" w:cs="Times New Roman"/>
                <w:b w:val="0"/>
                <w:bCs/>
                <w:color w:val="auto"/>
              </w:rPr>
              <w:t>污染途径</w:t>
            </w:r>
          </w:p>
          <w:p>
            <w:pPr>
              <w:pStyle w:val="18"/>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本项目相关工程防渗措施均按照设计要求进行，采取严格的防渗、防溢流等措施，正常状况下，项目潜在土壤污染源不会对土壤造成污染。</w:t>
            </w:r>
          </w:p>
          <w:p>
            <w:pPr>
              <w:pStyle w:val="18"/>
              <w:spacing w:after="0" w:line="360" w:lineRule="auto"/>
              <w:ind w:firstLine="480"/>
              <w:rPr>
                <w:rFonts w:ascii="Times New Roman" w:hAnsi="Times New Roman"/>
                <w:b w:val="0"/>
                <w:bCs/>
                <w:color w:val="auto"/>
              </w:rPr>
            </w:pPr>
            <w:r>
              <w:rPr>
                <w:rFonts w:ascii="Times New Roman" w:hAnsi="Times New Roman" w:eastAsia="宋体" w:cs="Times New Roman"/>
                <w:b w:val="0"/>
                <w:bCs/>
                <w:color w:val="auto"/>
              </w:rPr>
              <w:t>非正常工况下，项目土壤环境污染源及</w:t>
            </w:r>
            <w:r>
              <w:rPr>
                <w:rFonts w:hint="eastAsia" w:ascii="Times New Roman" w:hAnsi="Times New Roman" w:eastAsia="宋体" w:cs="Times New Roman"/>
                <w:b w:val="0"/>
                <w:bCs/>
                <w:color w:val="auto"/>
              </w:rPr>
              <w:t>污染途径</w:t>
            </w:r>
            <w:r>
              <w:rPr>
                <w:rFonts w:ascii="Times New Roman" w:hAnsi="Times New Roman" w:eastAsia="宋体" w:cs="Times New Roman"/>
                <w:b w:val="0"/>
                <w:bCs/>
                <w:color w:val="auto"/>
              </w:rPr>
              <w:t>如下表</w:t>
            </w:r>
            <w:r>
              <w:rPr>
                <w:rFonts w:hint="eastAsia" w:ascii="Times New Roman" w:hAnsi="Times New Roman" w:eastAsia="宋体" w:cs="Times New Roman"/>
                <w:b w:val="0"/>
                <w:bCs/>
                <w:color w:val="auto"/>
              </w:rPr>
              <w:t>4-</w:t>
            </w:r>
            <w:r>
              <w:rPr>
                <w:rFonts w:hint="eastAsia" w:ascii="Times New Roman" w:hAnsi="Times New Roman" w:eastAsia="宋体" w:cs="Times New Roman"/>
                <w:b w:val="0"/>
                <w:bCs/>
                <w:color w:val="auto"/>
                <w:lang w:val="en-US" w:eastAsia="zh-CN"/>
              </w:rPr>
              <w:t>3</w:t>
            </w:r>
            <w:r>
              <w:rPr>
                <w:rFonts w:hint="eastAsia" w:ascii="Times New Roman" w:eastAsia="宋体" w:cs="Times New Roman"/>
                <w:b w:val="0"/>
                <w:bCs/>
                <w:color w:val="auto"/>
                <w:lang w:val="en-US" w:eastAsia="zh-CN"/>
              </w:rPr>
              <w:t>7</w:t>
            </w:r>
            <w:r>
              <w:rPr>
                <w:rFonts w:ascii="Times New Roman" w:hAnsi="Times New Roman" w:eastAsia="宋体" w:cs="Times New Roman"/>
                <w:b w:val="0"/>
                <w:bCs/>
                <w:color w:val="auto"/>
              </w:rPr>
              <w:t>。</w:t>
            </w:r>
          </w:p>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表4-</w:t>
            </w:r>
            <w:r>
              <w:rPr>
                <w:rFonts w:hint="eastAsia" w:ascii="Times New Roman" w:hAnsi="Times New Roman"/>
                <w:b/>
                <w:bCs/>
                <w:color w:val="auto"/>
                <w:szCs w:val="21"/>
                <w:lang w:val="en-US" w:eastAsia="zh-CN"/>
              </w:rPr>
              <w:t>3</w:t>
            </w:r>
            <w:r>
              <w:rPr>
                <w:rFonts w:hint="eastAsia"/>
                <w:b/>
                <w:bCs/>
                <w:color w:val="auto"/>
                <w:szCs w:val="21"/>
                <w:lang w:val="en-US" w:eastAsia="zh-CN"/>
              </w:rPr>
              <w:t>7</w:t>
            </w:r>
            <w:r>
              <w:rPr>
                <w:rFonts w:ascii="Times New Roman" w:hAnsi="Times New Roman"/>
                <w:b/>
                <w:bCs/>
                <w:color w:val="auto"/>
                <w:szCs w:val="21"/>
              </w:rPr>
              <w:t>土壤环境污染源及</w:t>
            </w:r>
            <w:r>
              <w:rPr>
                <w:rFonts w:hint="eastAsia" w:ascii="Times New Roman" w:hAnsi="Times New Roman"/>
                <w:b/>
                <w:bCs/>
                <w:color w:val="auto"/>
                <w:szCs w:val="21"/>
              </w:rPr>
              <w:t>污染途径</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1443"/>
              <w:gridCol w:w="1092"/>
              <w:gridCol w:w="2201"/>
              <w:gridCol w:w="1043"/>
              <w:gridCol w:w="1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5" w:type="pct"/>
                  <w:tcBorders>
                    <w:tl2br w:val="nil"/>
                    <w:tr2bl w:val="nil"/>
                  </w:tcBorders>
                  <w:vAlign w:val="center"/>
                </w:tcPr>
                <w:p>
                  <w:pPr>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污染源</w:t>
                  </w:r>
                </w:p>
              </w:tc>
              <w:tc>
                <w:tcPr>
                  <w:tcW w:w="872" w:type="pct"/>
                  <w:tcBorders>
                    <w:tl2br w:val="nil"/>
                    <w:tr2bl w:val="nil"/>
                  </w:tcBorders>
                  <w:vAlign w:val="center"/>
                </w:tcPr>
                <w:p>
                  <w:pPr>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工艺流程/节点</w:t>
                  </w:r>
                </w:p>
              </w:tc>
              <w:tc>
                <w:tcPr>
                  <w:tcW w:w="660" w:type="pct"/>
                  <w:tcBorders>
                    <w:tl2br w:val="nil"/>
                    <w:tr2bl w:val="nil"/>
                  </w:tcBorders>
                  <w:vAlign w:val="center"/>
                </w:tcPr>
                <w:p>
                  <w:pPr>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污染途径</w:t>
                  </w:r>
                </w:p>
              </w:tc>
              <w:tc>
                <w:tcPr>
                  <w:tcW w:w="1330" w:type="pct"/>
                  <w:tcBorders>
                    <w:tl2br w:val="nil"/>
                    <w:tr2bl w:val="nil"/>
                  </w:tcBorders>
                  <w:vAlign w:val="center"/>
                </w:tcPr>
                <w:p>
                  <w:pPr>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全部污染物指标</w:t>
                  </w:r>
                </w:p>
              </w:tc>
              <w:tc>
                <w:tcPr>
                  <w:tcW w:w="630" w:type="pct"/>
                  <w:tcBorders>
                    <w:tl2br w:val="nil"/>
                    <w:tr2bl w:val="nil"/>
                  </w:tcBorders>
                  <w:vAlign w:val="center"/>
                </w:tcPr>
                <w:p>
                  <w:pPr>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特征因子</w:t>
                  </w:r>
                </w:p>
              </w:tc>
              <w:tc>
                <w:tcPr>
                  <w:tcW w:w="680" w:type="pct"/>
                  <w:tcBorders>
                    <w:tl2br w:val="nil"/>
                    <w:tr2bl w:val="nil"/>
                  </w:tcBorders>
                  <w:vAlign w:val="center"/>
                </w:tcPr>
                <w:p>
                  <w:pPr>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5"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ascii="Times New Roman" w:hAnsi="Times New Roman"/>
                      <w:color w:val="auto"/>
                      <w:szCs w:val="21"/>
                    </w:rPr>
                    <w:t>固废</w:t>
                  </w:r>
                </w:p>
              </w:tc>
              <w:tc>
                <w:tcPr>
                  <w:tcW w:w="872"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ascii="Times New Roman" w:hAnsi="Times New Roman"/>
                      <w:color w:val="auto"/>
                      <w:szCs w:val="21"/>
                    </w:rPr>
                    <w:t>危废仓库</w:t>
                  </w:r>
                </w:p>
              </w:tc>
              <w:tc>
                <w:tcPr>
                  <w:tcW w:w="66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ascii="Times New Roman" w:hAnsi="Times New Roman"/>
                      <w:color w:val="auto"/>
                      <w:szCs w:val="21"/>
                    </w:rPr>
                    <w:t>垂直入渗</w:t>
                  </w:r>
                </w:p>
              </w:tc>
              <w:tc>
                <w:tcPr>
                  <w:tcW w:w="1330" w:type="pct"/>
                  <w:tcBorders>
                    <w:tl2br w:val="nil"/>
                    <w:tr2bl w:val="nil"/>
                  </w:tcBorders>
                  <w:vAlign w:val="center"/>
                </w:tcPr>
                <w:p>
                  <w:pPr>
                    <w:adjustRightInd w:val="0"/>
                    <w:snapToGrid w:val="0"/>
                    <w:spacing w:line="320" w:lineRule="exact"/>
                    <w:jc w:val="center"/>
                    <w:rPr>
                      <w:rFonts w:hint="default" w:ascii="Times New Roman" w:hAnsi="Times New Roman" w:eastAsia="宋体"/>
                      <w:color w:val="auto"/>
                      <w:szCs w:val="21"/>
                      <w:lang w:val="en-US" w:eastAsia="zh-CN"/>
                    </w:rPr>
                  </w:pPr>
                  <w:r>
                    <w:rPr>
                      <w:rFonts w:ascii="Times New Roman" w:hAnsi="Times New Roman"/>
                      <w:color w:val="auto"/>
                      <w:szCs w:val="21"/>
                    </w:rPr>
                    <w:t>项目危废</w:t>
                  </w:r>
                  <w:r>
                    <w:rPr>
                      <w:rFonts w:hint="eastAsia" w:ascii="Times New Roman" w:hAnsi="Times New Roman"/>
                      <w:lang w:eastAsia="zh-CN"/>
                    </w:rPr>
                    <w:t>、</w:t>
                  </w:r>
                  <w:r>
                    <w:rPr>
                      <w:rFonts w:hint="eastAsia" w:ascii="Times New Roman" w:hAnsi="Times New Roman"/>
                      <w:lang w:val="en-US" w:eastAsia="zh-CN"/>
                    </w:rPr>
                    <w:t>非甲烷总烃、石油类</w:t>
                  </w:r>
                </w:p>
              </w:tc>
              <w:tc>
                <w:tcPr>
                  <w:tcW w:w="63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ascii="Times New Roman" w:hAnsi="Times New Roman"/>
                      <w:color w:val="auto"/>
                      <w:szCs w:val="21"/>
                    </w:rPr>
                    <w:t>/</w:t>
                  </w:r>
                </w:p>
              </w:tc>
              <w:tc>
                <w:tcPr>
                  <w:tcW w:w="680" w:type="pct"/>
                  <w:tcBorders>
                    <w:tl2br w:val="nil"/>
                    <w:tr2bl w:val="nil"/>
                  </w:tcBorders>
                  <w:vAlign w:val="center"/>
                </w:tcPr>
                <w:p>
                  <w:pPr>
                    <w:adjustRightInd w:val="0"/>
                    <w:snapToGrid w:val="0"/>
                    <w:spacing w:line="320" w:lineRule="exact"/>
                    <w:jc w:val="center"/>
                    <w:rPr>
                      <w:rFonts w:hint="default" w:ascii="Times New Roman" w:hAnsi="Times New Roman"/>
                      <w:color w:val="auto"/>
                      <w:szCs w:val="21"/>
                      <w:lang w:val="en-US"/>
                    </w:rPr>
                  </w:pPr>
                  <w:r>
                    <w:rPr>
                      <w:rFonts w:hint="eastAsia" w:ascii="Times New Roman" w:hAnsi="Times New Roman"/>
                      <w:color w:val="auto"/>
                      <w:szCs w:val="21"/>
                      <w:lang w:val="en-US" w:eastAsia="zh-CN"/>
                    </w:rPr>
                    <w:t>事故情形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825"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废气治理设施</w:t>
                  </w:r>
                </w:p>
              </w:tc>
              <w:tc>
                <w:tcPr>
                  <w:tcW w:w="872"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废气治理</w:t>
                  </w:r>
                </w:p>
              </w:tc>
              <w:tc>
                <w:tcPr>
                  <w:tcW w:w="66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大气沉降</w:t>
                  </w:r>
                </w:p>
              </w:tc>
              <w:tc>
                <w:tcPr>
                  <w:tcW w:w="1330" w:type="pct"/>
                  <w:tcBorders>
                    <w:tl2br w:val="nil"/>
                    <w:tr2bl w:val="nil"/>
                  </w:tcBorders>
                  <w:vAlign w:val="center"/>
                </w:tcPr>
                <w:p>
                  <w:pPr>
                    <w:adjustRightInd w:val="0"/>
                    <w:snapToGrid w:val="0"/>
                    <w:spacing w:line="32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rPr>
                    <w:t>非甲烷总烃</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颗粒物</w:t>
                  </w:r>
                </w:p>
              </w:tc>
              <w:tc>
                <w:tcPr>
                  <w:tcW w:w="63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非甲烷总烃</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颗粒物</w:t>
                  </w:r>
                </w:p>
              </w:tc>
              <w:tc>
                <w:tcPr>
                  <w:tcW w:w="68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事故情形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5"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原料仓库</w:t>
                  </w:r>
                </w:p>
              </w:tc>
              <w:tc>
                <w:tcPr>
                  <w:tcW w:w="872"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原料仓库</w:t>
                  </w:r>
                </w:p>
              </w:tc>
              <w:tc>
                <w:tcPr>
                  <w:tcW w:w="66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垂直入渗</w:t>
                  </w:r>
                </w:p>
              </w:tc>
              <w:tc>
                <w:tcPr>
                  <w:tcW w:w="1330" w:type="pct"/>
                  <w:tcBorders>
                    <w:tl2br w:val="nil"/>
                    <w:tr2bl w:val="nil"/>
                  </w:tcBorders>
                  <w:vAlign w:val="center"/>
                </w:tcPr>
                <w:p>
                  <w:pPr>
                    <w:adjustRightInd w:val="0"/>
                    <w:snapToGrid w:val="0"/>
                    <w:spacing w:line="320" w:lineRule="exact"/>
                    <w:jc w:val="center"/>
                    <w:rPr>
                      <w:rFonts w:ascii="Times New Roman" w:hAnsi="Times New Roman"/>
                      <w:color w:val="auto"/>
                      <w:kern w:val="0"/>
                      <w:szCs w:val="21"/>
                    </w:rPr>
                  </w:pPr>
                  <w:r>
                    <w:rPr>
                      <w:rFonts w:hint="eastAsia" w:ascii="Times New Roman" w:hAnsi="Times New Roman"/>
                      <w:color w:val="auto"/>
                      <w:kern w:val="0"/>
                      <w:szCs w:val="21"/>
                    </w:rPr>
                    <w:t>非甲烷总烃</w:t>
                  </w:r>
                </w:p>
              </w:tc>
              <w:tc>
                <w:tcPr>
                  <w:tcW w:w="63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非甲烷总烃</w:t>
                  </w:r>
                </w:p>
              </w:tc>
              <w:tc>
                <w:tcPr>
                  <w:tcW w:w="680" w:type="pct"/>
                  <w:tcBorders>
                    <w:tl2br w:val="nil"/>
                    <w:tr2bl w:val="nil"/>
                  </w:tcBorders>
                  <w:vAlign w:val="center"/>
                </w:tcPr>
                <w:p>
                  <w:pPr>
                    <w:adjustRightInd w:val="0"/>
                    <w:snapToGrid w:val="0"/>
                    <w:spacing w:line="320" w:lineRule="exact"/>
                    <w:jc w:val="center"/>
                    <w:rPr>
                      <w:rFonts w:ascii="Times New Roman" w:hAnsi="Times New Roman"/>
                      <w:color w:val="auto"/>
                      <w:szCs w:val="21"/>
                    </w:rPr>
                  </w:pPr>
                  <w:r>
                    <w:rPr>
                      <w:rFonts w:hint="eastAsia" w:ascii="Times New Roman" w:hAnsi="Times New Roman"/>
                      <w:color w:val="auto"/>
                      <w:szCs w:val="21"/>
                    </w:rPr>
                    <w:t>事故泄漏</w:t>
                  </w:r>
                </w:p>
              </w:tc>
            </w:tr>
          </w:tbl>
          <w:p>
            <w:pPr>
              <w:pStyle w:val="58"/>
              <w:adjustRightInd w:val="0"/>
              <w:snapToGrid w:val="0"/>
              <w:rPr>
                <w:rFonts w:ascii="Times New Roman" w:hAnsi="Times New Roman"/>
                <w:color w:val="auto"/>
              </w:rPr>
            </w:pPr>
            <w:r>
              <w:rPr>
                <w:rFonts w:hint="eastAsia" w:ascii="Times New Roman" w:hAnsi="Times New Roman"/>
                <w:color w:val="auto"/>
              </w:rPr>
              <w:t>本项目危废仓库将严格按照《危险废物贮存污染控制标准》（GB18597-2023）的要求建设和维护使用，设有截流措施，且暂存的危险废物均定期送有资质单位进行处置，因此，事故情形下泄漏风险很小，本章节不予考虑。</w:t>
            </w:r>
          </w:p>
          <w:p>
            <w:pPr>
              <w:pStyle w:val="58"/>
              <w:adjustRightInd w:val="0"/>
              <w:snapToGrid w:val="0"/>
              <w:rPr>
                <w:rFonts w:ascii="Times New Roman" w:hAnsi="Times New Roman"/>
                <w:color w:val="auto"/>
              </w:rPr>
            </w:pPr>
            <w:r>
              <w:rPr>
                <w:rFonts w:hint="eastAsia" w:ascii="Times New Roman" w:hAnsi="Times New Roman"/>
                <w:color w:val="auto"/>
              </w:rPr>
              <w:t>（2）</w:t>
            </w:r>
            <w:r>
              <w:rPr>
                <w:rFonts w:ascii="Times New Roman" w:hAnsi="Times New Roman"/>
                <w:color w:val="auto"/>
              </w:rPr>
              <w:t>土壤</w:t>
            </w:r>
            <w:r>
              <w:rPr>
                <w:rFonts w:hint="eastAsia" w:ascii="Times New Roman" w:hAnsi="Times New Roman"/>
                <w:color w:val="auto"/>
              </w:rPr>
              <w:t>污染控制</w:t>
            </w:r>
            <w:r>
              <w:rPr>
                <w:rFonts w:ascii="Times New Roman" w:hAnsi="Times New Roman"/>
                <w:color w:val="auto"/>
              </w:rPr>
              <w:t>措施</w:t>
            </w:r>
          </w:p>
          <w:p>
            <w:pPr>
              <w:pStyle w:val="58"/>
              <w:adjustRightInd w:val="0"/>
              <w:snapToGrid w:val="0"/>
              <w:rPr>
                <w:rFonts w:ascii="Times New Roman" w:hAnsi="Times New Roman"/>
                <w:color w:val="auto"/>
              </w:rPr>
            </w:pPr>
            <w:r>
              <w:rPr>
                <w:rFonts w:hint="eastAsia" w:ascii="Times New Roman" w:hAnsi="Times New Roman"/>
                <w:color w:val="auto"/>
              </w:rPr>
              <w:t>①加强对安全生产的控制，及时检修生产设备运行情况。</w:t>
            </w:r>
          </w:p>
          <w:p>
            <w:pPr>
              <w:pStyle w:val="58"/>
              <w:adjustRightInd w:val="0"/>
              <w:snapToGrid w:val="0"/>
              <w:rPr>
                <w:rFonts w:ascii="Times New Roman" w:hAnsi="Times New Roman"/>
                <w:color w:val="auto"/>
              </w:rPr>
            </w:pPr>
            <w:r>
              <w:rPr>
                <w:rFonts w:hint="eastAsia" w:ascii="Times New Roman" w:hAnsi="Times New Roman"/>
                <w:color w:val="auto"/>
              </w:rPr>
              <w:t>②</w:t>
            </w:r>
            <w:r>
              <w:rPr>
                <w:rFonts w:ascii="Times New Roman" w:hAnsi="Times New Roman"/>
                <w:color w:val="auto"/>
              </w:rPr>
              <w:t>此外，一旦发生土壤污染事故，立即</w:t>
            </w:r>
            <w:r>
              <w:rPr>
                <w:rFonts w:hint="eastAsia" w:ascii="Times New Roman" w:hAnsi="Times New Roman"/>
                <w:color w:val="auto"/>
              </w:rPr>
              <w:t>启动</w:t>
            </w:r>
            <w:r>
              <w:rPr>
                <w:rFonts w:ascii="Times New Roman" w:hAnsi="Times New Roman"/>
                <w:color w:val="auto"/>
              </w:rPr>
              <w:t>企业环境风险应急预案，采取应急措施控制土壤污染，并使污染得到治理。</w:t>
            </w:r>
          </w:p>
          <w:p>
            <w:pPr>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综上分析，本项目建成后，正常情况下，对区域土壤环境的影响较小</w:t>
            </w:r>
            <w:r>
              <w:rPr>
                <w:rFonts w:hint="eastAsia" w:ascii="Times New Roman" w:hAnsi="Times New Roman"/>
                <w:color w:val="auto"/>
                <w:sz w:val="24"/>
              </w:rPr>
              <w:t>。通过采取以上措施后，可以有效防止地下水、土壤污染，无需进行跟踪监测。</w:t>
            </w:r>
          </w:p>
          <w:p>
            <w:pPr>
              <w:pStyle w:val="59"/>
              <w:spacing w:line="360" w:lineRule="auto"/>
              <w:ind w:firstLine="482"/>
              <w:rPr>
                <w:rFonts w:ascii="Times New Roman" w:hAnsi="Times New Roman"/>
                <w:b/>
                <w:color w:val="auto"/>
              </w:rPr>
            </w:pPr>
            <w:r>
              <w:rPr>
                <w:rFonts w:hint="eastAsia" w:ascii="Times New Roman" w:hAnsi="Times New Roman"/>
                <w:b/>
                <w:color w:val="auto"/>
              </w:rPr>
              <w:t>（七）</w:t>
            </w:r>
            <w:r>
              <w:rPr>
                <w:rFonts w:ascii="Times New Roman" w:hAnsi="Times New Roman"/>
                <w:b/>
                <w:color w:val="auto"/>
              </w:rPr>
              <w:t>生态</w:t>
            </w:r>
          </w:p>
          <w:p>
            <w:pPr>
              <w:adjustRightInd w:val="0"/>
              <w:snapToGrid w:val="0"/>
              <w:spacing w:line="360" w:lineRule="auto"/>
              <w:ind w:firstLine="480" w:firstLineChars="200"/>
              <w:jc w:val="left"/>
              <w:rPr>
                <w:rFonts w:ascii="Times New Roman" w:hAnsi="Times New Roman"/>
                <w:b/>
                <w:bCs/>
                <w:color w:val="auto"/>
                <w:sz w:val="24"/>
              </w:rPr>
            </w:pPr>
            <w:r>
              <w:rPr>
                <w:rFonts w:ascii="Times New Roman" w:hAnsi="Times New Roman"/>
                <w:bCs/>
                <w:color w:val="auto"/>
                <w:sz w:val="24"/>
              </w:rPr>
              <w:t>项目周围无自然保护区及文物古迹等特殊保护对象。项目占地比较平缓，水土流失比较小，因而对生态造成影响较小，项目产生的污染物经有效处理后，对生态造成的影响较小。</w:t>
            </w:r>
          </w:p>
          <w:p>
            <w:pPr>
              <w:adjustRightInd w:val="0"/>
              <w:snapToGrid w:val="0"/>
              <w:spacing w:line="360" w:lineRule="auto"/>
              <w:ind w:firstLine="482" w:firstLineChars="200"/>
              <w:jc w:val="left"/>
              <w:rPr>
                <w:rFonts w:ascii="Times New Roman" w:hAnsi="Times New Roman"/>
                <w:b/>
                <w:bCs/>
                <w:color w:val="auto"/>
                <w:sz w:val="24"/>
              </w:rPr>
            </w:pPr>
            <w:r>
              <w:rPr>
                <w:rFonts w:hint="eastAsia" w:ascii="Times New Roman" w:hAnsi="Times New Roman"/>
                <w:b/>
                <w:bCs/>
                <w:color w:val="auto"/>
                <w:sz w:val="24"/>
              </w:rPr>
              <w:t>（八）环境风险</w:t>
            </w:r>
          </w:p>
          <w:p>
            <w:pPr>
              <w:pStyle w:val="58"/>
              <w:adjustRightInd w:val="0"/>
              <w:snapToGrid w:val="0"/>
              <w:rPr>
                <w:rFonts w:ascii="Times New Roman" w:hAnsi="Times New Roman"/>
                <w:b/>
                <w:bCs/>
                <w:color w:val="auto"/>
              </w:rPr>
            </w:pPr>
            <w:r>
              <w:rPr>
                <w:rFonts w:ascii="Times New Roman" w:hAnsi="Times New Roman"/>
                <w:color w:val="auto"/>
              </w:rPr>
              <w:t>环境风险评价的目的是分析和预测建设项目存在的潜在危险、有害因素，项目建设和运行期间可能发生的突发性事件或事故</w:t>
            </w:r>
            <w:r>
              <w:rPr>
                <w:rFonts w:hint="eastAsia" w:ascii="Times New Roman" w:hAnsi="Times New Roman"/>
                <w:color w:val="auto"/>
              </w:rPr>
              <w:t>（</w:t>
            </w:r>
            <w:r>
              <w:rPr>
                <w:rFonts w:ascii="Times New Roman" w:hAnsi="Times New Roman"/>
                <w:color w:val="auto"/>
              </w:rPr>
              <w:t>一般不包括人为破坏及自然灾害</w:t>
            </w:r>
            <w:r>
              <w:rPr>
                <w:rFonts w:hint="eastAsia" w:ascii="Times New Roman" w:hAnsi="Times New Roman"/>
                <w:color w:val="auto"/>
              </w:rPr>
              <w:t>）</w:t>
            </w:r>
            <w:r>
              <w:rPr>
                <w:rFonts w:ascii="Times New Roman" w:hAnsi="Times New Roman"/>
                <w:color w:val="auto"/>
              </w:rPr>
              <w:t>，引起有毒有害和易燃易爆等物质泄漏，所造成的人身安全与环境影响和损害程度，提出合理可行的防范、应急与减缓措施，使建设项目事故率、损失和环境影响能够达到可接受水平。</w:t>
            </w:r>
          </w:p>
          <w:p>
            <w:pPr>
              <w:adjustRightInd w:val="0"/>
              <w:snapToGrid w:val="0"/>
              <w:spacing w:line="360" w:lineRule="auto"/>
              <w:ind w:firstLine="480"/>
              <w:rPr>
                <w:rFonts w:ascii="Times New Roman" w:hAnsi="Times New Roman"/>
                <w:b/>
                <w:bCs/>
                <w:color w:val="auto"/>
                <w:sz w:val="24"/>
              </w:rPr>
            </w:pPr>
            <w:r>
              <w:rPr>
                <w:rFonts w:ascii="Times New Roman" w:hAnsi="Times New Roman"/>
                <w:b/>
                <w:bCs/>
                <w:color w:val="auto"/>
                <w:sz w:val="24"/>
              </w:rPr>
              <w:t>（1）环境风险潜势初判</w:t>
            </w:r>
          </w:p>
          <w:p>
            <w:pPr>
              <w:pStyle w:val="18"/>
              <w:spacing w:after="0" w:line="360" w:lineRule="auto"/>
              <w:ind w:firstLine="480"/>
              <w:rPr>
                <w:rFonts w:ascii="Times New Roman" w:hAnsi="Times New Roman" w:eastAsia="宋体" w:cs="Times New Roman"/>
                <w:bCs/>
                <w:color w:val="auto"/>
              </w:rPr>
            </w:pPr>
            <w:r>
              <w:rPr>
                <w:rFonts w:ascii="Times New Roman" w:hAnsi="Times New Roman" w:eastAsia="宋体" w:cs="Times New Roman"/>
                <w:b w:val="0"/>
                <w:bCs/>
                <w:color w:val="auto"/>
              </w:rPr>
              <w:t>根据《建设项目环境风险评价技术导则》(HJ169-2018) ，环境风险评价工作等级划分为一级、二级、三级。建设项目涉及的物质及工艺系统危险性和所在地的环境敏感性确定环境风险潜势，按照表</w:t>
            </w:r>
            <w:r>
              <w:rPr>
                <w:rFonts w:hint="eastAsia" w:ascii="Times New Roman" w:hAnsi="Times New Roman" w:eastAsia="宋体" w:cs="Times New Roman"/>
                <w:b w:val="0"/>
                <w:bCs/>
                <w:color w:val="auto"/>
              </w:rPr>
              <w:t>4</w:t>
            </w:r>
            <w:r>
              <w:rPr>
                <w:rFonts w:ascii="Times New Roman" w:hAnsi="Times New Roman" w:eastAsia="宋体" w:cs="Times New Roman"/>
                <w:b w:val="0"/>
                <w:bCs/>
                <w:color w:val="auto"/>
              </w:rPr>
              <w:t>-</w:t>
            </w:r>
            <w:r>
              <w:rPr>
                <w:rFonts w:hint="eastAsia" w:ascii="Times New Roman" w:hAnsi="Times New Roman" w:eastAsia="宋体" w:cs="Times New Roman"/>
                <w:b w:val="0"/>
                <w:bCs/>
                <w:color w:val="auto"/>
              </w:rPr>
              <w:t>3</w:t>
            </w:r>
            <w:r>
              <w:rPr>
                <w:rFonts w:hint="eastAsia" w:ascii="Times New Roman" w:eastAsia="宋体" w:cs="Times New Roman"/>
                <w:b w:val="0"/>
                <w:bCs/>
                <w:color w:val="auto"/>
                <w:lang w:val="en-US" w:eastAsia="zh-CN"/>
              </w:rPr>
              <w:t>8</w:t>
            </w:r>
            <w:r>
              <w:rPr>
                <w:rFonts w:ascii="Times New Roman" w:hAnsi="Times New Roman" w:eastAsia="宋体" w:cs="Times New Roman"/>
                <w:b w:val="0"/>
                <w:bCs/>
                <w:color w:val="auto"/>
              </w:rPr>
              <w:t>确定评价工作等级。</w:t>
            </w:r>
          </w:p>
          <w:p>
            <w:pPr>
              <w:pStyle w:val="18"/>
              <w:spacing w:after="0" w:line="240" w:lineRule="auto"/>
              <w:ind w:firstLine="422"/>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rPr>
              <w:t>4</w:t>
            </w:r>
            <w:r>
              <w:rPr>
                <w:rFonts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rPr>
              <w:t>3</w:t>
            </w:r>
            <w:r>
              <w:rPr>
                <w:rFonts w:hint="eastAsia" w:ascii="Times New Roman" w:eastAsia="宋体" w:cs="Times New Roman"/>
                <w:bCs/>
                <w:color w:val="auto"/>
                <w:sz w:val="21"/>
                <w:szCs w:val="21"/>
                <w:lang w:val="en-US" w:eastAsia="zh-CN"/>
              </w:rPr>
              <w:t>8</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评价工作等级划分</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87"/>
              <w:gridCol w:w="1698"/>
              <w:gridCol w:w="1663"/>
              <w:gridCol w:w="1663"/>
              <w:gridCol w:w="16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42" w:type="dxa"/>
                  <w:tcBorders>
                    <w:tl2br w:val="nil"/>
                    <w:tr2bl w:val="nil"/>
                  </w:tcBorders>
                  <w:vAlign w:val="center"/>
                </w:tcPr>
                <w:p>
                  <w:pPr>
                    <w:pStyle w:val="18"/>
                    <w:spacing w:after="0" w:line="320" w:lineRule="exact"/>
                    <w:ind w:firstLine="0" w:firstLineChars="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环境风险潜势</w:t>
                  </w:r>
                </w:p>
              </w:tc>
              <w:tc>
                <w:tcPr>
                  <w:tcW w:w="1843"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Ⅳ、Ⅳ+</w:t>
                  </w:r>
                </w:p>
              </w:tc>
              <w:tc>
                <w:tcPr>
                  <w:tcW w:w="1843"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Ⅲ</w:t>
                  </w:r>
                </w:p>
              </w:tc>
              <w:tc>
                <w:tcPr>
                  <w:tcW w:w="1843"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Ⅱ</w:t>
                  </w:r>
                </w:p>
              </w:tc>
              <w:tc>
                <w:tcPr>
                  <w:tcW w:w="1846"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42" w:type="dxa"/>
                  <w:tcBorders>
                    <w:tl2br w:val="nil"/>
                    <w:tr2bl w:val="nil"/>
                  </w:tcBorders>
                  <w:vAlign w:val="center"/>
                </w:tcPr>
                <w:p>
                  <w:pPr>
                    <w:pStyle w:val="18"/>
                    <w:spacing w:after="0" w:line="320" w:lineRule="exact"/>
                    <w:ind w:firstLine="0" w:firstLineChars="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评价工作等级</w:t>
                  </w:r>
                </w:p>
              </w:tc>
              <w:tc>
                <w:tcPr>
                  <w:tcW w:w="1843"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一</w:t>
                  </w:r>
                </w:p>
              </w:tc>
              <w:tc>
                <w:tcPr>
                  <w:tcW w:w="1843"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二</w:t>
                  </w:r>
                </w:p>
              </w:tc>
              <w:tc>
                <w:tcPr>
                  <w:tcW w:w="1843"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三</w:t>
                  </w:r>
                </w:p>
              </w:tc>
              <w:tc>
                <w:tcPr>
                  <w:tcW w:w="1846" w:type="dxa"/>
                  <w:tcBorders>
                    <w:tl2br w:val="nil"/>
                    <w:tr2bl w:val="nil"/>
                  </w:tcBorders>
                  <w:vAlign w:val="center"/>
                </w:tcPr>
                <w:p>
                  <w:pPr>
                    <w:pStyle w:val="18"/>
                    <w:spacing w:after="0" w:line="320" w:lineRule="exact"/>
                    <w:ind w:firstLine="42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简单分析</w:t>
                  </w:r>
                  <w:r>
                    <w:rPr>
                      <w:rFonts w:ascii="Times New Roman" w:hAnsi="Times New Roman" w:eastAsia="宋体" w:cs="Times New Roman"/>
                      <w:b w:val="0"/>
                      <w:bCs/>
                      <w:color w:val="auto"/>
                      <w:sz w:val="21"/>
                      <w:szCs w:val="21"/>
                      <w:vertAlign w:val="superscript"/>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17" w:type="dxa"/>
                  <w:gridSpan w:val="5"/>
                  <w:tcBorders>
                    <w:tl2br w:val="nil"/>
                    <w:tr2bl w:val="nil"/>
                  </w:tcBorders>
                  <w:vAlign w:val="center"/>
                </w:tcPr>
                <w:p>
                  <w:pPr>
                    <w:pStyle w:val="18"/>
                    <w:spacing w:after="0" w:line="320" w:lineRule="exact"/>
                    <w:ind w:firstLine="42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vertAlign w:val="superscript"/>
                    </w:rPr>
                    <w:t>a</w:t>
                  </w:r>
                  <w:r>
                    <w:rPr>
                      <w:rFonts w:ascii="Times New Roman" w:hAnsi="Times New Roman" w:eastAsia="宋体" w:cs="Times New Roman"/>
                      <w:b w:val="0"/>
                      <w:bCs/>
                      <w:color w:val="auto"/>
                      <w:sz w:val="21"/>
                      <w:szCs w:val="21"/>
                    </w:rPr>
                    <w:t>是相对于详细评价工作内容而言，在描述危险物质、环境影响途径、环境危害后果、风险防范措施等方面给出定性的说明。</w:t>
                  </w:r>
                </w:p>
              </w:tc>
            </w:tr>
          </w:tbl>
          <w:p>
            <w:pPr>
              <w:pStyle w:val="18"/>
              <w:adjustRightInd/>
              <w:spacing w:after="0" w:line="360" w:lineRule="auto"/>
              <w:ind w:firstLine="482"/>
              <w:rPr>
                <w:rFonts w:ascii="Times New Roman" w:hAnsi="Times New Roman" w:eastAsia="宋体" w:cs="Times New Roman"/>
                <w:color w:val="auto"/>
              </w:rPr>
            </w:pPr>
            <w:r>
              <w:rPr>
                <w:rFonts w:hint="eastAsia" w:ascii="Times New Roman" w:hAnsi="Times New Roman" w:eastAsia="宋体" w:cs="Times New Roman"/>
                <w:color w:val="auto"/>
              </w:rPr>
              <w:t>（2）</w:t>
            </w:r>
            <w:r>
              <w:rPr>
                <w:rFonts w:ascii="Times New Roman" w:hAnsi="Times New Roman" w:eastAsia="宋体" w:cs="Times New Roman"/>
                <w:color w:val="auto"/>
              </w:rPr>
              <w:t>风险物质识别</w:t>
            </w:r>
          </w:p>
          <w:p>
            <w:pPr>
              <w:pStyle w:val="18"/>
              <w:adjustRightInd/>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对照《建设项目环境风险评价技术导则》（HJ169-2018）附录B（重点关注的危险物质及临界量）来判定本项目生产、贮存、运输、“三废”处理过程中所涉及的各种化学品。</w:t>
            </w:r>
          </w:p>
          <w:p>
            <w:pPr>
              <w:pStyle w:val="18"/>
              <w:adjustRightInd/>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当企业只涉及一种环境风险物质时，计算该物质的总数量与其临界量比值，即为Q；当企业存在多种环境风险物质时，则按下式计算物质数量与其临界量比值（Q）：</w:t>
            </w:r>
          </w:p>
          <w:p>
            <w:pPr>
              <w:pStyle w:val="18"/>
              <w:adjustRightInd/>
              <w:spacing w:after="0" w:line="360" w:lineRule="auto"/>
              <w:ind w:firstLine="482"/>
              <w:jc w:val="center"/>
              <w:rPr>
                <w:rFonts w:ascii="Times New Roman" w:hAnsi="Times New Roman" w:eastAsia="宋体" w:cs="Times New Roman"/>
                <w:b w:val="0"/>
                <w:bCs/>
                <w:color w:val="auto"/>
              </w:rPr>
            </w:pPr>
            <w:r>
              <w:rPr>
                <w:rFonts w:ascii="Times New Roman" w:hAnsi="Times New Roman" w:eastAsia="宋体" w:cs="Times New Roman"/>
                <w:bCs/>
                <w:color w:val="auto"/>
              </w:rPr>
              <w:drawing>
                <wp:inline distT="0" distB="0" distL="114300" distR="114300">
                  <wp:extent cx="2061845" cy="488315"/>
                  <wp:effectExtent l="0" t="0" r="10795" b="14605"/>
                  <wp:docPr id="3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42"/>
                          <pic:cNvPicPr>
                            <a:picLocks noChangeAspect="1"/>
                          </pic:cNvPicPr>
                        </pic:nvPicPr>
                        <pic:blipFill>
                          <a:blip r:embed="rId30"/>
                          <a:stretch>
                            <a:fillRect/>
                          </a:stretch>
                        </pic:blipFill>
                        <pic:spPr>
                          <a:xfrm>
                            <a:off x="0" y="0"/>
                            <a:ext cx="2061845" cy="488315"/>
                          </a:xfrm>
                          <a:prstGeom prst="rect">
                            <a:avLst/>
                          </a:prstGeom>
                          <a:noFill/>
                          <a:ln>
                            <a:noFill/>
                          </a:ln>
                        </pic:spPr>
                      </pic:pic>
                    </a:graphicData>
                  </a:graphic>
                </wp:inline>
              </w:drawing>
            </w:r>
          </w:p>
          <w:p>
            <w:pPr>
              <w:pStyle w:val="18"/>
              <w:adjustRightInd/>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式中：q</w:t>
            </w:r>
            <w:r>
              <w:rPr>
                <w:rFonts w:ascii="Times New Roman" w:hAnsi="Times New Roman" w:eastAsia="宋体" w:cs="Times New Roman"/>
                <w:b w:val="0"/>
                <w:bCs/>
                <w:color w:val="auto"/>
                <w:vertAlign w:val="subscript"/>
              </w:rPr>
              <w:t>1</w:t>
            </w:r>
            <w:r>
              <w:rPr>
                <w:rFonts w:ascii="Times New Roman" w:hAnsi="Times New Roman" w:eastAsia="宋体" w:cs="Times New Roman"/>
                <w:b w:val="0"/>
                <w:bCs/>
                <w:color w:val="auto"/>
              </w:rPr>
              <w:t>,q</w:t>
            </w:r>
            <w:r>
              <w:rPr>
                <w:rFonts w:ascii="Times New Roman" w:hAnsi="Times New Roman" w:eastAsia="宋体" w:cs="Times New Roman"/>
                <w:b w:val="0"/>
                <w:bCs/>
                <w:color w:val="auto"/>
                <w:vertAlign w:val="subscript"/>
              </w:rPr>
              <w:t>2</w:t>
            </w:r>
            <w:r>
              <w:rPr>
                <w:rFonts w:ascii="Times New Roman" w:hAnsi="Times New Roman" w:eastAsia="宋体" w:cs="Times New Roman"/>
                <w:b w:val="0"/>
                <w:bCs/>
                <w:color w:val="auto"/>
              </w:rPr>
              <w:t>,…,q</w:t>
            </w:r>
            <w:r>
              <w:rPr>
                <w:rFonts w:ascii="Times New Roman" w:hAnsi="Times New Roman" w:eastAsia="宋体" w:cs="Times New Roman"/>
                <w:b w:val="0"/>
                <w:bCs/>
                <w:color w:val="auto"/>
                <w:vertAlign w:val="subscript"/>
              </w:rPr>
              <w:t>n</w:t>
            </w:r>
            <w:r>
              <w:rPr>
                <w:rFonts w:ascii="Times New Roman" w:hAnsi="Times New Roman" w:eastAsia="宋体" w:cs="Times New Roman"/>
                <w:b w:val="0"/>
                <w:bCs/>
                <w:color w:val="auto"/>
              </w:rPr>
              <w:t>——每种环境风险物质的最大存在总量，t；</w:t>
            </w:r>
          </w:p>
          <w:p>
            <w:pPr>
              <w:pStyle w:val="18"/>
              <w:adjustRightInd/>
              <w:spacing w:after="0" w:line="360" w:lineRule="auto"/>
              <w:ind w:firstLine="1200" w:firstLineChars="500"/>
              <w:rPr>
                <w:rFonts w:ascii="Times New Roman" w:hAnsi="Times New Roman" w:eastAsia="宋体" w:cs="Times New Roman"/>
                <w:b w:val="0"/>
                <w:bCs/>
                <w:color w:val="auto"/>
              </w:rPr>
            </w:pPr>
            <w:r>
              <w:rPr>
                <w:rFonts w:ascii="Times New Roman" w:hAnsi="Times New Roman" w:eastAsia="宋体" w:cs="Times New Roman"/>
                <w:b w:val="0"/>
                <w:bCs/>
                <w:color w:val="auto"/>
              </w:rPr>
              <w:t>Q</w:t>
            </w:r>
            <w:r>
              <w:rPr>
                <w:rFonts w:ascii="Times New Roman" w:hAnsi="Times New Roman" w:eastAsia="宋体" w:cs="Times New Roman"/>
                <w:b w:val="0"/>
                <w:bCs/>
                <w:color w:val="auto"/>
                <w:vertAlign w:val="subscript"/>
              </w:rPr>
              <w:t>1</w:t>
            </w:r>
            <w:r>
              <w:rPr>
                <w:rFonts w:ascii="Times New Roman" w:hAnsi="Times New Roman" w:eastAsia="宋体" w:cs="Times New Roman"/>
                <w:b w:val="0"/>
                <w:bCs/>
                <w:color w:val="auto"/>
              </w:rPr>
              <w:t>,Q</w:t>
            </w:r>
            <w:r>
              <w:rPr>
                <w:rFonts w:ascii="Times New Roman" w:hAnsi="Times New Roman" w:eastAsia="宋体" w:cs="Times New Roman"/>
                <w:b w:val="0"/>
                <w:bCs/>
                <w:color w:val="auto"/>
                <w:vertAlign w:val="subscript"/>
              </w:rPr>
              <w:t>2</w:t>
            </w:r>
            <w:r>
              <w:rPr>
                <w:rFonts w:ascii="Times New Roman" w:hAnsi="Times New Roman" w:eastAsia="宋体" w:cs="Times New Roman"/>
                <w:b w:val="0"/>
                <w:bCs/>
                <w:color w:val="auto"/>
              </w:rPr>
              <w:t>,…,Q</w:t>
            </w:r>
            <w:r>
              <w:rPr>
                <w:rFonts w:ascii="Times New Roman" w:hAnsi="Times New Roman" w:eastAsia="宋体" w:cs="Times New Roman"/>
                <w:b w:val="0"/>
                <w:bCs/>
                <w:color w:val="auto"/>
                <w:vertAlign w:val="subscript"/>
              </w:rPr>
              <w:t>n</w:t>
            </w:r>
            <w:r>
              <w:rPr>
                <w:rFonts w:ascii="Times New Roman" w:hAnsi="Times New Roman" w:eastAsia="宋体" w:cs="Times New Roman"/>
                <w:b w:val="0"/>
                <w:bCs/>
                <w:color w:val="auto"/>
              </w:rPr>
              <w:t>——每种环境风险物质的临界量，t。</w:t>
            </w:r>
          </w:p>
          <w:p>
            <w:pPr>
              <w:pStyle w:val="18"/>
              <w:adjustRightInd/>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当Q&lt;1 时，该项目环境风险潜势为Ⅰ。</w:t>
            </w:r>
          </w:p>
          <w:p>
            <w:pPr>
              <w:pStyle w:val="18"/>
              <w:adjustRightInd/>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当Q≥1 时，将Q 值划分为：（1）1≤Q&lt;10；（2）10≤Q&lt;100；（3）Q≥100。</w:t>
            </w:r>
          </w:p>
          <w:p>
            <w:pPr>
              <w:pStyle w:val="18"/>
              <w:adjustRightInd/>
              <w:spacing w:after="0" w:line="360" w:lineRule="auto"/>
              <w:ind w:firstLine="480"/>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rPr>
              <w:t>建设</w:t>
            </w:r>
            <w:r>
              <w:rPr>
                <w:rFonts w:ascii="Times New Roman" w:hAnsi="Times New Roman" w:eastAsia="宋体" w:cs="Times New Roman"/>
                <w:b w:val="0"/>
                <w:bCs/>
                <w:color w:val="auto"/>
              </w:rPr>
              <w:t>项目涉及</w:t>
            </w:r>
            <w:r>
              <w:rPr>
                <w:rFonts w:hint="eastAsia" w:ascii="Times New Roman" w:hAnsi="Times New Roman" w:eastAsia="宋体" w:cs="Times New Roman"/>
                <w:b w:val="0"/>
                <w:bCs/>
                <w:color w:val="auto"/>
              </w:rPr>
              <w:t>的</w:t>
            </w:r>
            <w:r>
              <w:rPr>
                <w:rFonts w:ascii="Times New Roman" w:hAnsi="Times New Roman" w:eastAsia="宋体" w:cs="Times New Roman"/>
                <w:b w:val="0"/>
                <w:bCs/>
                <w:color w:val="auto"/>
              </w:rPr>
              <w:t>危险物料</w:t>
            </w:r>
            <w:r>
              <w:rPr>
                <w:rFonts w:hint="eastAsia" w:ascii="Times New Roman" w:hAnsi="Times New Roman" w:eastAsia="宋体" w:cs="Times New Roman"/>
                <w:b w:val="0"/>
                <w:bCs/>
                <w:color w:val="auto"/>
              </w:rPr>
              <w:t>主要为</w:t>
            </w:r>
            <w:r>
              <w:rPr>
                <w:rFonts w:hint="eastAsia" w:ascii="Times New Roman" w:hAnsi="Times New Roman" w:eastAsia="宋体" w:cs="Times New Roman"/>
                <w:b w:val="0"/>
                <w:bCs/>
                <w:color w:val="auto"/>
                <w:lang w:val="en-US" w:eastAsia="zh-CN"/>
              </w:rPr>
              <w:t>高固份漆、稀释剂、危险废物等</w:t>
            </w:r>
            <w:r>
              <w:rPr>
                <w:rFonts w:hint="eastAsia" w:ascii="Times New Roman" w:hAnsi="Times New Roman" w:eastAsia="宋体" w:cs="Times New Roman"/>
                <w:b w:val="0"/>
                <w:bCs/>
                <w:color w:val="auto"/>
              </w:rPr>
              <w:t>，</w:t>
            </w:r>
            <w:r>
              <w:rPr>
                <w:rFonts w:hint="eastAsia" w:ascii="Times New Roman" w:hAnsi="Times New Roman" w:eastAsia="宋体" w:cs="Times New Roman"/>
                <w:b w:val="0"/>
                <w:bCs/>
                <w:color w:val="auto"/>
                <w:lang w:val="en-US" w:eastAsia="zh-CN"/>
              </w:rPr>
              <w:t>本次技改高固份漆、稀释剂等风险物质单独储存，喷漆房为密闭喷漆房，为独立风险单元，技改项目建成后全厂建设一个30m</w:t>
            </w:r>
            <w:r>
              <w:rPr>
                <w:rFonts w:hint="eastAsia" w:ascii="Times New Roman" w:hAnsi="Times New Roman" w:eastAsia="宋体" w:cs="Times New Roman"/>
                <w:b w:val="0"/>
                <w:bCs/>
                <w:color w:val="auto"/>
                <w:sz w:val="24"/>
                <w:vertAlign w:val="superscript"/>
                <w:lang w:val="en-US" w:eastAsia="zh-CN"/>
              </w:rPr>
              <w:t>2</w:t>
            </w:r>
            <w:r>
              <w:rPr>
                <w:rFonts w:hint="eastAsia" w:ascii="Times New Roman" w:hAnsi="Times New Roman" w:eastAsia="宋体" w:cs="Times New Roman"/>
                <w:b w:val="0"/>
                <w:bCs/>
                <w:color w:val="auto"/>
                <w:lang w:val="en-US" w:eastAsia="zh-CN"/>
              </w:rPr>
              <w:t>的危废库，因此危险废物最大储存量按全厂计。</w:t>
            </w:r>
          </w:p>
          <w:p>
            <w:pPr>
              <w:pStyle w:val="18"/>
              <w:adjustRightInd/>
              <w:spacing w:after="0" w:line="360" w:lineRule="auto"/>
              <w:ind w:firstLine="480"/>
              <w:rPr>
                <w:rFonts w:ascii="Times New Roman" w:hAnsi="Times New Roman" w:eastAsia="宋体" w:cs="Times New Roman"/>
                <w:bCs/>
                <w:color w:val="auto"/>
              </w:rPr>
            </w:pPr>
            <w:r>
              <w:rPr>
                <w:rFonts w:ascii="Times New Roman" w:hAnsi="Times New Roman" w:eastAsia="宋体" w:cs="Times New Roman"/>
                <w:b w:val="0"/>
                <w:bCs/>
                <w:color w:val="auto"/>
              </w:rPr>
              <w:t>项目</w:t>
            </w:r>
            <w:r>
              <w:rPr>
                <w:rFonts w:hint="eastAsia" w:ascii="Times New Roman" w:hAnsi="Times New Roman" w:eastAsia="宋体" w:cs="Times New Roman"/>
                <w:b w:val="0"/>
                <w:bCs/>
                <w:color w:val="auto"/>
              </w:rPr>
              <w:t>涉及的危险物料</w:t>
            </w:r>
            <w:r>
              <w:rPr>
                <w:rFonts w:ascii="Times New Roman" w:hAnsi="Times New Roman" w:eastAsia="宋体" w:cs="Times New Roman"/>
                <w:b w:val="0"/>
                <w:bCs/>
                <w:color w:val="auto"/>
              </w:rPr>
              <w:t>Q值判别见下表</w:t>
            </w:r>
            <w:r>
              <w:rPr>
                <w:rFonts w:hint="eastAsia" w:ascii="Times New Roman" w:hAnsi="Times New Roman" w:eastAsia="宋体" w:cs="Times New Roman"/>
                <w:b w:val="0"/>
                <w:bCs/>
                <w:color w:val="auto"/>
              </w:rPr>
              <w:t>4-3</w:t>
            </w:r>
            <w:r>
              <w:rPr>
                <w:rFonts w:hint="eastAsia" w:ascii="Times New Roman" w:eastAsia="宋体" w:cs="Times New Roman"/>
                <w:b w:val="0"/>
                <w:bCs/>
                <w:color w:val="auto"/>
                <w:lang w:val="en-US" w:eastAsia="zh-CN"/>
              </w:rPr>
              <w:t>9</w:t>
            </w:r>
            <w:r>
              <w:rPr>
                <w:rFonts w:ascii="Times New Roman" w:hAnsi="Times New Roman" w:eastAsia="宋体" w:cs="Times New Roman"/>
                <w:b w:val="0"/>
                <w:bCs/>
                <w:color w:val="auto"/>
              </w:rPr>
              <w:t>。</w:t>
            </w:r>
          </w:p>
          <w:p>
            <w:pPr>
              <w:pStyle w:val="18"/>
              <w:adjustRightInd/>
              <w:spacing w:after="0" w:line="240" w:lineRule="auto"/>
              <w:ind w:firstLine="422"/>
              <w:jc w:val="center"/>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rPr>
              <w:t>4</w:t>
            </w:r>
            <w:r>
              <w:rPr>
                <w:rFonts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rPr>
              <w:t>3</w:t>
            </w:r>
            <w:r>
              <w:rPr>
                <w:rFonts w:hint="eastAsia" w:ascii="Times New Roman" w:eastAsia="宋体" w:cs="Times New Roman"/>
                <w:bCs/>
                <w:color w:val="auto"/>
                <w:sz w:val="21"/>
                <w:szCs w:val="21"/>
                <w:lang w:val="en-US" w:eastAsia="zh-CN"/>
              </w:rPr>
              <w:t>9</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建设</w:t>
            </w:r>
            <w:r>
              <w:rPr>
                <w:rFonts w:ascii="Times New Roman" w:hAnsi="Times New Roman" w:eastAsia="宋体" w:cs="Times New Roman"/>
                <w:bCs/>
                <w:color w:val="auto"/>
                <w:sz w:val="21"/>
                <w:szCs w:val="21"/>
              </w:rPr>
              <w:t>项目涉及的危险物料</w:t>
            </w:r>
            <w:r>
              <w:rPr>
                <w:rFonts w:hint="eastAsia" w:ascii="Times New Roman" w:hAnsi="Times New Roman" w:eastAsia="宋体" w:cs="Times New Roman"/>
                <w:bCs/>
                <w:color w:val="auto"/>
                <w:sz w:val="21"/>
                <w:szCs w:val="21"/>
              </w:rPr>
              <w:t>Q值判别</w:t>
            </w:r>
          </w:p>
          <w:tbl>
            <w:tblPr>
              <w:tblStyle w:val="21"/>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07"/>
              <w:gridCol w:w="1329"/>
              <w:gridCol w:w="1346"/>
              <w:gridCol w:w="1442"/>
              <w:gridCol w:w="1475"/>
              <w:gridCol w:w="1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危险物质名称</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CAS号</w:t>
                  </w:r>
                </w:p>
              </w:tc>
              <w:tc>
                <w:tcPr>
                  <w:tcW w:w="871" w:type="pct"/>
                  <w:tcBorders>
                    <w:tl2br w:val="nil"/>
                    <w:tr2bl w:val="nil"/>
                  </w:tcBorders>
                  <w:noWrap w:val="0"/>
                  <w:vAlign w:val="center"/>
                </w:tcPr>
                <w:p>
                  <w:pPr>
                    <w:spacing w:line="240" w:lineRule="auto"/>
                    <w:ind w:firstLine="8" w:firstLineChars="4"/>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b/>
                      <w:bCs/>
                      <w:color w:val="auto"/>
                      <w:sz w:val="21"/>
                      <w:szCs w:val="21"/>
                    </w:rPr>
                    <w:t>最大存在量（q</w:t>
                  </w:r>
                  <w:r>
                    <w:rPr>
                      <w:rFonts w:ascii="Times New Roman" w:hAnsi="Times New Roman" w:eastAsia="宋体"/>
                      <w:b/>
                      <w:bCs/>
                      <w:color w:val="auto"/>
                      <w:sz w:val="21"/>
                      <w:szCs w:val="21"/>
                      <w:vertAlign w:val="subscript"/>
                    </w:rPr>
                    <w:t>i</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rPr>
                    <w:t>吨）</w:t>
                  </w:r>
                </w:p>
              </w:tc>
              <w:tc>
                <w:tcPr>
                  <w:tcW w:w="890" w:type="pct"/>
                  <w:tcBorders>
                    <w:tl2br w:val="nil"/>
                    <w:tr2bl w:val="nil"/>
                  </w:tcBorders>
                  <w:noWrap w:val="0"/>
                  <w:vAlign w:val="center"/>
                </w:tcPr>
                <w:p>
                  <w:pPr>
                    <w:spacing w:line="240" w:lineRule="auto"/>
                    <w:ind w:firstLine="8" w:firstLineChars="4"/>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b/>
                      <w:bCs/>
                      <w:color w:val="auto"/>
                      <w:sz w:val="21"/>
                      <w:szCs w:val="21"/>
                    </w:rPr>
                    <w:t>临界量（Q</w:t>
                  </w:r>
                  <w:r>
                    <w:rPr>
                      <w:rFonts w:hint="eastAsia" w:ascii="Times New Roman" w:hAnsi="Times New Roman" w:eastAsia="宋体"/>
                      <w:b/>
                      <w:bCs/>
                      <w:color w:val="auto"/>
                      <w:sz w:val="21"/>
                      <w:szCs w:val="21"/>
                      <w:vertAlign w:val="subscript"/>
                    </w:rPr>
                    <w:t>i</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rPr>
                    <w:t>吨）</w:t>
                  </w:r>
                </w:p>
              </w:tc>
              <w:tc>
                <w:tcPr>
                  <w:tcW w:w="688" w:type="pct"/>
                  <w:tcBorders>
                    <w:tl2br w:val="nil"/>
                    <w:tr2bl w:val="nil"/>
                  </w:tcBorders>
                  <w:noWrap w:val="0"/>
                  <w:vAlign w:val="center"/>
                </w:tcPr>
                <w:p>
                  <w:pPr>
                    <w:spacing w:line="240" w:lineRule="auto"/>
                    <w:ind w:firstLine="8" w:firstLineChars="4"/>
                    <w:jc w:val="center"/>
                    <w:rPr>
                      <w:rFonts w:hint="default" w:ascii="Times New Roman" w:hAnsi="Times New Roman" w:eastAsia="宋体" w:cs="Times New Roman"/>
                      <w:b/>
                      <w:bCs/>
                      <w:color w:val="auto"/>
                      <w:kern w:val="2"/>
                      <w:sz w:val="21"/>
                      <w:szCs w:val="21"/>
                      <w:lang w:val="en-US" w:eastAsia="zh-CN" w:bidi="ar-SA"/>
                    </w:rPr>
                  </w:pPr>
                  <w:r>
                    <w:rPr>
                      <w:rFonts w:ascii="Times New Roman" w:hAnsi="Times New Roman" w:eastAsia="宋体"/>
                      <w:b/>
                      <w:bCs/>
                      <w:color w:val="auto"/>
                      <w:sz w:val="21"/>
                      <w:szCs w:val="21"/>
                    </w:rPr>
                    <w:t>q</w:t>
                  </w:r>
                  <w:r>
                    <w:rPr>
                      <w:rFonts w:hint="eastAsia" w:ascii="Times New Roman" w:hAnsi="Times New Roman" w:eastAsia="宋体"/>
                      <w:b/>
                      <w:bCs/>
                      <w:color w:val="auto"/>
                      <w:sz w:val="21"/>
                      <w:szCs w:val="21"/>
                      <w:vertAlign w:val="subscript"/>
                    </w:rPr>
                    <w:t>i</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Q</w:t>
                  </w:r>
                  <w:r>
                    <w:rPr>
                      <w:rFonts w:hint="eastAsia" w:ascii="Times New Roman" w:hAnsi="Times New Roman" w:eastAsia="宋体"/>
                      <w:b/>
                      <w:bCs/>
                      <w:color w:val="auto"/>
                      <w:sz w:val="21"/>
                      <w:szCs w:val="21"/>
                      <w:vertAlign w:val="subscript"/>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高固份漆</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b w:val="0"/>
                      <w:bCs/>
                      <w:color w:val="auto"/>
                      <w:sz w:val="21"/>
                      <w:szCs w:val="21"/>
                      <w:lang w:eastAsia="zh-CN"/>
                    </w:rPr>
                  </w:pPr>
                  <w:r>
                    <w:rPr>
                      <w:rFonts w:hint="eastAsia" w:ascii="Times New Roman" w:hAnsi="Times New Roman" w:cs="Times New Roman"/>
                      <w:color w:val="auto"/>
                      <w:sz w:val="21"/>
                      <w:szCs w:val="21"/>
                      <w:lang w:val="en-US" w:eastAsia="zh-CN"/>
                    </w:rPr>
                    <w:t>高固份漆</w:t>
                  </w:r>
                </w:p>
              </w:tc>
              <w:tc>
                <w:tcPr>
                  <w:tcW w:w="8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二甲苯</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1330-20-7</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稀释剂</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液氧</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废切削液</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0.5</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废润滑油</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135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rPr>
                    <w:t>危险废物</w:t>
                  </w:r>
                  <w:r>
                    <w:rPr>
                      <w:rFonts w:ascii="Times New Roman" w:hAnsi="Times New Roman"/>
                      <w:color w:val="auto"/>
                      <w:sz w:val="18"/>
                      <w:szCs w:val="18"/>
                    </w:rPr>
                    <w:t>*</w:t>
                  </w:r>
                </w:p>
              </w:tc>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1"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Q值合计</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r>
                    <w:rPr>
                      <w:rFonts w:hint="eastAsia" w:cs="Times New Roman"/>
                      <w:color w:val="auto"/>
                      <w:sz w:val="21"/>
                      <w:szCs w:val="21"/>
                      <w:lang w:val="en-US" w:eastAsia="zh-CN"/>
                    </w:rPr>
                    <w:t>3</w:t>
                  </w:r>
                </w:p>
              </w:tc>
            </w:tr>
          </w:tbl>
          <w:p>
            <w:pPr>
              <w:widowControl/>
              <w:spacing w:line="240" w:lineRule="auto"/>
              <w:jc w:val="left"/>
              <w:rPr>
                <w:rFonts w:ascii="Times New Roman" w:hAnsi="Times New Roman"/>
                <w:color w:val="auto"/>
                <w:sz w:val="18"/>
                <w:szCs w:val="18"/>
              </w:rPr>
            </w:pPr>
            <w:r>
              <w:rPr>
                <w:rFonts w:ascii="Times New Roman" w:hAnsi="Times New Roman"/>
                <w:color w:val="auto"/>
                <w:sz w:val="18"/>
                <w:szCs w:val="18"/>
              </w:rPr>
              <w:t>注：*危废平均</w:t>
            </w:r>
            <w:r>
              <w:rPr>
                <w:rFonts w:hint="eastAsia" w:ascii="Times New Roman" w:hAnsi="Times New Roman"/>
                <w:color w:val="auto"/>
                <w:sz w:val="18"/>
                <w:szCs w:val="18"/>
                <w:lang w:val="en-US" w:eastAsia="zh-CN"/>
              </w:rPr>
              <w:t>三个月</w:t>
            </w:r>
            <w:r>
              <w:rPr>
                <w:rFonts w:ascii="Times New Roman" w:hAnsi="Times New Roman"/>
                <w:color w:val="auto"/>
                <w:sz w:val="18"/>
                <w:szCs w:val="18"/>
              </w:rPr>
              <w:t>委托处置转移一次。</w:t>
            </w:r>
          </w:p>
          <w:p>
            <w:pPr>
              <w:pStyle w:val="18"/>
              <w:adjustRightInd/>
              <w:spacing w:after="0" w:line="360" w:lineRule="auto"/>
              <w:ind w:firstLine="480"/>
              <w:rPr>
                <w:rFonts w:ascii="Times New Roman" w:hAnsi="Times New Roman" w:eastAsia="宋体" w:cs="Times New Roman"/>
                <w:b w:val="0"/>
                <w:bCs/>
                <w:color w:val="auto"/>
              </w:rPr>
            </w:pPr>
            <w:r>
              <w:rPr>
                <w:rFonts w:ascii="Times New Roman" w:hAnsi="Times New Roman" w:eastAsia="宋体" w:cs="Times New Roman"/>
                <w:b w:val="0"/>
                <w:bCs/>
                <w:color w:val="auto"/>
              </w:rPr>
              <w:t>由上表可知，本项目Q值＜1，因此，本项目环境风险潜势为Ⅰ。</w:t>
            </w:r>
          </w:p>
          <w:p>
            <w:pPr>
              <w:pStyle w:val="18"/>
              <w:adjustRightInd/>
              <w:spacing w:after="0" w:line="360" w:lineRule="auto"/>
              <w:ind w:firstLine="482"/>
              <w:rPr>
                <w:rFonts w:ascii="Times New Roman" w:hAnsi="Times New Roman"/>
                <w:color w:val="auto"/>
              </w:rPr>
            </w:pPr>
            <w:r>
              <w:rPr>
                <w:rFonts w:hint="eastAsia" w:ascii="Times New Roman" w:hAnsi="Times New Roman" w:eastAsia="宋体" w:cs="Times New Roman"/>
                <w:color w:val="auto"/>
              </w:rPr>
              <w:t>（3）风险源分布情况及可能影响途径</w:t>
            </w:r>
          </w:p>
          <w:p>
            <w:pPr>
              <w:jc w:val="center"/>
              <w:rPr>
                <w:rFonts w:hint="eastAsia" w:ascii="Times New Roman" w:hAnsi="Times New Roman"/>
                <w:b/>
                <w:bCs/>
                <w:color w:val="auto"/>
                <w:kern w:val="0"/>
                <w:szCs w:val="21"/>
              </w:rPr>
            </w:pPr>
            <w:r>
              <w:rPr>
                <w:rFonts w:ascii="Times New Roman" w:hAnsi="Times New Roman"/>
                <w:b/>
                <w:color w:val="auto"/>
                <w:szCs w:val="21"/>
              </w:rPr>
              <w:t>表</w:t>
            </w:r>
            <w:r>
              <w:rPr>
                <w:rFonts w:hint="eastAsia" w:ascii="Times New Roman" w:hAnsi="Times New Roman"/>
                <w:b/>
                <w:color w:val="auto"/>
                <w:szCs w:val="21"/>
              </w:rPr>
              <w:t>4-</w:t>
            </w:r>
            <w:r>
              <w:rPr>
                <w:rFonts w:hint="eastAsia"/>
                <w:b/>
                <w:color w:val="auto"/>
                <w:szCs w:val="21"/>
                <w:lang w:val="en-US" w:eastAsia="zh-CN"/>
              </w:rPr>
              <w:t>40</w:t>
            </w:r>
            <w:r>
              <w:rPr>
                <w:rFonts w:hint="eastAsia" w:ascii="Times New Roman" w:hAnsi="Times New Roman"/>
                <w:b/>
                <w:color w:val="auto"/>
                <w:szCs w:val="21"/>
              </w:rPr>
              <w:t xml:space="preserve"> </w:t>
            </w:r>
            <w:r>
              <w:rPr>
                <w:rFonts w:hint="eastAsia" w:ascii="Times New Roman" w:hAnsi="Times New Roman"/>
                <w:b/>
                <w:bCs/>
                <w:color w:val="auto"/>
                <w:kern w:val="0"/>
                <w:szCs w:val="21"/>
              </w:rPr>
              <w:t>建设项目风险源分布情况及可能影响途径表</w:t>
            </w:r>
          </w:p>
          <w:tbl>
            <w:tblPr>
              <w:tblStyle w:val="22"/>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27"/>
              <w:gridCol w:w="1249"/>
              <w:gridCol w:w="1280"/>
              <w:gridCol w:w="1048"/>
              <w:gridCol w:w="1239"/>
              <w:gridCol w:w="1252"/>
              <w:gridCol w:w="1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bCs/>
                      <w:color w:val="auto"/>
                      <w:sz w:val="21"/>
                      <w:szCs w:val="21"/>
                      <w:shd w:val="clear" w:color="auto" w:fill="auto"/>
                      <w:vertAlign w:val="baseline"/>
                      <w:lang w:val="en-US" w:eastAsia="zh-CN"/>
                    </w:rPr>
                  </w:pPr>
                  <w:r>
                    <w:rPr>
                      <w:rFonts w:hint="eastAsia" w:ascii="Times New Roman" w:hAnsi="Times New Roman" w:cs="Times New Roman"/>
                      <w:b/>
                      <w:bCs/>
                      <w:color w:val="auto"/>
                      <w:sz w:val="21"/>
                      <w:szCs w:val="21"/>
                      <w:shd w:val="clear" w:color="auto" w:fill="auto"/>
                      <w:vertAlign w:val="baseline"/>
                      <w:lang w:val="en-US" w:eastAsia="zh-CN"/>
                    </w:rPr>
                    <w:t>序号</w:t>
                  </w:r>
                </w:p>
              </w:tc>
              <w:tc>
                <w:tcPr>
                  <w:tcW w:w="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bCs/>
                      <w:color w:val="auto"/>
                      <w:sz w:val="21"/>
                      <w:szCs w:val="21"/>
                      <w:shd w:val="clear" w:color="auto" w:fill="auto"/>
                      <w:vertAlign w:val="baseline"/>
                      <w:lang w:val="en-US" w:eastAsia="zh-CN"/>
                    </w:rPr>
                  </w:pPr>
                  <w:r>
                    <w:rPr>
                      <w:rFonts w:hint="eastAsia" w:ascii="Times New Roman" w:hAnsi="Times New Roman" w:cs="Times New Roman"/>
                      <w:b/>
                      <w:bCs/>
                      <w:color w:val="auto"/>
                      <w:sz w:val="21"/>
                      <w:szCs w:val="21"/>
                      <w:shd w:val="clear" w:color="auto" w:fill="auto"/>
                      <w:vertAlign w:val="baseline"/>
                      <w:lang w:val="en-US" w:eastAsia="zh-CN"/>
                    </w:rPr>
                    <w:t>风险单元</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shd w:val="clear" w:color="auto" w:fill="auto"/>
                      <w:vertAlign w:val="baseline"/>
                      <w:lang w:val="en-US" w:eastAsia="zh-CN"/>
                    </w:rPr>
                  </w:pPr>
                  <w:r>
                    <w:rPr>
                      <w:rFonts w:hint="eastAsia" w:ascii="Times New Roman" w:hAnsi="Times New Roman" w:cs="Times New Roman"/>
                      <w:b/>
                      <w:bCs/>
                      <w:color w:val="auto"/>
                      <w:sz w:val="21"/>
                      <w:szCs w:val="21"/>
                      <w:shd w:val="clear" w:color="auto" w:fill="auto"/>
                      <w:vertAlign w:val="baseline"/>
                      <w:lang w:val="en-US" w:eastAsia="zh-CN"/>
                    </w:rPr>
                    <w:t>风险源</w:t>
                  </w:r>
                </w:p>
              </w:tc>
              <w:tc>
                <w:tcPr>
                  <w:tcW w:w="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shd w:val="clear" w:color="auto" w:fill="auto"/>
                      <w:vertAlign w:val="baseline"/>
                      <w:lang w:val="en-US" w:eastAsia="zh-CN"/>
                    </w:rPr>
                  </w:pPr>
                  <w:r>
                    <w:rPr>
                      <w:rFonts w:hint="eastAsia" w:ascii="Times New Roman" w:hAnsi="Times New Roman" w:cs="Times New Roman"/>
                      <w:b/>
                      <w:bCs/>
                      <w:color w:val="auto"/>
                      <w:sz w:val="21"/>
                      <w:szCs w:val="21"/>
                      <w:shd w:val="clear" w:color="auto" w:fill="auto"/>
                      <w:vertAlign w:val="baseline"/>
                      <w:lang w:val="en-US" w:eastAsia="zh-CN"/>
                    </w:rPr>
                    <w:t>危险物质</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shd w:val="clear" w:color="auto" w:fill="auto"/>
                      <w:vertAlign w:val="baseline"/>
                      <w:lang w:val="en-US" w:eastAsia="zh-CN"/>
                    </w:rPr>
                  </w:pPr>
                  <w:r>
                    <w:rPr>
                      <w:rFonts w:hint="default" w:ascii="Times New Roman" w:hAnsi="Times New Roman" w:eastAsia="宋体" w:cs="Times New Roman"/>
                      <w:b/>
                      <w:bCs/>
                      <w:color w:val="auto"/>
                      <w:sz w:val="21"/>
                      <w:szCs w:val="21"/>
                      <w:shd w:val="clear" w:color="auto" w:fill="auto"/>
                      <w:vertAlign w:val="baseline"/>
                      <w:lang w:val="en-US" w:eastAsia="zh-CN"/>
                    </w:rPr>
                    <w:t>环境风险类型</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sz w:val="21"/>
                      <w:szCs w:val="21"/>
                      <w:lang w:val="zh-CN" w:bidi="zh-CN"/>
                    </w:rPr>
                  </w:pPr>
                  <w:r>
                    <w:rPr>
                      <w:rFonts w:ascii="Times New Roman" w:hAnsi="Times New Roman"/>
                      <w:b/>
                      <w:color w:val="auto"/>
                      <w:sz w:val="21"/>
                      <w:szCs w:val="21"/>
                      <w:lang w:val="zh-CN" w:bidi="zh-CN"/>
                    </w:rPr>
                    <w:t>环境影响途径</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sz w:val="21"/>
                      <w:szCs w:val="21"/>
                      <w:lang w:val="zh-CN" w:bidi="zh-CN"/>
                    </w:rPr>
                  </w:pPr>
                  <w:r>
                    <w:rPr>
                      <w:rFonts w:hint="eastAsia" w:ascii="Times New Roman" w:hAnsi="Times New Roman"/>
                      <w:b/>
                      <w:color w:val="auto"/>
                      <w:sz w:val="21"/>
                      <w:szCs w:val="21"/>
                      <w:lang w:val="zh-CN" w:bidi="zh-CN"/>
                    </w:rPr>
                    <w:t>可能受影响的环境敏感目标</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b/>
                      <w:color w:val="auto"/>
                      <w:sz w:val="21"/>
                      <w:szCs w:val="21"/>
                      <w:lang w:val="zh-CN" w:bidi="zh-CN"/>
                    </w:rPr>
                  </w:pPr>
                  <w:r>
                    <w:rPr>
                      <w:rFonts w:hint="eastAsia" w:ascii="Times New Roman" w:hAnsi="Times New Roman"/>
                      <w:b/>
                      <w:bCs/>
                      <w:color w:val="auto"/>
                      <w:szCs w:val="21"/>
                    </w:rPr>
                    <w:t>环境风险防范措施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1</w:t>
                  </w:r>
                </w:p>
              </w:tc>
              <w:tc>
                <w:tcPr>
                  <w:tcW w:w="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生产区</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shd w:val="clear" w:color="auto" w:fill="auto"/>
                      <w:vertAlign w:val="baseline"/>
                      <w:lang w:val="en-US" w:eastAsia="zh-CN" w:bidi="ar-SA"/>
                    </w:rPr>
                  </w:pPr>
                  <w:r>
                    <w:rPr>
                      <w:rFonts w:hint="eastAsia" w:ascii="Times New Roman" w:hAnsi="Times New Roman" w:cs="Times New Roman"/>
                      <w:color w:val="auto"/>
                      <w:sz w:val="21"/>
                      <w:szCs w:val="21"/>
                      <w:shd w:val="clear" w:color="auto" w:fill="auto"/>
                      <w:vertAlign w:val="baseline"/>
                      <w:lang w:val="en-US" w:eastAsia="zh-CN"/>
                    </w:rPr>
                    <w:t>喷漆房</w:t>
                  </w:r>
                </w:p>
              </w:tc>
              <w:tc>
                <w:tcPr>
                  <w:tcW w:w="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 w:val="21"/>
                      <w:szCs w:val="21"/>
                      <w:lang w:eastAsia="zh-CN"/>
                    </w:rPr>
                    <w:t>油漆、</w:t>
                  </w:r>
                  <w:r>
                    <w:rPr>
                      <w:rFonts w:hint="eastAsia" w:ascii="Times New Roman" w:hAnsi="Times New Roman"/>
                      <w:color w:val="auto"/>
                      <w:kern w:val="0"/>
                      <w:sz w:val="21"/>
                      <w:szCs w:val="21"/>
                      <w:lang w:val="en-US" w:eastAsia="zh-CN"/>
                    </w:rPr>
                    <w:t>稀释剂</w:t>
                  </w:r>
                  <w:r>
                    <w:rPr>
                      <w:rFonts w:hint="eastAsia" w:ascii="Times New Roman" w:hAnsi="Times New Roman"/>
                      <w:color w:val="auto"/>
                      <w:kern w:val="0"/>
                      <w:sz w:val="21"/>
                      <w:szCs w:val="21"/>
                      <w:lang w:eastAsia="zh-CN"/>
                    </w:rPr>
                    <w:t>等</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shd w:val="clear" w:color="auto" w:fill="auto"/>
                      <w:vertAlign w:val="baseline"/>
                      <w:lang w:val="en-US" w:eastAsia="zh-CN" w:bidi="ar-SA"/>
                    </w:rPr>
                  </w:pPr>
                  <w:r>
                    <w:rPr>
                      <w:rFonts w:hint="eastAsia" w:ascii="Times New Roman" w:hAnsi="Times New Roman" w:cs="Times New Roman"/>
                      <w:color w:val="auto"/>
                      <w:sz w:val="21"/>
                      <w:szCs w:val="21"/>
                      <w:shd w:val="clear" w:color="auto" w:fill="auto"/>
                      <w:vertAlign w:val="baseline"/>
                      <w:lang w:val="en-US" w:eastAsia="zh-CN"/>
                    </w:rPr>
                    <w:t>泄漏、火灾、爆炸</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渗漏至地下水、土壤；散发及燃烧挥发大气</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bookmarkStart w:id="28" w:name="OLE_LINK12"/>
                  <w:r>
                    <w:rPr>
                      <w:rFonts w:hint="eastAsia" w:ascii="Times New Roman" w:hAnsi="Times New Roman"/>
                      <w:color w:val="auto"/>
                      <w:kern w:val="0"/>
                      <w:szCs w:val="21"/>
                    </w:rPr>
                    <w:t>附近企业、周边居民、周边地表水、地下水、土壤</w:t>
                  </w:r>
                  <w:bookmarkEnd w:id="28"/>
                </w:p>
              </w:tc>
              <w:tc>
                <w:tcPr>
                  <w:tcW w:w="7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1、加强环保管理、严禁烟火；2、风险单元</w:t>
                  </w:r>
                  <w:r>
                    <w:rPr>
                      <w:rFonts w:hint="eastAsia" w:ascii="Times New Roman" w:hAnsi="Times New Roman" w:eastAsia="宋体" w:cs="Times New Roman"/>
                      <w:color w:val="auto"/>
                      <w:sz w:val="21"/>
                      <w:szCs w:val="21"/>
                      <w:highlight w:val="none"/>
                      <w:lang w:val="en-US" w:eastAsia="zh-CN"/>
                    </w:rPr>
                    <w:t>防渗并</w:t>
                  </w:r>
                  <w:r>
                    <w:rPr>
                      <w:rFonts w:hint="default" w:ascii="Times New Roman" w:hAnsi="Times New Roman" w:eastAsia="宋体" w:cs="Times New Roman"/>
                      <w:color w:val="auto"/>
                      <w:sz w:val="21"/>
                      <w:szCs w:val="21"/>
                      <w:highlight w:val="none"/>
                      <w:lang w:val="en-US" w:eastAsia="zh-CN"/>
                    </w:rPr>
                    <w:t>设置监控；3、风险单元周边设置应急物资资源点，方便应急处置</w:t>
                  </w:r>
                  <w:r>
                    <w:rPr>
                      <w:rFonts w:hint="eastAsia" w:ascii="Times New Roman" w:hAnsi="Times New Roman" w:eastAsia="宋体" w:cs="Times New Roman"/>
                      <w:color w:val="auto"/>
                      <w:sz w:val="21"/>
                      <w:szCs w:val="21"/>
                      <w:highlight w:val="none"/>
                      <w:lang w:val="en-US" w:eastAsia="zh-CN"/>
                    </w:rPr>
                    <w:t>4、气体储存区设置可燃气体监测监控报警设施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2</w:t>
                  </w:r>
                </w:p>
              </w:tc>
              <w:tc>
                <w:tcPr>
                  <w:tcW w:w="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原料库</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油漆、稀释剂、液氧等</w:t>
                  </w:r>
                </w:p>
              </w:tc>
              <w:tc>
                <w:tcPr>
                  <w:tcW w:w="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稀释剂、油漆等</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泄漏、火灾、爆炸</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渗漏至地下水、土壤；散发及燃烧挥发大气</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color w:val="auto"/>
                      <w:kern w:val="0"/>
                      <w:szCs w:val="21"/>
                    </w:rPr>
                    <w:t>附近企业、周边居民、周边地表水、地下水、土壤</w:t>
                  </w:r>
                </w:p>
              </w:tc>
              <w:tc>
                <w:tcPr>
                  <w:tcW w:w="7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3</w:t>
                  </w:r>
                </w:p>
              </w:tc>
              <w:tc>
                <w:tcPr>
                  <w:tcW w:w="3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废气处理设施</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多级过滤器</w:t>
                  </w:r>
                </w:p>
              </w:tc>
              <w:tc>
                <w:tcPr>
                  <w:tcW w:w="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颗粒物</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废气事故排放、火灾、爆炸</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挥发大气</w:t>
                  </w:r>
                </w:p>
              </w:tc>
              <w:tc>
                <w:tcPr>
                  <w:tcW w:w="7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color w:val="auto"/>
                      <w:kern w:val="0"/>
                      <w:szCs w:val="21"/>
                    </w:rPr>
                    <w:t>附近企业、周边居民</w:t>
                  </w:r>
                </w:p>
              </w:tc>
              <w:tc>
                <w:tcPr>
                  <w:tcW w:w="7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olor w:val="auto"/>
                      <w:szCs w:val="21"/>
                      <w:lang w:val="en-US" w:eastAsia="zh-CN"/>
                    </w:rPr>
                    <w:t>定期对废气处理装置进行检修，按规范进行日常监测；加强巡查，发现事故，第一时间进行汇报并进行停产检修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p>
              </w:tc>
              <w:tc>
                <w:tcPr>
                  <w:tcW w:w="3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三级活性炭吸附装置</w:t>
                  </w:r>
                </w:p>
              </w:tc>
              <w:tc>
                <w:tcPr>
                  <w:tcW w:w="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有机废气</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废气事故排放、火灾、爆炸</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VOC</w:t>
                  </w:r>
                  <w:r>
                    <w:rPr>
                      <w:rFonts w:hint="eastAsia" w:ascii="Times New Roman" w:hAnsi="Times New Roman" w:eastAsia="宋体" w:cs="Times New Roman"/>
                      <w:color w:val="auto"/>
                      <w:sz w:val="21"/>
                      <w:szCs w:val="21"/>
                      <w:shd w:val="clear" w:color="auto" w:fill="auto"/>
                      <w:vertAlign w:val="subscript"/>
                      <w:lang w:val="en-US" w:eastAsia="zh-CN"/>
                    </w:rPr>
                    <w:t>S</w:t>
                  </w:r>
                  <w:r>
                    <w:rPr>
                      <w:rFonts w:hint="eastAsia" w:ascii="Times New Roman" w:hAnsi="Times New Roman" w:eastAsia="宋体" w:cs="Times New Roman"/>
                      <w:color w:val="auto"/>
                      <w:sz w:val="21"/>
                      <w:szCs w:val="21"/>
                      <w:shd w:val="clear" w:color="auto" w:fill="auto"/>
                      <w:lang w:val="en-US" w:eastAsia="zh-CN"/>
                    </w:rPr>
                    <w:t>及燃烧烟气挥发大气</w:t>
                  </w:r>
                </w:p>
              </w:tc>
              <w:tc>
                <w:tcPr>
                  <w:tcW w:w="7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p>
              </w:tc>
              <w:tc>
                <w:tcPr>
                  <w:tcW w:w="7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4</w:t>
                  </w:r>
                </w:p>
              </w:tc>
              <w:tc>
                <w:tcPr>
                  <w:tcW w:w="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危废库</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危险废物</w:t>
                  </w:r>
                </w:p>
              </w:tc>
              <w:tc>
                <w:tcPr>
                  <w:tcW w:w="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s="Times New Roman"/>
                      <w:color w:val="auto"/>
                      <w:sz w:val="21"/>
                      <w:szCs w:val="21"/>
                      <w:lang w:val="en-US" w:eastAsia="zh-CN"/>
                    </w:rPr>
                    <w:t>废包装桶、</w:t>
                  </w:r>
                  <w:r>
                    <w:rPr>
                      <w:rFonts w:hint="eastAsia" w:ascii="Times New Roman" w:hAnsi="Times New Roman" w:eastAsia="宋体"/>
                      <w:color w:val="auto"/>
                      <w:sz w:val="21"/>
                      <w:szCs w:val="21"/>
                      <w:lang w:val="en-US" w:eastAsia="zh-CN"/>
                    </w:rPr>
                    <w:t>漆渣</w:t>
                  </w:r>
                  <w:r>
                    <w:rPr>
                      <w:rFonts w:hint="eastAsia" w:ascii="Times New Roman" w:hAnsi="Times New Roman" w:cs="Times New Roman"/>
                      <w:color w:val="auto"/>
                      <w:sz w:val="21"/>
                      <w:szCs w:val="21"/>
                      <w:lang w:val="en-US" w:eastAsia="zh-CN"/>
                    </w:rPr>
                    <w:t>、</w:t>
                  </w:r>
                  <w:r>
                    <w:rPr>
                      <w:rFonts w:hint="eastAsia" w:ascii="Times New Roman" w:hAnsi="Times New Roman"/>
                      <w:color w:val="auto"/>
                      <w:sz w:val="21"/>
                      <w:szCs w:val="21"/>
                      <w:lang w:val="en-US" w:eastAsia="zh-CN"/>
                    </w:rPr>
                    <w:t>废活性炭、废过滤材料</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shd w:val="clear" w:color="auto" w:fill="auto"/>
                      <w:vertAlign w:val="baseline"/>
                      <w:lang w:val="en-US" w:eastAsia="zh-CN"/>
                    </w:rPr>
                  </w:pPr>
                  <w:r>
                    <w:rPr>
                      <w:rFonts w:hint="eastAsia" w:ascii="Times New Roman" w:hAnsi="Times New Roman" w:cs="Times New Roman"/>
                      <w:color w:val="auto"/>
                      <w:sz w:val="21"/>
                      <w:szCs w:val="21"/>
                      <w:shd w:val="clear" w:color="auto" w:fill="auto"/>
                      <w:vertAlign w:val="baseline"/>
                      <w:lang w:val="en-US" w:eastAsia="zh-CN"/>
                    </w:rPr>
                    <w:t>泄漏、火灾、爆炸</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泄漏液渗漏至地表水、地下水；燃烧挥发大气</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color w:val="auto"/>
                      <w:kern w:val="0"/>
                      <w:szCs w:val="21"/>
                    </w:rPr>
                    <w:t>附近企业、周边居民、周边地表水、地下水、土壤</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1、加强环保管理、严禁烟火；2、风险单元</w:t>
                  </w:r>
                  <w:r>
                    <w:rPr>
                      <w:rFonts w:hint="eastAsia" w:ascii="Times New Roman" w:hAnsi="Times New Roman" w:eastAsia="宋体" w:cs="Times New Roman"/>
                      <w:color w:val="auto"/>
                      <w:sz w:val="21"/>
                      <w:szCs w:val="21"/>
                      <w:highlight w:val="none"/>
                      <w:lang w:val="en-US" w:eastAsia="zh-CN"/>
                    </w:rPr>
                    <w:t>防渗并</w:t>
                  </w:r>
                  <w:r>
                    <w:rPr>
                      <w:rFonts w:hint="default" w:ascii="Times New Roman" w:hAnsi="Times New Roman" w:eastAsia="宋体" w:cs="Times New Roman"/>
                      <w:color w:val="auto"/>
                      <w:sz w:val="21"/>
                      <w:szCs w:val="21"/>
                      <w:highlight w:val="none"/>
                      <w:lang w:val="en-US" w:eastAsia="zh-CN"/>
                    </w:rPr>
                    <w:t>设置监控；3</w:t>
                  </w:r>
                  <w:r>
                    <w:rPr>
                      <w:rFonts w:hint="eastAsia"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lang w:val="en-US" w:eastAsia="zh-CN"/>
                    </w:rPr>
                    <w:t>风险单元周边设置应急物资资源点，方便应急处置</w:t>
                  </w:r>
                </w:p>
              </w:tc>
            </w:tr>
          </w:tbl>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（4）典型事故情形分析</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A、危险废物、原料泄漏事故风险分析本项目原料存放及生产过程中产生的危险废物中含有一定的有毒有害物质。倘若在运营过程中不注意收集、储存，随意堆放，容易造成危险废物中的有毒有害物质渗入地下，污染土壤和地下水。倘若运输、处置过程中未能做好防渗措施，容易导致危险废物沿运输路线泄漏，对沿线环境造成污染。倘若液态物料中的有毒有害物质进入雨水系统，随雨水流出，容易污染周围地表水环境。</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B、火灾、爆炸等安全事故引发的次生污染发生火灾、爆炸等安全事故后，泄漏物料、消防尾水会通过雨水管道排入周边河道。泄漏物料中的有毒有害挥发性有机物将会对有关区域作业人员的健康产生不利影响，如进一步挥发至室外，会导致周边大气环境中的挥发性有机物浓度增加，造成空气环境污染。发生火灾、爆炸时产生的CO及其他有害烟尘气体，可造成大气环境污染和人员中毒伤害。</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C、废气事故排放风险分析本项目采用市政电网供电系统，系统停电概率较小，一旦停电，生产设备及配套设置的废气处理设备将立即停止运转，造成工艺废气无法处理直接超标排放，部分废气无组织排放，但这种事故排放的影响时间较短，随着生产设备停止工作，废气超标排放或无组织排放的现象将逐渐减少。</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D、地下水及土壤环境风险分析本项目危废仓库按《危险废物贮存污染控制标准》（GB18597-2023）要求进行规范化建设，并定期对防渗层进行检修，且本项目危险废物定期收集运走，因此危废仓库发生防渗措施及危废存储容器同时破损的概率极低，对地下水及土壤产生影响的较小。</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E、地表水环境风险分析本项目突发环境事件的类型主要是火灾爆炸和泄漏次生的环境污染物事故，物料发生大量泄漏时，极有可能引发火灾爆炸事故。为防止火灾爆炸和环境空气污染事故，一般采用消防水对泄漏区进行喷淋冷却，采用此法将直接导致泄漏的物料转移至消防水，若消防水从清下水排口外排，会对周围水环境造成污染。为避免事故状况下泄漏的有毒物质及火灾爆炸期间消防污水污染水环境，企业必须制定严格的排水规划，设置消防污水收集池、管网、切换阀和监控池等，使消防水排水处于监控状态，严禁事故废水排出厂外，次生危害造成水体污染。拟建项目建设一座事故池，发生事故时能够全部收集事故池内。在事故工况下，消防废水通过事故废水收集管线进入事故池，事故池能够满足事故废水收集要求</w:t>
            </w:r>
            <w:r>
              <w:rPr>
                <w:rFonts w:hint="eastAsia" w:ascii="Times New Roman" w:hAnsi="Times New Roman"/>
                <w:color w:val="auto"/>
                <w:kern w:val="2"/>
                <w:szCs w:val="24"/>
                <w:lang w:eastAsia="zh-CN" w:bidi="ar"/>
              </w:rPr>
              <w:t>，</w:t>
            </w:r>
            <w:r>
              <w:rPr>
                <w:rFonts w:hint="eastAsia" w:ascii="Times New Roman" w:hAnsi="Times New Roman" w:eastAsia="宋体" w:cs="Times New Roman"/>
                <w:color w:val="000000"/>
                <w:sz w:val="24"/>
                <w:szCs w:val="24"/>
                <w:lang w:val="en-US" w:eastAsia="zh-CN"/>
              </w:rPr>
              <w:t>事故废水委外处理</w:t>
            </w:r>
            <w:r>
              <w:rPr>
                <w:rFonts w:hint="eastAsia"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企业应根据要求设置紧急切断阀，一旦发生泄漏立即切断运输管线，防止更多的物质进入水体。并立即启动应急预案，设置围栏、抛洒黄砂等对泄漏物质进行截流、疏导和收集。采取相应措施，尽量将影响降至最低。</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（5）环境风险防范措施</w:t>
            </w:r>
          </w:p>
          <w:p>
            <w:pPr>
              <w:pStyle w:val="16"/>
              <w:widowControl w:val="0"/>
              <w:spacing w:before="0" w:beforeAutospacing="0" w:after="0" w:afterAutospacing="0" w:line="360" w:lineRule="auto"/>
              <w:ind w:firstLine="480" w:firstLineChars="200"/>
              <w:jc w:val="both"/>
              <w:rPr>
                <w:rFonts w:hint="default" w:ascii="Times New Roman" w:hAnsi="Times New Roman" w:eastAsia="宋体"/>
                <w:color w:val="auto"/>
                <w:kern w:val="2"/>
                <w:szCs w:val="24"/>
                <w:lang w:val="en-US" w:eastAsia="zh-CN" w:bidi="ar"/>
              </w:rPr>
            </w:pPr>
            <w:r>
              <w:rPr>
                <w:rFonts w:hint="eastAsia" w:ascii="Times New Roman" w:hAnsi="Times New Roman"/>
                <w:color w:val="auto"/>
                <w:kern w:val="2"/>
                <w:szCs w:val="24"/>
                <w:lang w:val="en-US" w:eastAsia="zh-CN" w:bidi="ar"/>
              </w:rPr>
              <w:t>现有项目未明确责任主体、环境风险防范措施等相关要求，因此本次项目列出全厂环境风险防范措施。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A、机构设置</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项目在建成后，为能有效预防突发事件发生，并能做到在事件发生后能迅速有效地实现控制和处理，最大程度地减少事件所带来的损失，企业按照“预防为主、自救为主、统一指挥、分工负责”的原则成立应急救援小组，公司级突发环境事件应急救援组织体系包括指挥组和专业救援组。指挥组负责现场全面指挥；专业救援组负责事故控制、救援和善后处理。专业救援组又编为应急处置组、应急保障组、环境应急监测组、医疗救护组四个行动小组。</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B、原料暂存场所风险防范措施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①所有化学品轻拿轻放，并注意关门。</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②对操作人员进行系统教育，对贮存容器的性能和贮存物品的尖锐性加强认识和巡检，严格按操作规程进行操作，严禁违章作业。</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③液体化学品放置在防漏托盘上，注意固体液体分架摆放，避免意外泄漏对环境的影响。</w:t>
            </w:r>
          </w:p>
          <w:p>
            <w:pPr>
              <w:pStyle w:val="16"/>
              <w:widowControl w:val="0"/>
              <w:spacing w:before="0" w:beforeAutospacing="0" w:after="0" w:afterAutospacing="0" w:line="360" w:lineRule="auto"/>
              <w:ind w:left="420" w:left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C、废气处理设施非正常运行预防措施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①建设单位应制定科学有效的废气处理操作规程，严格执行。一旦发现废气有超标排放的可能，及时采取治理措施，避免超标排放。</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②定期对废气处理装置进行日常维护保养工作，确保废气处理装置保持良好的运行状态。若发现故障，应立即进行维修并定期进行后期维护。</w:t>
            </w:r>
          </w:p>
          <w:p>
            <w:pPr>
              <w:pStyle w:val="16"/>
              <w:widowControl w:val="0"/>
              <w:spacing w:before="0" w:beforeAutospacing="0" w:after="0" w:afterAutospacing="0" w:line="360" w:lineRule="auto"/>
              <w:ind w:firstLine="482" w:firstLineChars="200"/>
              <w:jc w:val="both"/>
              <w:rPr>
                <w:rFonts w:ascii="Times New Roman" w:hAnsi="Times New Roman"/>
                <w:color w:val="auto"/>
                <w:kern w:val="2"/>
                <w:szCs w:val="24"/>
                <w:lang w:bidi="ar"/>
              </w:rPr>
            </w:pPr>
            <w:r>
              <w:rPr>
                <w:rFonts w:hint="eastAsia" w:ascii="Times New Roman" w:hAnsi="Times New Roman"/>
                <w:b/>
                <w:bCs/>
                <w:color w:val="auto"/>
                <w:kern w:val="2"/>
                <w:szCs w:val="24"/>
                <w:lang w:bidi="ar"/>
              </w:rPr>
              <w:t>D、火灾和爆炸的预防措施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a.控制作业场所空气相对湿度</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提高作业场所的空气相对湿度，也是预防粉尘爆炸形成的有效措施，当空气相对湿度增加时，一方面可减少粉尘飞扬，降低粉尘的分散度，提高粉尘的沉降速度，避免粉尘达到爆炸浓度极限；同时空气相对湿度的提高会消除部分静电，相当于消除了部分点火源；此外空气相对湿度增加后会占据一定空间，从而降低氧气浓度，降低了粉尘燃烧速度，抑制粉尘爆炸的发生。</w:t>
            </w:r>
          </w:p>
          <w:p>
            <w:pPr>
              <w:pStyle w:val="16"/>
              <w:widowControl w:val="0"/>
              <w:spacing w:before="0" w:beforeAutospacing="0" w:after="0" w:afterAutospacing="0" w:line="360" w:lineRule="auto"/>
              <w:ind w:left="420" w:left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b.设备的安全管理：定期对设备进行安全检测，检测内容、时间、人员应有记录保存。安全检测应根据设备的安全性、危险性设定检测频次。</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c.应加强火源的管理，严禁烟火带入，对设备需进行维修焊接，应经安全部门确认、准许，并有记录。</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d.要有完善的安全消防措施。厂区内各车间及仓库应设置水消防系统和ABC类干粉灭火器等。</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E、水环境风险防范措施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发生事故时，消防废水等可能从雨水管网进入附近水体，应保证雨水排口的阀门处于关闭状态，事故池应急阀门处于开启状态，将事故废水收集至事故池，事故废水</w:t>
            </w:r>
            <w:r>
              <w:rPr>
                <w:rFonts w:hint="eastAsia" w:ascii="Times New Roman" w:hAnsi="Times New Roman" w:eastAsia="宋体" w:cs="Times New Roman"/>
                <w:color w:val="000000"/>
                <w:sz w:val="24"/>
                <w:szCs w:val="24"/>
                <w:lang w:val="en-US" w:eastAsia="zh-CN"/>
              </w:rPr>
              <w:t>委外处理</w:t>
            </w:r>
            <w:r>
              <w:rPr>
                <w:rFonts w:hint="eastAsia"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根据《事故状态下水体污染的预防与控制规范》(Q/SY08190-2019)，事故应急池容量按下式计算：</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V总=（V1+V2-V3）max+V4+V5</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V1—最大一个容器的设备（装置）或贮罐的物料贮存量，m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（本项目</w:t>
            </w:r>
            <w:r>
              <w:rPr>
                <w:rFonts w:hint="eastAsia" w:ascii="Times New Roman" w:hAnsi="Times New Roman"/>
                <w:color w:val="auto"/>
                <w:kern w:val="2"/>
                <w:szCs w:val="24"/>
                <w:lang w:bidi="ar"/>
              </w:rPr>
              <w:t>V1</w:t>
            </w:r>
            <w:r>
              <w:rPr>
                <w:rFonts w:ascii="Times New Roman" w:hAnsi="Times New Roman"/>
                <w:color w:val="auto"/>
                <w:kern w:val="2"/>
                <w:szCs w:val="24"/>
                <w:lang w:bidi="ar"/>
              </w:rPr>
              <w:t>取</w:t>
            </w:r>
            <w:r>
              <w:rPr>
                <w:rFonts w:hint="eastAsia" w:ascii="Times New Roman" w:hAnsi="Times New Roman"/>
                <w:color w:val="auto"/>
                <w:kern w:val="2"/>
                <w:szCs w:val="24"/>
                <w:lang w:bidi="ar"/>
              </w:rPr>
              <w:t>0</w:t>
            </w:r>
            <w:r>
              <w:rPr>
                <w:rFonts w:ascii="Times New Roman" w:hAnsi="Times New Roman"/>
                <w:color w:val="auto"/>
                <w:kern w:val="2"/>
                <w:szCs w:val="24"/>
                <w:lang w:bidi="ar"/>
              </w:rPr>
              <w:t>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V2—发生事故的储罐或装置的消防水量，m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；（则本项目最大消防用水量为1</w:t>
            </w:r>
            <w:r>
              <w:rPr>
                <w:rFonts w:hint="eastAsia" w:ascii="Times New Roman" w:hAnsi="Times New Roman"/>
                <w:color w:val="auto"/>
                <w:kern w:val="2"/>
                <w:szCs w:val="24"/>
                <w:lang w:bidi="ar"/>
              </w:rPr>
              <w:t>62</w:t>
            </w:r>
            <w:r>
              <w:rPr>
                <w:rFonts w:ascii="Times New Roman" w:hAnsi="Times New Roman"/>
                <w:color w:val="auto"/>
                <w:kern w:val="2"/>
                <w:szCs w:val="24"/>
                <w:lang w:bidi="ar"/>
              </w:rPr>
              <w:t>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hint="eastAsia" w:ascii="Times New Roman" w:hAnsi="Times New Roman" w:eastAsia="宋体"/>
                <w:color w:val="auto"/>
                <w:kern w:val="2"/>
                <w:szCs w:val="24"/>
                <w:lang w:eastAsia="zh-CN" w:bidi="ar"/>
              </w:rPr>
            </w:pPr>
            <w:r>
              <w:rPr>
                <w:rFonts w:hint="eastAsia" w:ascii="Times New Roman" w:hAnsi="Times New Roman" w:eastAsia="宋体"/>
                <w:color w:val="FF0000"/>
                <w:kern w:val="0"/>
                <w:sz w:val="24"/>
                <w:szCs w:val="24"/>
                <w:highlight w:val="none"/>
                <w:lang w:eastAsia="zh-CN"/>
              </w:rPr>
              <w:t>项目为丁类厂房，耐火等级为二级，</w:t>
            </w:r>
            <w:r>
              <w:rPr>
                <w:rFonts w:hint="default" w:ascii="Times New Roman" w:hAnsi="Times New Roman" w:eastAsia="宋体" w:cs="Times New Roman"/>
                <w:b w:val="0"/>
                <w:bCs/>
                <w:color w:val="FF0000"/>
                <w:sz w:val="24"/>
                <w:szCs w:val="24"/>
              </w:rPr>
              <w:t>根据《建筑防火通用规范》（GB55037-2022），建筑占地面积大于300m</w:t>
            </w:r>
            <w:r>
              <w:rPr>
                <w:rFonts w:hint="default" w:ascii="Times New Roman" w:hAnsi="Times New Roman" w:eastAsia="宋体" w:cs="Times New Roman"/>
                <w:b w:val="0"/>
                <w:bCs/>
                <w:color w:val="FF0000"/>
                <w:sz w:val="24"/>
                <w:szCs w:val="24"/>
                <w:vertAlign w:val="superscript"/>
              </w:rPr>
              <w:t>2</w:t>
            </w:r>
            <w:r>
              <w:rPr>
                <w:rFonts w:hint="default" w:ascii="Times New Roman" w:hAnsi="Times New Roman" w:eastAsia="宋体" w:cs="Times New Roman"/>
                <w:b w:val="0"/>
                <w:bCs/>
                <w:color w:val="FF0000"/>
                <w:sz w:val="24"/>
                <w:szCs w:val="24"/>
              </w:rPr>
              <w:t>的甲乙丙类厂房、仓库应设置室内消火栓系统</w:t>
            </w:r>
            <w:r>
              <w:rPr>
                <w:rFonts w:hint="eastAsia" w:ascii="Times New Roman" w:hAnsi="Times New Roman" w:eastAsia="宋体" w:cs="Times New Roman"/>
                <w:b w:val="0"/>
                <w:bCs/>
                <w:color w:val="FF0000"/>
                <w:sz w:val="24"/>
                <w:szCs w:val="24"/>
                <w:lang w:eastAsia="zh-CN"/>
              </w:rPr>
              <w:t>，企业为</w:t>
            </w:r>
            <w:r>
              <w:rPr>
                <w:rFonts w:hint="eastAsia" w:ascii="Times New Roman" w:hAnsi="Times New Roman" w:eastAsia="宋体"/>
                <w:color w:val="FF0000"/>
                <w:kern w:val="0"/>
                <w:sz w:val="24"/>
                <w:szCs w:val="24"/>
                <w:highlight w:val="none"/>
                <w:lang w:eastAsia="zh-CN"/>
              </w:rPr>
              <w:t>丁</w:t>
            </w:r>
            <w:r>
              <w:rPr>
                <w:rFonts w:hint="eastAsia" w:ascii="Times New Roman" w:hAnsi="Times New Roman" w:eastAsia="宋体" w:cs="Times New Roman"/>
                <w:b w:val="0"/>
                <w:bCs/>
                <w:color w:val="FF0000"/>
                <w:sz w:val="24"/>
                <w:szCs w:val="24"/>
                <w:lang w:eastAsia="zh-CN"/>
              </w:rPr>
              <w:t>类厂房，无需设置</w:t>
            </w:r>
            <w:r>
              <w:rPr>
                <w:rFonts w:hint="default" w:ascii="Times New Roman" w:hAnsi="Times New Roman" w:eastAsia="宋体" w:cs="Times New Roman"/>
                <w:b w:val="0"/>
                <w:bCs/>
                <w:color w:val="FF0000"/>
                <w:sz w:val="24"/>
                <w:szCs w:val="24"/>
              </w:rPr>
              <w:t>室内消火栓系统</w:t>
            </w:r>
            <w:r>
              <w:rPr>
                <w:rFonts w:hint="eastAsia" w:ascii="Times New Roman" w:hAnsi="Times New Roman" w:eastAsia="宋体" w:cs="Times New Roman"/>
                <w:b w:val="0"/>
                <w:bCs/>
                <w:color w:val="FF0000"/>
                <w:sz w:val="24"/>
                <w:szCs w:val="24"/>
                <w:lang w:eastAsia="zh-CN"/>
              </w:rPr>
              <w:t>；</w:t>
            </w:r>
            <w:r>
              <w:rPr>
                <w:rFonts w:hint="eastAsia" w:ascii="Times New Roman" w:hAnsi="Times New Roman" w:eastAsia="宋体"/>
                <w:color w:val="FF0000"/>
                <w:kern w:val="0"/>
                <w:sz w:val="24"/>
                <w:szCs w:val="24"/>
                <w:highlight w:val="none"/>
                <w:lang w:eastAsia="zh-CN"/>
              </w:rPr>
              <w:t>根据</w:t>
            </w:r>
            <w:r>
              <w:rPr>
                <w:rFonts w:hint="eastAsia" w:ascii="Times New Roman" w:hAnsi="Times New Roman" w:eastAsia="宋体"/>
                <w:color w:val="FF0000"/>
                <w:kern w:val="0"/>
                <w:sz w:val="24"/>
                <w:szCs w:val="24"/>
                <w:highlight w:val="none"/>
              </w:rPr>
              <w:t>《消防给水及消火栓系统技术规范》（GB50974-2014）</w:t>
            </w:r>
            <w:r>
              <w:rPr>
                <w:rFonts w:hint="eastAsia" w:ascii="Times New Roman" w:hAnsi="Times New Roman" w:eastAsia="宋体"/>
                <w:color w:val="FF0000"/>
                <w:kern w:val="0"/>
                <w:sz w:val="24"/>
                <w:szCs w:val="24"/>
                <w:highlight w:val="none"/>
                <w:lang w:eastAsia="zh-CN"/>
              </w:rPr>
              <w:t>中要求，</w:t>
            </w:r>
            <w:r>
              <w:rPr>
                <w:rFonts w:ascii="Times New Roman" w:hAnsi="Times New Roman" w:eastAsia="宋体"/>
                <w:color w:val="FF0000"/>
                <w:kern w:val="0"/>
                <w:sz w:val="24"/>
                <w:szCs w:val="24"/>
                <w:highlight w:val="none"/>
              </w:rPr>
              <w:t>消防用水量以</w:t>
            </w:r>
            <w:r>
              <w:rPr>
                <w:rFonts w:hint="eastAsia" w:ascii="Times New Roman" w:hAnsi="Times New Roman" w:eastAsia="宋体"/>
                <w:color w:val="FF0000"/>
                <w:kern w:val="0"/>
                <w:sz w:val="24"/>
                <w:szCs w:val="24"/>
                <w:highlight w:val="none"/>
                <w:lang w:val="en-US" w:eastAsia="zh-CN"/>
              </w:rPr>
              <w:t>20</w:t>
            </w:r>
            <w:r>
              <w:rPr>
                <w:rFonts w:ascii="Times New Roman" w:hAnsi="Times New Roman" w:eastAsia="宋体"/>
                <w:color w:val="FF0000"/>
                <w:kern w:val="0"/>
                <w:sz w:val="24"/>
                <w:szCs w:val="24"/>
                <w:highlight w:val="none"/>
                <w:lang w:val="zh-CN"/>
              </w:rPr>
              <w:t>L</w:t>
            </w:r>
            <w:r>
              <w:rPr>
                <w:rFonts w:ascii="Times New Roman" w:hAnsi="Times New Roman" w:eastAsia="宋体"/>
                <w:color w:val="FF0000"/>
                <w:kern w:val="0"/>
                <w:sz w:val="24"/>
                <w:szCs w:val="24"/>
                <w:highlight w:val="none"/>
              </w:rPr>
              <w:t>/s计，火灾持续时间</w:t>
            </w:r>
            <w:r>
              <w:rPr>
                <w:rFonts w:hint="eastAsia" w:ascii="Times New Roman" w:hAnsi="Times New Roman" w:eastAsia="宋体"/>
                <w:color w:val="FF0000"/>
                <w:kern w:val="0"/>
                <w:sz w:val="24"/>
                <w:szCs w:val="24"/>
                <w:highlight w:val="none"/>
              </w:rPr>
              <w:t>2</w:t>
            </w:r>
            <w:r>
              <w:rPr>
                <w:rFonts w:ascii="Times New Roman" w:hAnsi="Times New Roman" w:eastAsia="宋体"/>
                <w:color w:val="FF0000"/>
                <w:kern w:val="0"/>
                <w:sz w:val="24"/>
                <w:szCs w:val="24"/>
                <w:highlight w:val="none"/>
              </w:rPr>
              <w:t>h，则本项目最大消防用水量为</w:t>
            </w:r>
            <w:r>
              <w:rPr>
                <w:rFonts w:hint="eastAsia" w:ascii="Times New Roman" w:hAnsi="Times New Roman" w:eastAsia="宋体" w:cs="Times New Roman"/>
                <w:b w:val="0"/>
                <w:bCs/>
                <w:color w:val="FF0000"/>
                <w:kern w:val="2"/>
                <w:sz w:val="24"/>
                <w:szCs w:val="24"/>
                <w:lang w:val="en-US" w:eastAsia="zh-CN" w:bidi="ar-SA"/>
              </w:rPr>
              <w:t>20×2×3600×10</w:t>
            </w:r>
            <w:r>
              <w:rPr>
                <w:rFonts w:hint="eastAsia" w:ascii="Times New Roman" w:hAnsi="Times New Roman" w:eastAsia="宋体" w:cs="Times New Roman"/>
                <w:b w:val="0"/>
                <w:bCs/>
                <w:color w:val="FF0000"/>
                <w:kern w:val="2"/>
                <w:sz w:val="24"/>
                <w:szCs w:val="24"/>
                <w:vertAlign w:val="superscript"/>
                <w:lang w:val="en-US" w:eastAsia="zh-CN" w:bidi="ar-SA"/>
              </w:rPr>
              <w:t>-3</w:t>
            </w:r>
            <w:r>
              <w:rPr>
                <w:rFonts w:hint="eastAsia" w:ascii="Times New Roman" w:hAnsi="Times New Roman" w:eastAsia="宋体" w:cs="Times New Roman"/>
                <w:b w:val="0"/>
                <w:bCs/>
                <w:color w:val="FF0000"/>
                <w:kern w:val="2"/>
                <w:sz w:val="24"/>
                <w:szCs w:val="24"/>
                <w:lang w:val="en-US" w:eastAsia="zh-CN" w:bidi="ar-SA"/>
              </w:rPr>
              <w:t>=144</w:t>
            </w:r>
            <w:r>
              <w:rPr>
                <w:rFonts w:ascii="Times New Roman" w:hAnsi="Times New Roman" w:eastAsia="宋体"/>
                <w:color w:val="FF0000"/>
                <w:kern w:val="0"/>
                <w:sz w:val="24"/>
                <w:szCs w:val="24"/>
                <w:highlight w:val="none"/>
              </w:rPr>
              <w:t>m</w:t>
            </w:r>
            <w:r>
              <w:rPr>
                <w:rFonts w:ascii="Times New Roman" w:hAnsi="Times New Roman" w:eastAsia="宋体"/>
                <w:color w:val="FF0000"/>
                <w:kern w:val="0"/>
                <w:sz w:val="24"/>
                <w:szCs w:val="24"/>
                <w:highlight w:val="none"/>
                <w:vertAlign w:val="superscript"/>
              </w:rPr>
              <w:t>3</w:t>
            </w:r>
            <w:r>
              <w:rPr>
                <w:rFonts w:hint="eastAsia" w:ascii="Times New Roman" w:hAnsi="Times New Roman" w:eastAsia="宋体"/>
                <w:color w:val="auto"/>
                <w:kern w:val="2"/>
                <w:sz w:val="24"/>
                <w:szCs w:val="24"/>
                <w:lang w:eastAsia="zh-CN"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V3—发生事故时可以传输到其他储存或处理设施的物料量，m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000000"/>
                <w:kern w:val="2"/>
                <w:sz w:val="24"/>
                <w:szCs w:val="24"/>
                <w:lang w:bidi="ar"/>
              </w:rPr>
              <w:t>按最坏情况计，项目内未设置围堰，则 V</w:t>
            </w:r>
            <w:r>
              <w:rPr>
                <w:rFonts w:hint="eastAsia" w:ascii="Times New Roman" w:hAnsi="Times New Roman"/>
                <w:color w:val="000000"/>
                <w:kern w:val="2"/>
                <w:sz w:val="24"/>
                <w:szCs w:val="24"/>
                <w:vertAlign w:val="subscript"/>
                <w:lang w:bidi="ar"/>
              </w:rPr>
              <w:t>3</w:t>
            </w:r>
            <w:r>
              <w:rPr>
                <w:rFonts w:hint="eastAsia" w:ascii="Times New Roman" w:hAnsi="Times New Roman"/>
                <w:color w:val="000000"/>
                <w:kern w:val="2"/>
                <w:sz w:val="24"/>
                <w:szCs w:val="24"/>
                <w:lang w:bidi="ar"/>
              </w:rPr>
              <w:t>=0 m</w:t>
            </w:r>
            <w:r>
              <w:rPr>
                <w:rFonts w:hint="eastAsia" w:ascii="Times New Roman" w:hAnsi="Times New Roman"/>
                <w:color w:val="000000"/>
                <w:kern w:val="2"/>
                <w:sz w:val="24"/>
                <w:szCs w:val="24"/>
                <w:vertAlign w:val="superscript"/>
                <w:lang w:bidi="ar"/>
              </w:rPr>
              <w:t>3</w:t>
            </w:r>
            <w:r>
              <w:rPr>
                <w:rFonts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V4—发生事故时仍必须进入该收集系统的生产废水量，m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（本项目</w:t>
            </w:r>
            <w:r>
              <w:rPr>
                <w:rFonts w:hint="eastAsia" w:ascii="Times New Roman" w:hAnsi="Times New Roman"/>
                <w:color w:val="auto"/>
                <w:kern w:val="2"/>
                <w:szCs w:val="24"/>
                <w:lang w:bidi="ar"/>
              </w:rPr>
              <w:t>无生产废水</w:t>
            </w:r>
            <w:r>
              <w:rPr>
                <w:rFonts w:ascii="Times New Roman" w:hAnsi="Times New Roman"/>
                <w:color w:val="auto"/>
                <w:kern w:val="2"/>
                <w:szCs w:val="24"/>
                <w:lang w:bidi="ar"/>
              </w:rPr>
              <w:t>，则V4取0m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V5—发生事故时可能进入该收集系统的降雨量，m</w:t>
            </w:r>
            <w:r>
              <w:rPr>
                <w:rFonts w:ascii="Times New Roman" w:hAnsi="Times New Roman"/>
                <w:color w:val="auto"/>
                <w:kern w:val="2"/>
                <w:szCs w:val="24"/>
                <w:vertAlign w:val="superscript"/>
                <w:lang w:bidi="ar"/>
              </w:rPr>
              <w:t>3</w:t>
            </w:r>
            <w:r>
              <w:rPr>
                <w:rFonts w:ascii="Times New Roman" w:hAnsi="Times New Roman"/>
                <w:color w:val="auto"/>
                <w:kern w:val="2"/>
                <w:szCs w:val="24"/>
                <w:lang w:bidi="ar"/>
              </w:rPr>
              <w:t>。</w:t>
            </w:r>
          </w:p>
          <w:p>
            <w:pPr>
              <w:pStyle w:val="16"/>
              <w:widowControl w:val="0"/>
              <w:spacing w:before="0" w:beforeAutospacing="0" w:after="0" w:afterAutospacing="0" w:line="360" w:lineRule="auto"/>
              <w:ind w:firstLine="480" w:firstLineChars="200"/>
              <w:jc w:val="center"/>
              <w:rPr>
                <w:rFonts w:ascii="Times New Roman" w:hAnsi="Times New Roman"/>
                <w:color w:val="auto"/>
                <w:kern w:val="2"/>
                <w:szCs w:val="24"/>
                <w:lang w:bidi="ar"/>
              </w:rPr>
            </w:pPr>
            <w:r>
              <w:rPr>
                <w:rFonts w:ascii="Times New Roman" w:hAnsi="Times New Roman"/>
                <w:color w:val="auto"/>
                <w:kern w:val="2"/>
                <w:szCs w:val="24"/>
                <w:lang w:bidi="ar"/>
              </w:rPr>
              <w:t>V5=10qF</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式中：q—降雨强度，mm；按平均日降雨量；</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F—区域面积，公顷，本项目涉及污染物的汇水面积约</w:t>
            </w:r>
            <w:r>
              <w:rPr>
                <w:rFonts w:hint="eastAsia" w:ascii="Times New Roman" w:hAnsi="Times New Roman"/>
                <w:color w:val="auto"/>
                <w:kern w:val="2"/>
                <w:szCs w:val="24"/>
                <w:lang w:val="en-US" w:eastAsia="zh-CN" w:bidi="ar"/>
              </w:rPr>
              <w:t>0.45</w:t>
            </w:r>
            <w:r>
              <w:rPr>
                <w:rFonts w:ascii="Times New Roman" w:hAnsi="Times New Roman"/>
                <w:color w:val="auto"/>
                <w:kern w:val="2"/>
                <w:szCs w:val="24"/>
                <w:lang w:bidi="ar"/>
              </w:rPr>
              <w:t>公顷；</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如皋市年平均降雨量1000 mm，年平均降雨日数为150天，故平均日降雨量为6.67 mm。</w:t>
            </w:r>
          </w:p>
          <w:p>
            <w:pPr>
              <w:pStyle w:val="16"/>
              <w:widowControl w:val="0"/>
              <w:spacing w:before="0" w:beforeAutospacing="0" w:after="0" w:afterAutospacing="0" w:line="360" w:lineRule="auto"/>
              <w:ind w:firstLine="480" w:firstLineChars="200"/>
              <w:jc w:val="center"/>
              <w:rPr>
                <w:rFonts w:ascii="Times New Roman" w:hAnsi="Times New Roman"/>
                <w:color w:val="auto"/>
                <w:kern w:val="2"/>
                <w:szCs w:val="24"/>
                <w:lang w:bidi="ar"/>
              </w:rPr>
            </w:pPr>
            <w:r>
              <w:rPr>
                <w:rFonts w:ascii="Times New Roman" w:hAnsi="Times New Roman"/>
                <w:color w:val="auto"/>
                <w:kern w:val="2"/>
                <w:szCs w:val="24"/>
                <w:lang w:bidi="ar"/>
              </w:rPr>
              <w:t>V雨=10qF =</w:t>
            </w:r>
            <w:r>
              <w:rPr>
                <w:rFonts w:hint="eastAsia" w:ascii="Times New Roman" w:hAnsi="Times New Roman"/>
                <w:color w:val="auto"/>
                <w:kern w:val="2"/>
                <w:szCs w:val="24"/>
                <w:lang w:val="en-US" w:eastAsia="zh-CN" w:bidi="ar"/>
              </w:rPr>
              <w:t>30</w:t>
            </w:r>
            <w:r>
              <w:rPr>
                <w:rFonts w:ascii="Times New Roman" w:hAnsi="Times New Roman"/>
                <w:color w:val="auto"/>
                <w:kern w:val="2"/>
                <w:szCs w:val="24"/>
                <w:lang w:bidi="ar"/>
              </w:rPr>
              <w:t>m</w:t>
            </w:r>
            <w:r>
              <w:rPr>
                <w:rFonts w:ascii="Times New Roman" w:hAnsi="Times New Roman"/>
                <w:color w:val="auto"/>
                <w:kern w:val="2"/>
                <w:szCs w:val="24"/>
                <w:vertAlign w:val="superscript"/>
                <w:lang w:bidi="ar"/>
              </w:rPr>
              <w:t>3</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ascii="Times New Roman" w:hAnsi="Times New Roman"/>
                <w:color w:val="auto"/>
                <w:kern w:val="2"/>
                <w:szCs w:val="24"/>
                <w:lang w:bidi="ar"/>
              </w:rPr>
              <w:t>V总＝（V1＋V2－V3）max＋V4+V5＝（</w:t>
            </w:r>
            <w:r>
              <w:rPr>
                <w:rFonts w:hint="eastAsia" w:ascii="Times New Roman" w:hAnsi="Times New Roman"/>
                <w:color w:val="auto"/>
                <w:kern w:val="2"/>
                <w:szCs w:val="24"/>
                <w:lang w:val="en-US" w:eastAsia="zh-CN" w:bidi="ar"/>
              </w:rPr>
              <w:t>144</w:t>
            </w:r>
            <w:r>
              <w:rPr>
                <w:rFonts w:ascii="Times New Roman" w:hAnsi="Times New Roman"/>
                <w:color w:val="auto"/>
                <w:kern w:val="2"/>
                <w:szCs w:val="24"/>
                <w:lang w:bidi="ar"/>
              </w:rPr>
              <w:t>-</w:t>
            </w:r>
            <w:r>
              <w:rPr>
                <w:rFonts w:hint="eastAsia" w:ascii="Times New Roman" w:hAnsi="Times New Roman"/>
                <w:color w:val="auto"/>
                <w:kern w:val="2"/>
                <w:szCs w:val="24"/>
                <w:lang w:val="en-US" w:eastAsia="zh-CN" w:bidi="ar"/>
              </w:rPr>
              <w:t>0</w:t>
            </w:r>
            <w:r>
              <w:rPr>
                <w:rFonts w:ascii="Times New Roman" w:hAnsi="Times New Roman"/>
                <w:color w:val="auto"/>
                <w:kern w:val="2"/>
                <w:szCs w:val="24"/>
                <w:lang w:bidi="ar"/>
              </w:rPr>
              <w:t>）+0+</w:t>
            </w:r>
            <w:r>
              <w:rPr>
                <w:rFonts w:hint="eastAsia" w:ascii="Times New Roman" w:hAnsi="Times New Roman"/>
                <w:color w:val="auto"/>
                <w:kern w:val="2"/>
                <w:szCs w:val="24"/>
                <w:lang w:val="en-US" w:eastAsia="zh-CN" w:bidi="ar"/>
              </w:rPr>
              <w:t>30</w:t>
            </w:r>
            <w:r>
              <w:rPr>
                <w:rFonts w:ascii="Times New Roman" w:hAnsi="Times New Roman"/>
                <w:color w:val="auto"/>
                <w:kern w:val="2"/>
                <w:szCs w:val="24"/>
                <w:lang w:bidi="ar"/>
              </w:rPr>
              <w:t>=</w:t>
            </w:r>
            <w:r>
              <w:rPr>
                <w:rFonts w:hint="eastAsia" w:ascii="Times New Roman" w:hAnsi="Times New Roman"/>
                <w:color w:val="auto"/>
                <w:kern w:val="2"/>
                <w:szCs w:val="24"/>
                <w:lang w:val="en-US" w:eastAsia="zh-CN" w:bidi="ar"/>
              </w:rPr>
              <w:t>174</w:t>
            </w:r>
            <w:r>
              <w:rPr>
                <w:rFonts w:ascii="Times New Roman" w:hAnsi="Times New Roman"/>
                <w:color w:val="auto"/>
                <w:kern w:val="2"/>
                <w:szCs w:val="24"/>
                <w:lang w:bidi="ar"/>
              </w:rPr>
              <w:t>m</w:t>
            </w:r>
            <w:r>
              <w:rPr>
                <w:rFonts w:ascii="Times New Roman" w:hAnsi="Times New Roman"/>
                <w:color w:val="auto"/>
                <w:kern w:val="2"/>
                <w:szCs w:val="24"/>
                <w:vertAlign w:val="superscript"/>
                <w:lang w:bidi="ar"/>
              </w:rPr>
              <w:t>3</w:t>
            </w:r>
          </w:p>
          <w:p>
            <w:pPr>
              <w:pStyle w:val="16"/>
              <w:widowControl w:val="0"/>
              <w:spacing w:before="0" w:beforeAutospacing="0" w:after="0" w:afterAutospacing="0" w:line="360" w:lineRule="auto"/>
              <w:ind w:firstLine="480" w:firstLineChars="200"/>
              <w:jc w:val="both"/>
              <w:rPr>
                <w:rFonts w:ascii="Times New Roman" w:hAnsi="Times New Roman"/>
                <w:color w:val="auto"/>
                <w:szCs w:val="24"/>
                <w:lang w:bidi="ar"/>
              </w:rPr>
            </w:pPr>
            <w:r>
              <w:rPr>
                <w:rFonts w:ascii="Times New Roman" w:hAnsi="Times New Roman"/>
                <w:color w:val="auto"/>
                <w:szCs w:val="24"/>
                <w:lang w:bidi="ar"/>
              </w:rPr>
              <w:t>经计算，厂区所需事故池总容积为</w:t>
            </w:r>
            <w:r>
              <w:rPr>
                <w:rFonts w:hint="eastAsia" w:ascii="Times New Roman" w:hAnsi="Times New Roman"/>
                <w:color w:val="auto"/>
                <w:szCs w:val="24"/>
                <w:lang w:val="en-US" w:eastAsia="zh-CN" w:bidi="ar"/>
              </w:rPr>
              <w:t>174</w:t>
            </w:r>
            <w:r>
              <w:rPr>
                <w:rFonts w:ascii="Times New Roman" w:hAnsi="Times New Roman"/>
                <w:color w:val="auto"/>
                <w:szCs w:val="24"/>
                <w:lang w:bidi="ar"/>
              </w:rPr>
              <w:t>m</w:t>
            </w:r>
            <w:r>
              <w:rPr>
                <w:rFonts w:ascii="Times New Roman" w:hAnsi="Times New Roman"/>
                <w:color w:val="auto"/>
                <w:szCs w:val="24"/>
                <w:vertAlign w:val="superscript"/>
                <w:lang w:bidi="ar"/>
              </w:rPr>
              <w:t>3</w:t>
            </w:r>
            <w:r>
              <w:rPr>
                <w:rFonts w:ascii="Times New Roman" w:hAnsi="Times New Roman"/>
                <w:color w:val="auto"/>
                <w:szCs w:val="24"/>
                <w:lang w:bidi="ar"/>
              </w:rPr>
              <w:t>，考虑最不利情形，本项目建议建设单位应建设不小于</w:t>
            </w:r>
            <w:r>
              <w:rPr>
                <w:rFonts w:hint="eastAsia" w:ascii="Times New Roman" w:hAnsi="Times New Roman"/>
                <w:color w:val="auto"/>
                <w:szCs w:val="24"/>
                <w:lang w:val="en-US" w:eastAsia="zh-CN" w:bidi="ar"/>
              </w:rPr>
              <w:t>180</w:t>
            </w:r>
            <w:r>
              <w:rPr>
                <w:rFonts w:ascii="Times New Roman" w:hAnsi="Times New Roman"/>
                <w:color w:val="auto"/>
                <w:szCs w:val="24"/>
                <w:lang w:bidi="ar"/>
              </w:rPr>
              <w:t>m</w:t>
            </w:r>
            <w:r>
              <w:rPr>
                <w:rFonts w:ascii="Times New Roman" w:hAnsi="Times New Roman"/>
                <w:color w:val="auto"/>
                <w:szCs w:val="24"/>
                <w:vertAlign w:val="superscript"/>
                <w:lang w:bidi="ar"/>
              </w:rPr>
              <w:t>3</w:t>
            </w:r>
            <w:r>
              <w:rPr>
                <w:rFonts w:ascii="Times New Roman" w:hAnsi="Times New Roman"/>
                <w:color w:val="auto"/>
                <w:szCs w:val="24"/>
                <w:lang w:bidi="ar"/>
              </w:rPr>
              <w:t>的事故水池，能满足事故废水收集的要求。</w:t>
            </w:r>
          </w:p>
          <w:p>
            <w:pPr>
              <w:pStyle w:val="16"/>
              <w:widowControl w:val="0"/>
              <w:spacing w:before="0" w:beforeAutospacing="0" w:after="0" w:afterAutospacing="0" w:line="360" w:lineRule="auto"/>
              <w:ind w:firstLine="480" w:firstLineChars="200"/>
              <w:jc w:val="both"/>
              <w:rPr>
                <w:rFonts w:ascii="Times New Roman" w:hAnsi="Times New Roman"/>
                <w:color w:val="auto"/>
                <w:szCs w:val="24"/>
                <w:lang w:bidi="ar"/>
              </w:rPr>
            </w:pPr>
            <w:r>
              <w:rPr>
                <w:rFonts w:hint="eastAsia" w:ascii="Times New Roman" w:hAnsi="Times New Roman"/>
                <w:color w:val="auto"/>
                <w:szCs w:val="24"/>
                <w:lang w:bidi="ar"/>
              </w:rPr>
              <w:t>项目事故应急池由</w:t>
            </w:r>
            <w:r>
              <w:rPr>
                <w:rFonts w:hint="eastAsia" w:ascii="Times New Roman" w:hAnsi="Times New Roman"/>
                <w:color w:val="auto"/>
                <w:szCs w:val="24"/>
                <w:lang w:eastAsia="zh-CN" w:bidi="ar"/>
              </w:rPr>
              <w:t>南通浩正机械设备有限公司</w:t>
            </w:r>
            <w:r>
              <w:rPr>
                <w:rFonts w:hint="eastAsia" w:ascii="Times New Roman" w:hAnsi="Times New Roman"/>
                <w:color w:val="auto"/>
                <w:szCs w:val="24"/>
                <w:lang w:bidi="ar"/>
              </w:rPr>
              <w:t>建设，在租赁区域内涉及到设备维修、安全、消防、环保和厂区卫生等相应的环境保护均由</w:t>
            </w:r>
            <w:r>
              <w:rPr>
                <w:rFonts w:hint="eastAsia" w:ascii="Times New Roman" w:hAnsi="Times New Roman"/>
                <w:color w:val="auto"/>
                <w:szCs w:val="24"/>
                <w:lang w:eastAsia="zh-CN" w:bidi="ar"/>
              </w:rPr>
              <w:t>南通浩正机械设备有限公司</w:t>
            </w:r>
            <w:r>
              <w:rPr>
                <w:rFonts w:hint="eastAsia" w:ascii="Times New Roman" w:hAnsi="Times New Roman"/>
                <w:color w:val="auto"/>
                <w:szCs w:val="24"/>
                <w:lang w:bidi="ar"/>
              </w:rPr>
              <w:t>自行负责。</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FF0000"/>
                <w:kern w:val="0"/>
                <w:sz w:val="24"/>
                <w:szCs w:val="24"/>
                <w:lang w:eastAsia="zh-CN" w:bidi="ar"/>
              </w:rPr>
            </w:pPr>
            <w:r>
              <w:rPr>
                <w:rFonts w:hint="default" w:ascii="Times New Roman" w:hAnsi="Times New Roman" w:eastAsia="宋体" w:cs="Times New Roman"/>
                <w:color w:val="auto"/>
                <w:kern w:val="0"/>
                <w:sz w:val="24"/>
                <w:szCs w:val="24"/>
                <w:lang w:bidi="ar"/>
              </w:rPr>
              <w:t>厂区实行雨污分流。建设项目实施雨污分流制，厂区雨水管网与事故废水收集池相连，并设置1个控制闸阀；雨水总排口设置1个控制闸阀。平时关闭总排口和事故废水收集池控制闸阀，发生事故时，关闭雨水总排闸阀，打开事故废水收集池闸阀，杜绝事故情况下泄漏物料或事故废水经雨水管外排。</w:t>
            </w:r>
            <w:r>
              <w:rPr>
                <w:rFonts w:hint="eastAsia" w:ascii="Times New Roman" w:hAnsi="Times New Roman" w:eastAsia="宋体" w:cs="Times New Roman"/>
                <w:color w:val="auto"/>
                <w:kern w:val="0"/>
                <w:sz w:val="24"/>
                <w:szCs w:val="24"/>
                <w:lang w:eastAsia="zh-CN" w:bidi="ar"/>
              </w:rPr>
              <w:t>建设时要做到防腐防渗防漏，有效收集消防尾水。</w:t>
            </w:r>
          </w:p>
          <w:p>
            <w:pPr>
              <w:widowControl/>
              <w:spacing w:line="360" w:lineRule="auto"/>
              <w:ind w:firstLine="480"/>
              <w:jc w:val="center"/>
              <w:rPr>
                <w:rFonts w:hint="default" w:ascii="Times New Roman" w:hAnsi="Times New Roman" w:eastAsia="宋体" w:cs="Times New Roman"/>
                <w:color w:val="auto"/>
                <w:kern w:val="0"/>
                <w:sz w:val="21"/>
                <w:szCs w:val="21"/>
                <w:lang w:bidi="ar"/>
              </w:rPr>
            </w:pPr>
            <w:r>
              <w:rPr>
                <w:rFonts w:ascii="Times New Roman" w:hAnsi="Times New Roman"/>
                <w:color w:val="auto"/>
              </w:rPr>
              <w:drawing>
                <wp:inline distT="0" distB="0" distL="114300" distR="114300">
                  <wp:extent cx="3724275" cy="2295525"/>
                  <wp:effectExtent l="0" t="0" r="9525"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1"/>
                          <a:stretch>
                            <a:fillRect/>
                          </a:stretch>
                        </pic:blipFill>
                        <pic:spPr>
                          <a:xfrm>
                            <a:off x="0" y="0"/>
                            <a:ext cx="3724275" cy="22955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jc w:val="center"/>
              <w:textAlignment w:val="auto"/>
              <w:rPr>
                <w:rFonts w:hint="default" w:ascii="Times New Roman" w:hAnsi="Times New Roman" w:eastAsia="宋体" w:cs="Times New Roman"/>
                <w:color w:val="auto"/>
                <w:kern w:val="0"/>
                <w:sz w:val="24"/>
                <w:szCs w:val="24"/>
                <w:lang w:bidi="ar"/>
              </w:rPr>
            </w:pPr>
            <w:r>
              <w:rPr>
                <w:rFonts w:hint="eastAsia" w:ascii="Times New Roman" w:hAnsi="Times New Roman" w:eastAsia="宋体" w:cs="Times New Roman"/>
                <w:b/>
                <w:bCs/>
                <w:color w:val="auto"/>
                <w:kern w:val="0"/>
                <w:sz w:val="24"/>
                <w:szCs w:val="24"/>
                <w:lang w:bidi="ar"/>
              </w:rPr>
              <w:t>图</w:t>
            </w:r>
            <w:r>
              <w:rPr>
                <w:rFonts w:hint="eastAsia" w:ascii="Times New Roman" w:hAnsi="Times New Roman" w:eastAsia="宋体" w:cs="Times New Roman"/>
                <w:b/>
                <w:bCs/>
                <w:color w:val="auto"/>
                <w:kern w:val="0"/>
                <w:sz w:val="24"/>
                <w:szCs w:val="24"/>
                <w:lang w:val="en-US" w:eastAsia="zh-CN" w:bidi="ar"/>
              </w:rPr>
              <w:t>4-4  防止</w:t>
            </w:r>
            <w:r>
              <w:rPr>
                <w:rFonts w:hint="eastAsia" w:ascii="Times New Roman" w:hAnsi="Times New Roman" w:eastAsia="宋体" w:cs="Times New Roman"/>
                <w:b/>
                <w:bCs/>
                <w:color w:val="auto"/>
                <w:kern w:val="0"/>
                <w:sz w:val="24"/>
                <w:szCs w:val="24"/>
                <w:lang w:bidi="ar"/>
              </w:rPr>
              <w:t>事故</w:t>
            </w:r>
            <w:r>
              <w:rPr>
                <w:rFonts w:hint="eastAsia" w:ascii="Times New Roman" w:hAnsi="Times New Roman" w:eastAsia="宋体" w:cs="Times New Roman"/>
                <w:b/>
                <w:bCs/>
                <w:color w:val="auto"/>
                <w:kern w:val="0"/>
                <w:sz w:val="24"/>
                <w:szCs w:val="24"/>
                <w:lang w:eastAsia="zh-CN" w:bidi="ar"/>
              </w:rPr>
              <w:t>废</w:t>
            </w:r>
            <w:r>
              <w:rPr>
                <w:rFonts w:hint="eastAsia" w:ascii="Times New Roman" w:hAnsi="Times New Roman" w:eastAsia="宋体" w:cs="Times New Roman"/>
                <w:b/>
                <w:bCs/>
                <w:color w:val="auto"/>
                <w:kern w:val="0"/>
                <w:sz w:val="24"/>
                <w:szCs w:val="24"/>
                <w:lang w:bidi="ar"/>
              </w:rPr>
              <w:t>水进入外环境控制</w:t>
            </w:r>
            <w:r>
              <w:rPr>
                <w:rFonts w:hint="eastAsia"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bidi="ar"/>
              </w:rPr>
              <w:t>封堵系统示意图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①正常生产情况下，阀门1打开；阀门2常闭；</w:t>
            </w:r>
          </w:p>
          <w:p>
            <w:pPr>
              <w:pStyle w:val="16"/>
              <w:keepNext w:val="0"/>
              <w:keepLines w:val="0"/>
              <w:pageBreakBefore w:val="0"/>
              <w:widowControl w:val="0"/>
              <w:kinsoku/>
              <w:wordWrap/>
              <w:overflowPunct/>
              <w:topLinePunct w:val="0"/>
              <w:autoSpaceDE/>
              <w:autoSpaceDN/>
              <w:bidi w:val="0"/>
              <w:spacing w:before="0" w:beforeAutospacing="0" w:after="0" w:afterAutospacing="0" w:line="360" w:lineRule="auto"/>
              <w:ind w:firstLine="480" w:firstLineChars="200"/>
              <w:jc w:val="both"/>
              <w:textAlignment w:val="auto"/>
              <w:rPr>
                <w:rFonts w:ascii="Times New Roman" w:hAnsi="Times New Roman"/>
                <w:color w:val="auto"/>
                <w:szCs w:val="24"/>
                <w:lang w:bidi="ar"/>
              </w:rPr>
            </w:pPr>
            <w:r>
              <w:rPr>
                <w:rFonts w:hint="eastAsia" w:ascii="Times New Roman" w:hAnsi="Times New Roman" w:eastAsia="宋体" w:cs="Times New Roman"/>
                <w:color w:val="auto"/>
                <w:kern w:val="0"/>
                <w:sz w:val="24"/>
                <w:szCs w:val="24"/>
              </w:rPr>
              <w:t>②发生物料泄漏及火灾、爆炸等事故时，阀门1关闭，阀门2开启，装置区消防尾水等事故废水通过雨水</w:t>
            </w:r>
            <w:r>
              <w:rPr>
                <w:rFonts w:hint="eastAsia" w:ascii="Times New Roman" w:hAnsi="Times New Roman"/>
                <w:color w:val="auto"/>
                <w:kern w:val="0"/>
                <w:sz w:val="24"/>
                <w:szCs w:val="24"/>
              </w:rPr>
              <w:t>管网收集进入事故池</w:t>
            </w:r>
            <w:r>
              <w:rPr>
                <w:rFonts w:hint="eastAsia" w:ascii="Times New Roman" w:hAnsi="Times New Roman"/>
                <w:color w:val="auto"/>
                <w:kern w:val="0"/>
                <w:sz w:val="24"/>
                <w:szCs w:val="24"/>
                <w:lang w:eastAsia="zh-CN"/>
              </w:rPr>
              <w:t>，</w:t>
            </w:r>
            <w:r>
              <w:rPr>
                <w:rFonts w:hint="eastAsia" w:ascii="Times New Roman" w:hAnsi="Times New Roman"/>
                <w:color w:val="auto"/>
                <w:szCs w:val="24"/>
                <w:lang w:bidi="ar"/>
              </w:rPr>
              <w:t>收集的事故废水委外处理。</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F、三级防控措施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为了最大程度降低建设项目事故发生时对水环境的影响，对建设项目的事故废水将采取三级防控措施。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一级防控措施：各生产车间液体物质底部设有防渗托盘，化学品仓库设置应急沙，少量泄漏时，防渗托盘可及时收集，若少量泄漏到地面，使用应急沙及时收集，确保泄漏物控制在化学品仓库内，当企业发生化学品物料泄漏等事故时，启动一级防控措施，防止对土壤、地下水等造成环境污染。</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同时，厂区发生事故时，切断事故废水与外部的连接通道，导入污水处理系统，将污染控制在厂区内，同时在厂区雨水排口需设置1个自动式切换闸门</w:t>
            </w:r>
            <w:r>
              <w:rPr>
                <w:rFonts w:hint="eastAsia" w:ascii="Times New Roman" w:hAnsi="Times New Roman"/>
                <w:color w:val="auto"/>
                <w:kern w:val="2"/>
                <w:szCs w:val="24"/>
                <w:lang w:eastAsia="zh-CN" w:bidi="ar"/>
              </w:rPr>
              <w:t>，在</w:t>
            </w:r>
            <w:r>
              <w:rPr>
                <w:rFonts w:hint="eastAsia" w:ascii="Times New Roman" w:hAnsi="Times New Roman"/>
                <w:color w:val="auto"/>
                <w:kern w:val="2"/>
                <w:szCs w:val="24"/>
                <w:lang w:bidi="ar"/>
              </w:rPr>
              <w:t>事故工况下关闭闸阀，防止事故工况下废水外溢至厂区外造成环境污染。</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二级防控措施：厂区需设置1座事故应急池，将事故状态下的各类废水收集至事故池内，将污染控制在厂区内，防止生产事故泄漏物料和事故废水造成的环境污染。万一有消防废水溢出雨水管道，进入市政雨水管网，采样封堵气囊进行封堵。</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三级防控体系：企业三级防控体系充分利用如皋市</w:t>
            </w:r>
            <w:r>
              <w:rPr>
                <w:rFonts w:hint="eastAsia" w:ascii="Times New Roman" w:hAnsi="Times New Roman"/>
                <w:color w:val="auto"/>
                <w:kern w:val="2"/>
                <w:szCs w:val="24"/>
                <w:lang w:eastAsia="zh-CN" w:bidi="ar"/>
              </w:rPr>
              <w:t>下原镇</w:t>
            </w:r>
            <w:r>
              <w:rPr>
                <w:rFonts w:hint="eastAsia" w:ascii="Times New Roman" w:hAnsi="Times New Roman"/>
                <w:color w:val="auto"/>
                <w:kern w:val="2"/>
                <w:szCs w:val="24"/>
                <w:lang w:bidi="ar"/>
              </w:rPr>
              <w:t>人民政府资源。若雨水泄漏外溢厂区外，可采</w:t>
            </w:r>
            <w:r>
              <w:rPr>
                <w:rFonts w:hint="eastAsia" w:ascii="Times New Roman" w:hAnsi="Times New Roman"/>
                <w:lang w:val="en-US" w:eastAsia="zh-CN"/>
              </w:rPr>
              <w:t>用</w:t>
            </w:r>
            <w:r>
              <w:rPr>
                <w:rFonts w:hint="eastAsia" w:ascii="Times New Roman" w:hAnsi="Times New Roman"/>
                <w:color w:val="auto"/>
                <w:kern w:val="2"/>
                <w:szCs w:val="24"/>
                <w:lang w:bidi="ar"/>
              </w:rPr>
              <w:t>封堵气囊封堵外部雨水管道，防止事故废水排入周边河流。</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G、地下水和土壤环境风险防范措施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对可能造成的地下水和土壤污染，项目采取“源头控制、分区防渗”措施，加强土壤和地下水环境的监控、预警：</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①从源头上控制污染物产生和扩散，减少了污染物排放量。</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②对厂区可能产生污染的地面企业已经进行防渗处理，并及时地将泄漏/渗漏的废水收集起来进行处理，可有效防止洒落地面的废水与潜在污染物渗入地下。</w:t>
            </w:r>
          </w:p>
          <w:p>
            <w:pPr>
              <w:pStyle w:val="16"/>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bCs/>
                <w:color w:val="auto"/>
                <w:sz w:val="24"/>
                <w:szCs w:val="24"/>
                <w:lang w:val="en-US" w:eastAsia="zh-CN" w:bidi="ar"/>
              </w:rPr>
            </w:pPr>
            <w:r>
              <w:rPr>
                <w:rFonts w:hint="eastAsia" w:ascii="Times New Roman" w:hAnsi="Times New Roman" w:cs="Times New Roman"/>
                <w:b/>
                <w:bCs/>
                <w:color w:val="auto"/>
                <w:sz w:val="24"/>
                <w:szCs w:val="24"/>
                <w:lang w:val="en-US" w:eastAsia="zh-CN" w:bidi="ar"/>
              </w:rPr>
              <w:t>H、粉尘爆炸</w:t>
            </w:r>
            <w:r>
              <w:rPr>
                <w:rFonts w:hint="eastAsia" w:ascii="Times New Roman" w:hAnsi="Times New Roman" w:cs="Times New Roman"/>
                <w:b/>
                <w:bCs/>
                <w:color w:val="auto"/>
                <w:szCs w:val="24"/>
                <w:lang w:bidi="ar"/>
              </w:rPr>
              <w:t>环境风险防范措施</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szCs w:val="24"/>
                <w:lang w:bidi="ar"/>
              </w:rPr>
            </w:pPr>
            <w:r>
              <w:rPr>
                <w:rFonts w:hint="eastAsia" w:ascii="Times New Roman" w:hAnsi="Times New Roman" w:cs="Times New Roman"/>
                <w:b w:val="0"/>
                <w:bCs w:val="0"/>
                <w:color w:val="auto"/>
                <w:sz w:val="24"/>
                <w:szCs w:val="24"/>
                <w:lang w:val="en-US" w:eastAsia="zh-CN" w:bidi="ar"/>
              </w:rPr>
              <w:t>车间粉尘浓度过高，与空气</w:t>
            </w:r>
            <w:r>
              <w:rPr>
                <w:rFonts w:hint="eastAsia" w:ascii="Times New Roman" w:hAnsi="Times New Roman" w:cs="Times New Roman"/>
                <w:b w:val="0"/>
                <w:bCs w:val="0"/>
                <w:color w:val="auto"/>
                <w:szCs w:val="24"/>
                <w:lang w:bidi="ar"/>
              </w:rPr>
              <w:t>混合形成的粉尘云，在点火源作用下，引发的化学反应。</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Cs w:val="24"/>
                <w:lang w:bidi="ar"/>
              </w:rPr>
            </w:pPr>
            <w:r>
              <w:rPr>
                <w:rFonts w:hint="eastAsia" w:ascii="Times New Roman" w:hAnsi="Times New Roman" w:cs="Times New Roman"/>
                <w:b w:val="0"/>
                <w:bCs w:val="0"/>
                <w:color w:val="auto"/>
                <w:szCs w:val="24"/>
                <w:lang w:val="en-US" w:eastAsia="zh-CN" w:bidi="ar"/>
              </w:rPr>
              <w:t>防治措施：1、</w:t>
            </w:r>
            <w:r>
              <w:rPr>
                <w:rFonts w:hint="eastAsia" w:ascii="Times New Roman" w:hAnsi="Times New Roman" w:cs="Times New Roman"/>
                <w:color w:val="auto"/>
                <w:szCs w:val="24"/>
                <w:lang w:bidi="ar"/>
              </w:rPr>
              <w:t>控制粉尘产生：采用自动化、密闭化的生产工艺，减少人工操作带来的粉尘产生</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在粉尘产生点喷洒水雾，抑制粉尘飞扬</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定期对设备进行维护保养，防止设备故障导致粉尘泄漏。</w:t>
            </w:r>
            <w:r>
              <w:rPr>
                <w:rFonts w:hint="eastAsia" w:ascii="Times New Roman" w:hAnsi="Times New Roman" w:cs="Times New Roman"/>
                <w:color w:val="auto"/>
                <w:szCs w:val="24"/>
                <w:lang w:val="en-US" w:eastAsia="zh-CN" w:bidi="ar"/>
              </w:rPr>
              <w:t>2、</w:t>
            </w:r>
            <w:r>
              <w:rPr>
                <w:rFonts w:hint="eastAsia" w:ascii="Times New Roman" w:hAnsi="Times New Roman" w:cs="Times New Roman"/>
                <w:color w:val="auto"/>
                <w:szCs w:val="24"/>
                <w:lang w:bidi="ar"/>
              </w:rPr>
              <w:t>加强通风除尘</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在粉尘产生点设置局部排风罩，及时将粉尘抽走</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将车间内的粉尘集中收集处理，降低车间内的粉尘浓度。</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定期对车间内的设备表面、角落、通风死角等进行清理，防止粉尘积聚。</w:t>
            </w:r>
            <w:r>
              <w:rPr>
                <w:rFonts w:hint="eastAsia" w:ascii="Times New Roman" w:hAnsi="Times New Roman" w:cs="Times New Roman"/>
                <w:color w:val="auto"/>
                <w:szCs w:val="24"/>
                <w:lang w:val="en-US" w:eastAsia="zh-CN" w:bidi="ar"/>
              </w:rPr>
              <w:t>3、</w:t>
            </w:r>
            <w:r>
              <w:rPr>
                <w:rFonts w:hint="eastAsia" w:ascii="Times New Roman" w:hAnsi="Times New Roman" w:cs="Times New Roman"/>
                <w:color w:val="auto"/>
                <w:szCs w:val="24"/>
                <w:lang w:bidi="ar"/>
              </w:rPr>
              <w:t>消除点火源：在粉尘爆炸危险区域禁止明火作业，确需动火的，应办理动火审批手续，并采取有效的防火措施</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 xml:space="preserve"> 在粉尘爆炸危险区域使用防爆电气设备，防止电气火花引发爆炸</w:t>
            </w:r>
            <w:r>
              <w:rPr>
                <w:rFonts w:hint="eastAsia" w:ascii="Times New Roman" w:hAnsi="Times New Roman" w:cs="Times New Roman"/>
                <w:color w:val="auto"/>
                <w:szCs w:val="24"/>
                <w:lang w:eastAsia="zh-CN" w:bidi="ar"/>
              </w:rPr>
              <w:t>；</w:t>
            </w:r>
            <w:r>
              <w:rPr>
                <w:rFonts w:hint="eastAsia" w:ascii="Times New Roman" w:hAnsi="Times New Roman" w:cs="Times New Roman"/>
                <w:color w:val="auto"/>
                <w:szCs w:val="24"/>
                <w:lang w:bidi="ar"/>
              </w:rPr>
              <w:t>对设备、管道等进行接地处理，防止静电积聚。</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Cs w:val="24"/>
                <w:lang w:val="en-US" w:eastAsia="zh-CN" w:bidi="ar"/>
              </w:rPr>
            </w:pPr>
            <w:r>
              <w:rPr>
                <w:rFonts w:hint="eastAsia" w:ascii="Times New Roman" w:hAnsi="Times New Roman" w:cs="Times New Roman"/>
                <w:color w:val="auto"/>
                <w:szCs w:val="24"/>
                <w:lang w:val="en-US" w:eastAsia="zh-CN" w:bidi="ar"/>
              </w:rPr>
              <w:t>应急措施：1、制定应急预案：明确应急组织架构、职责分工、处置程序和应急物资储备等内容；定期组织员工进行应急演练，提高员工的应急处置能力。2、配备应急物资：在车间内配备足够的应急物资，例如灭火器、消防栓、消防沙、防护服、防毒面具等；定期检查应急物资，确保其完好有效。3、事故应急处置：</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Cs w:val="24"/>
                <w:lang w:val="en-US" w:eastAsia="zh-CN" w:bidi="ar"/>
              </w:rPr>
            </w:pPr>
            <w:r>
              <w:rPr>
                <w:rFonts w:hint="eastAsia" w:ascii="Times New Roman" w:hAnsi="Times New Roman" w:cs="Times New Roman"/>
                <w:color w:val="auto"/>
                <w:szCs w:val="24"/>
                <w:lang w:val="en-US" w:eastAsia="zh-CN" w:bidi="ar"/>
              </w:rPr>
              <w:t>立即报警：发生粉尘爆炸事故，立即拨打火警电话报警，并通知企业负责人和安全管理人员。</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Cs w:val="24"/>
                <w:lang w:val="en-US" w:eastAsia="zh-CN" w:bidi="ar"/>
              </w:rPr>
            </w:pPr>
            <w:r>
              <w:rPr>
                <w:rFonts w:hint="eastAsia" w:ascii="Times New Roman" w:hAnsi="Times New Roman" w:cs="Times New Roman"/>
                <w:color w:val="auto"/>
                <w:szCs w:val="24"/>
                <w:lang w:val="en-US" w:eastAsia="zh-CN" w:bidi="ar"/>
              </w:rPr>
              <w:t>切断电源：迅速切断车间电源，防止二次事故。</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Cs w:val="24"/>
                <w:lang w:val="en-US" w:eastAsia="zh-CN" w:bidi="ar"/>
              </w:rPr>
            </w:pPr>
            <w:r>
              <w:rPr>
                <w:rFonts w:hint="eastAsia" w:ascii="Times New Roman" w:hAnsi="Times New Roman" w:cs="Times New Roman"/>
                <w:color w:val="auto"/>
                <w:szCs w:val="24"/>
                <w:lang w:val="en-US" w:eastAsia="zh-CN" w:bidi="ar"/>
              </w:rPr>
              <w:t>组织灭火：使用干粉灭火器、二氧化碳灭火器等扑灭火灾，防止火势蔓延。</w:t>
            </w:r>
          </w:p>
          <w:p>
            <w:pPr>
              <w:pStyle w:val="1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Cs w:val="24"/>
                <w:lang w:val="en-US" w:eastAsia="zh-CN" w:bidi="ar"/>
              </w:rPr>
            </w:pPr>
            <w:r>
              <w:rPr>
                <w:rFonts w:hint="eastAsia" w:ascii="Times New Roman" w:hAnsi="Times New Roman" w:cs="Times New Roman"/>
                <w:color w:val="auto"/>
                <w:szCs w:val="24"/>
                <w:lang w:val="en-US" w:eastAsia="zh-CN" w:bidi="ar"/>
              </w:rPr>
              <w:t>疏散人员：组织车间内人员迅速撤离到安全区域，并清点人数。</w:t>
            </w:r>
          </w:p>
          <w:p>
            <w:pPr>
              <w:pStyle w:val="16"/>
              <w:widowControl w:val="0"/>
              <w:spacing w:before="0" w:beforeAutospacing="0" w:after="0" w:afterAutospacing="0" w:line="360" w:lineRule="auto"/>
              <w:ind w:firstLine="480" w:firstLineChars="200"/>
              <w:jc w:val="both"/>
              <w:rPr>
                <w:rFonts w:hint="eastAsia" w:ascii="Times New Roman" w:hAnsi="Times New Roman"/>
                <w:b/>
                <w:bCs/>
                <w:color w:val="auto"/>
                <w:kern w:val="2"/>
                <w:szCs w:val="24"/>
                <w:lang w:bidi="ar"/>
              </w:rPr>
            </w:pPr>
            <w:r>
              <w:rPr>
                <w:rFonts w:hint="eastAsia" w:ascii="Times New Roman" w:hAnsi="Times New Roman" w:cs="Times New Roman"/>
                <w:color w:val="auto"/>
                <w:szCs w:val="24"/>
                <w:lang w:val="en-US" w:eastAsia="zh-CN" w:bidi="ar"/>
              </w:rPr>
              <w:t>保护现场：保护好事故现场，等待相关部门调查处理。</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val="en-US" w:eastAsia="zh-CN" w:bidi="ar"/>
              </w:rPr>
              <w:t>I</w:t>
            </w:r>
            <w:r>
              <w:rPr>
                <w:rFonts w:hint="eastAsia" w:ascii="Times New Roman" w:hAnsi="Times New Roman"/>
                <w:b/>
                <w:bCs/>
                <w:color w:val="auto"/>
                <w:kern w:val="2"/>
                <w:szCs w:val="24"/>
                <w:lang w:bidi="ar"/>
              </w:rPr>
              <w:t>、危险废物环境管理风险防范措施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根据公司实际情况，本评价提出如下风险防范措施：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①</w:t>
            </w:r>
            <w:r>
              <w:rPr>
                <w:rFonts w:hint="eastAsia" w:ascii="Times New Roman" w:hAnsi="Times New Roman"/>
                <w:color w:val="auto"/>
                <w:kern w:val="2"/>
                <w:szCs w:val="24"/>
                <w:lang w:bidi="ar"/>
              </w:rPr>
              <w:t>加强管理工作，设专人负责危险废物的安全贮存、厂区内运输以及使用，按照其物化性质、危险特性等特征采取相应的安全贮存方式。</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②</w:t>
            </w:r>
            <w:r>
              <w:rPr>
                <w:rFonts w:hint="eastAsia" w:ascii="Times New Roman" w:hAnsi="Times New Roman"/>
                <w:color w:val="auto"/>
                <w:kern w:val="2"/>
                <w:szCs w:val="24"/>
                <w:lang w:bidi="ar"/>
              </w:rPr>
              <w:t>针对危险废物的贮存、输运制定安全条例。</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③</w:t>
            </w:r>
            <w:r>
              <w:rPr>
                <w:rFonts w:hint="eastAsia" w:ascii="Times New Roman" w:hAnsi="Times New Roman"/>
                <w:color w:val="auto"/>
                <w:kern w:val="2"/>
                <w:szCs w:val="24"/>
                <w:lang w:bidi="ar"/>
              </w:rPr>
              <w:t>制定严格的操作规程，操作人员进行必要的培训后方可进行使用。</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④</w:t>
            </w:r>
            <w:r>
              <w:rPr>
                <w:rFonts w:hint="eastAsia" w:ascii="Times New Roman" w:hAnsi="Times New Roman"/>
                <w:color w:val="auto"/>
                <w:kern w:val="2"/>
                <w:szCs w:val="24"/>
                <w:lang w:bidi="ar"/>
              </w:rPr>
              <w:t>制定突发环境事故应急预案，一旦发生事故后能够及时采取有效措施进行科学处置，将事故破坏降至最低限度，同时考虑各种处置方案的科学合理性以及有效性。</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val="en-US" w:eastAsia="zh-CN" w:bidi="ar"/>
              </w:rPr>
              <w:t>J</w:t>
            </w:r>
            <w:r>
              <w:rPr>
                <w:rFonts w:hint="eastAsia" w:ascii="Times New Roman" w:hAnsi="Times New Roman"/>
                <w:b/>
                <w:bCs/>
                <w:color w:val="auto"/>
                <w:kern w:val="2"/>
                <w:szCs w:val="24"/>
                <w:lang w:bidi="ar"/>
              </w:rPr>
              <w:t>、环境风险监控措施</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公司目前对环境风险源的监控主要采用人工监控与自动监控相结合的方式，公司安排专职人员进行24小时值班，并在厂区内部安装 24 小时自动监控系统。</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①</w:t>
            </w:r>
            <w:r>
              <w:rPr>
                <w:rFonts w:hint="eastAsia" w:ascii="Times New Roman" w:hAnsi="Times New Roman"/>
                <w:color w:val="auto"/>
                <w:kern w:val="2"/>
                <w:szCs w:val="24"/>
                <w:lang w:bidi="ar"/>
              </w:rPr>
              <w:t>火灾报警系统：本公司厂房设有火灾手动报警按钮，人员巡查时发现泄漏引起火灾后，立即击碎附近报警按钮玻璃，其报警信号立即传送到消防泵房，消防泵立即自动启动，确保消防管网水源、压力用于紧急灭火。</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②</w:t>
            </w:r>
            <w:r>
              <w:rPr>
                <w:rFonts w:hint="eastAsia" w:ascii="Times New Roman" w:hAnsi="Times New Roman"/>
                <w:color w:val="auto"/>
                <w:kern w:val="2"/>
                <w:szCs w:val="24"/>
                <w:lang w:bidi="ar"/>
              </w:rPr>
              <w:t>消防灭火系统：在厂房、仓库配备灭火器材、消防器材，并定期检查，确保各器材正常使用。公司消防员专门建立消防台账，定期组织人员对重点区域进行消防检查。</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③</w:t>
            </w:r>
            <w:r>
              <w:rPr>
                <w:rFonts w:hint="eastAsia" w:ascii="Times New Roman" w:hAnsi="Times New Roman"/>
                <w:color w:val="auto"/>
                <w:kern w:val="2"/>
                <w:szCs w:val="24"/>
                <w:lang w:bidi="ar"/>
              </w:rPr>
              <w:t>视频监控系统：本公司在仓库、车间设置了视频监控系统，可在控制室进行实时监视。警卫室视频显示器可对整个厂区重点部位进行24小时监视。</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④</w:t>
            </w:r>
            <w:r>
              <w:rPr>
                <w:rFonts w:hint="eastAsia" w:ascii="Times New Roman" w:hAnsi="Times New Roman"/>
                <w:color w:val="auto"/>
                <w:kern w:val="2"/>
                <w:szCs w:val="24"/>
                <w:lang w:bidi="ar"/>
              </w:rPr>
              <w:t>雨水排口设置闸控，一旦发生事故时，紧急关闭雨污排口闸控。</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⑤</w:t>
            </w:r>
            <w:r>
              <w:rPr>
                <w:rFonts w:hint="eastAsia" w:ascii="Times New Roman" w:hAnsi="Times New Roman"/>
                <w:color w:val="auto"/>
                <w:kern w:val="2"/>
                <w:szCs w:val="24"/>
                <w:lang w:bidi="ar"/>
              </w:rPr>
              <w:t>厂区需设有应急池，一旦物料泄漏，冲洗废水或消防废水打入事故池，污水收集池失效导致事故废水泄漏，打入废水收集池。</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公司安环部对各环境风险源进行定期检查或不定期的抽查。</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制定切实可行的突发环境事件应急预案；定期开展环境安全教育。</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val="en-US" w:eastAsia="zh-CN" w:bidi="ar"/>
              </w:rPr>
              <w:t>K</w:t>
            </w:r>
            <w:r>
              <w:rPr>
                <w:rFonts w:hint="eastAsia" w:ascii="Times New Roman" w:hAnsi="Times New Roman"/>
                <w:b/>
                <w:bCs/>
                <w:color w:val="auto"/>
                <w:kern w:val="2"/>
                <w:szCs w:val="24"/>
                <w:lang w:bidi="ar"/>
              </w:rPr>
              <w:t>、应急联动衔接体系</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根据《关于做好生态环境和应急管理部门联动工作的意见》（苏环办[2020]101号）, 《关于进一步加强环保设备设施安全生产工作的通知》（安委办明电 (2022) 17 号）等文件，企业建立车间、厂区、</w:t>
            </w:r>
            <w:r>
              <w:rPr>
                <w:rFonts w:hint="eastAsia" w:ascii="Times New Roman" w:hAnsi="Times New Roman"/>
                <w:color w:val="auto"/>
                <w:kern w:val="2"/>
                <w:szCs w:val="24"/>
                <w:lang w:eastAsia="zh-CN" w:bidi="ar"/>
              </w:rPr>
              <w:t>下原镇</w:t>
            </w:r>
            <w:r>
              <w:rPr>
                <w:rFonts w:hint="eastAsia" w:ascii="Times New Roman" w:hAnsi="Times New Roman"/>
                <w:color w:val="auto"/>
                <w:kern w:val="2"/>
                <w:szCs w:val="24"/>
                <w:lang w:bidi="ar"/>
              </w:rPr>
              <w:t>三级响应的风险防范体系。</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①</w:t>
            </w:r>
            <w:r>
              <w:rPr>
                <w:rFonts w:hint="eastAsia" w:ascii="Times New Roman" w:hAnsi="Times New Roman"/>
                <w:color w:val="auto"/>
                <w:kern w:val="2"/>
                <w:szCs w:val="24"/>
                <w:lang w:bidi="ar"/>
              </w:rPr>
              <w:t>车间级突发环境事件是指厂区内生产装置或车间范围内发生的对周边环境造成的危害较小的一般事件。事故发生后，主要由车间或现场操作人员进行应急处置，必要时可请求公司各应急救援小组协助。</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②</w:t>
            </w:r>
            <w:r>
              <w:rPr>
                <w:rFonts w:hint="eastAsia" w:ascii="Times New Roman" w:hAnsi="Times New Roman"/>
                <w:color w:val="auto"/>
                <w:kern w:val="2"/>
                <w:szCs w:val="24"/>
                <w:lang w:bidi="ar"/>
              </w:rPr>
              <w:t>厂区级环境突发事件是指对企业生产和人员安全造成较大危害和威胁，造成或者可能造成人员伤亡、财产损失和环境破坏，事故控制及其对生产、社会、环境产生的影响依靠车间内自身力量不能控制，需要厂部或相关方面救援力量进行协助处置的事件。</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当发生厂区级突发环境事件时，原则上由企业内部组织应急救援力量处置，应急指挥部视事故态势变化请求当地政府及上一级主管部门，由其调动应急、安全、生态环境、消防、公安和医疗等相关力量进行支援。</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③</w:t>
            </w:r>
            <w:r>
              <w:rPr>
                <w:rFonts w:hint="eastAsia" w:ascii="Times New Roman" w:hAnsi="Times New Roman"/>
                <w:color w:val="auto"/>
                <w:kern w:val="2"/>
                <w:szCs w:val="24"/>
                <w:lang w:bidi="ar"/>
              </w:rPr>
              <w:t>社会级突发环境事件是指对企业的生产和人员安全造成重大危害和威胁，严重影响到周围环境和人员安全，造成或可能造成人员伤亡、财产损失和环境破坏，需要动用外部应急救援力量和资源进行应急处置的突发事件。当发生社会级突发环境事件时，企业内部应急力量予以先期处置，并由应急指挥部第一时间向当地政府及上一级主管部门对突发事件进行上报，报告内容包括突发环境事件的发生时间、地点、信息来源、事件起因和性质、基本过程、主要污染物和数量、监测数据、人员受害情况、饮用水水源地等环境敏感点受影响情况、事件发展趋势、处置情况、拟采取的措施等，并请求当地政府及上一级主管部门，由其调动环保、应急、安全、消防、公安和医疗等相关力量进行支援，企业应协助相关部门进行事故应急处置工作。</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④</w:t>
            </w:r>
            <w:r>
              <w:rPr>
                <w:rFonts w:hint="eastAsia" w:ascii="Times New Roman" w:hAnsi="Times New Roman"/>
                <w:color w:val="auto"/>
                <w:kern w:val="2"/>
                <w:szCs w:val="24"/>
                <w:lang w:bidi="ar"/>
              </w:rPr>
              <w:t>目前</w:t>
            </w:r>
            <w:r>
              <w:rPr>
                <w:rFonts w:hint="eastAsia" w:ascii="Times New Roman" w:hAnsi="Times New Roman"/>
                <w:color w:val="auto"/>
                <w:kern w:val="2"/>
                <w:szCs w:val="24"/>
                <w:lang w:eastAsia="zh-CN" w:bidi="ar"/>
              </w:rPr>
              <w:t>下原镇</w:t>
            </w:r>
            <w:r>
              <w:rPr>
                <w:rFonts w:hint="eastAsia" w:ascii="Times New Roman" w:hAnsi="Times New Roman"/>
                <w:color w:val="auto"/>
                <w:kern w:val="2"/>
                <w:szCs w:val="24"/>
                <w:lang w:bidi="ar"/>
              </w:rPr>
              <w:t>逐步建立入区企业事故类型、应急物资数据库，一旦区内某一家企业发生风险事故，可立即调配其余企业的同类型救援物资进行救援，构筑“一家有难，集体联动”的防范体系。</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⑤</w:t>
            </w:r>
            <w:r>
              <w:rPr>
                <w:rFonts w:hint="eastAsia" w:ascii="Times New Roman" w:hAnsi="Times New Roman"/>
                <w:color w:val="auto"/>
                <w:kern w:val="2"/>
                <w:szCs w:val="24"/>
                <w:lang w:bidi="ar"/>
              </w:rPr>
              <w:t>为了更好的进行环境风险管理，</w:t>
            </w:r>
            <w:r>
              <w:rPr>
                <w:rFonts w:hint="eastAsia" w:ascii="Times New Roman" w:hAnsi="Times New Roman"/>
                <w:color w:val="auto"/>
                <w:kern w:val="2"/>
                <w:szCs w:val="24"/>
                <w:lang w:eastAsia="zh-CN" w:bidi="ar"/>
              </w:rPr>
              <w:t>下原镇</w:t>
            </w:r>
            <w:r>
              <w:rPr>
                <w:rFonts w:hint="eastAsia" w:ascii="Times New Roman" w:hAnsi="Times New Roman"/>
                <w:color w:val="auto"/>
                <w:kern w:val="2"/>
                <w:szCs w:val="24"/>
                <w:lang w:bidi="ar"/>
              </w:rPr>
              <w:t>构建与南通市如皋生态环境局、如皋应急管理局对接的应急体系，协调本区域和地方力量，共同应对风险。建立应急资源动态管理信息库，应急资源不仅包括应急物资等，还包括信息沟通系统、应急专家等。建设完善的信息沟通网络，确保事故信息能及时反映到管理中心。</w:t>
            </w:r>
          </w:p>
          <w:p>
            <w:pPr>
              <w:pStyle w:val="16"/>
              <w:widowControl w:val="0"/>
              <w:spacing w:before="0" w:beforeAutospacing="0" w:after="0" w:afterAutospacing="0" w:line="360" w:lineRule="auto"/>
              <w:ind w:firstLine="482" w:firstLineChars="200"/>
              <w:jc w:val="both"/>
              <w:rPr>
                <w:rFonts w:hint="eastAsia" w:ascii="Times New Roman" w:hAnsi="Times New Roman" w:eastAsia="宋体"/>
                <w:b/>
                <w:bCs/>
                <w:color w:val="auto"/>
                <w:kern w:val="2"/>
                <w:szCs w:val="24"/>
                <w:lang w:eastAsia="zh-CN" w:bidi="ar"/>
              </w:rPr>
            </w:pPr>
            <w:r>
              <w:rPr>
                <w:rFonts w:hint="eastAsia" w:ascii="Times New Roman" w:hAnsi="Times New Roman"/>
                <w:b/>
                <w:bCs/>
                <w:color w:val="auto"/>
                <w:kern w:val="2"/>
                <w:szCs w:val="24"/>
                <w:lang w:eastAsia="zh-CN" w:bidi="ar"/>
              </w:rPr>
              <w:t>（</w:t>
            </w:r>
            <w:r>
              <w:rPr>
                <w:rFonts w:hint="eastAsia" w:ascii="Times New Roman" w:hAnsi="Times New Roman"/>
                <w:b/>
                <w:bCs/>
                <w:color w:val="auto"/>
                <w:kern w:val="2"/>
                <w:szCs w:val="24"/>
                <w:lang w:val="en-US" w:eastAsia="zh-CN" w:bidi="ar"/>
              </w:rPr>
              <w:t>6</w:t>
            </w:r>
            <w:r>
              <w:rPr>
                <w:rFonts w:hint="eastAsia" w:ascii="Times New Roman" w:hAnsi="Times New Roman"/>
                <w:b/>
                <w:bCs/>
                <w:color w:val="auto"/>
                <w:kern w:val="2"/>
                <w:szCs w:val="24"/>
                <w:lang w:eastAsia="zh-CN" w:bidi="ar"/>
              </w:rPr>
              <w:t>）安全风险辨识</w:t>
            </w:r>
          </w:p>
          <w:p>
            <w:pPr>
              <w:pStyle w:val="16"/>
              <w:widowControl w:val="0"/>
              <w:spacing w:before="0" w:beforeAutospacing="0" w:after="0" w:afterAutospacing="0" w:line="360" w:lineRule="auto"/>
              <w:ind w:firstLine="480" w:firstLineChars="200"/>
              <w:jc w:val="both"/>
              <w:rPr>
                <w:rFonts w:hint="eastAsia" w:ascii="Times New Roman" w:hAnsi="Times New Roman"/>
                <w:b/>
                <w:bCs/>
                <w:color w:val="auto"/>
                <w:kern w:val="2"/>
                <w:szCs w:val="24"/>
                <w:lang w:bidi="ar"/>
              </w:rPr>
            </w:pPr>
            <w:r>
              <w:rPr>
                <w:rFonts w:hint="eastAsia" w:ascii="Times New Roman" w:hAnsi="Times New Roman" w:eastAsia="宋体"/>
                <w:sz w:val="24"/>
                <w:szCs w:val="24"/>
              </w:rPr>
              <w:t>根据《关于做好生态环境和应急管理部门联动工作的意见》（苏环办【</w:t>
            </w:r>
            <w:r>
              <w:rPr>
                <w:rFonts w:hint="eastAsia" w:ascii="Times New Roman" w:hAnsi="Times New Roman" w:eastAsia="TimesNewRomanPSMT"/>
                <w:sz w:val="24"/>
                <w:szCs w:val="24"/>
              </w:rPr>
              <w:t>2020</w:t>
            </w:r>
            <w:r>
              <w:rPr>
                <w:rFonts w:hint="eastAsia" w:ascii="Times New Roman" w:hAnsi="Times New Roman" w:eastAsia="宋体"/>
                <w:sz w:val="24"/>
                <w:szCs w:val="24"/>
              </w:rPr>
              <w:t>】</w:t>
            </w:r>
            <w:r>
              <w:rPr>
                <w:rFonts w:hint="eastAsia" w:ascii="Times New Roman" w:hAnsi="Times New Roman" w:eastAsia="TimesNewRomanPSMT"/>
                <w:sz w:val="24"/>
                <w:szCs w:val="24"/>
              </w:rPr>
              <w:t>101</w:t>
            </w:r>
            <w:r>
              <w:rPr>
                <w:rFonts w:hint="eastAsia" w:ascii="Times New Roman" w:hAnsi="Times New Roman" w:eastAsia="宋体"/>
                <w:sz w:val="24"/>
                <w:szCs w:val="24"/>
              </w:rPr>
              <w:t>号），《省生态环境厅关于做好安全生产专项整治工作实施方案》（苏环办【</w:t>
            </w:r>
            <w:r>
              <w:rPr>
                <w:rFonts w:hint="eastAsia" w:ascii="Times New Roman" w:hAnsi="Times New Roman" w:eastAsia="TimesNewRomanPSMT"/>
                <w:sz w:val="24"/>
                <w:szCs w:val="24"/>
              </w:rPr>
              <w:t>2020</w:t>
            </w:r>
            <w:r>
              <w:rPr>
                <w:rFonts w:hint="eastAsia" w:ascii="Times New Roman" w:hAnsi="Times New Roman" w:eastAsia="宋体"/>
                <w:sz w:val="24"/>
                <w:szCs w:val="24"/>
              </w:rPr>
              <w:t>】</w:t>
            </w:r>
            <w:r>
              <w:rPr>
                <w:rFonts w:hint="eastAsia" w:ascii="Times New Roman" w:hAnsi="Times New Roman" w:eastAsia="TimesNewRomanPSMT"/>
                <w:sz w:val="24"/>
                <w:szCs w:val="24"/>
              </w:rPr>
              <w:t xml:space="preserve">16 </w:t>
            </w:r>
            <w:r>
              <w:rPr>
                <w:rFonts w:hint="eastAsia" w:ascii="Times New Roman" w:hAnsi="Times New Roman" w:eastAsia="宋体"/>
                <w:sz w:val="24"/>
                <w:szCs w:val="24"/>
              </w:rPr>
              <w:t>号），本项目生产使用排放涉及产生挥发性有机废气、</w:t>
            </w:r>
            <w:r>
              <w:rPr>
                <w:rFonts w:hint="eastAsia" w:ascii="Times New Roman" w:hAnsi="Times New Roman" w:eastAsia="宋体"/>
                <w:sz w:val="24"/>
                <w:szCs w:val="24"/>
                <w:lang w:val="en-US" w:eastAsia="zh-CN"/>
              </w:rPr>
              <w:t>粉尘</w:t>
            </w:r>
            <w:r>
              <w:rPr>
                <w:rFonts w:hint="eastAsia" w:ascii="Times New Roman" w:hAnsi="Times New Roman"/>
                <w:sz w:val="24"/>
                <w:szCs w:val="24"/>
                <w:lang w:val="en-US" w:eastAsia="zh-CN"/>
              </w:rPr>
              <w:t>废气</w:t>
            </w:r>
            <w:r>
              <w:rPr>
                <w:rFonts w:hint="eastAsia" w:ascii="Times New Roman" w:hAnsi="Times New Roman" w:eastAsia="宋体"/>
                <w:sz w:val="24"/>
                <w:szCs w:val="24"/>
              </w:rPr>
              <w:t>。企业要切实履行好挥发性有机废气处理，粉尘治理，危险废物产生、收集、贮存、运输、利用、处置等环节各项环保和安全职责；要制定危险废物管理计划并报属地生态环境部门备案。企业要对挥发性有机废气处理</w:t>
            </w:r>
            <w:r>
              <w:rPr>
                <w:rFonts w:hint="eastAsia" w:ascii="Times New Roman" w:hAnsi="Times New Roman"/>
                <w:sz w:val="24"/>
                <w:szCs w:val="24"/>
                <w:lang w:val="en-US" w:eastAsia="zh-CN"/>
              </w:rPr>
              <w:t>设施</w:t>
            </w:r>
            <w:r>
              <w:rPr>
                <w:rFonts w:hint="eastAsia" w:ascii="Times New Roman" w:hAnsi="Times New Roman" w:eastAsia="宋体"/>
                <w:sz w:val="24"/>
                <w:szCs w:val="24"/>
              </w:rPr>
              <w:t>，粉尘治理设施开展安全风险辨识，企业通过明确职责分工，健全内部环境治理设施稳定运行和管理责任制度，确保其安全、稳定、有效运行。本环评要求企业按该文件要求在运营过程中切实履行好自身主体责任，配合相关部门积极有效开展环境保护和应急管理工作。</w:t>
            </w:r>
          </w:p>
          <w:p>
            <w:pPr>
              <w:pStyle w:val="16"/>
              <w:widowControl w:val="0"/>
              <w:spacing w:before="0" w:beforeAutospacing="0" w:after="0" w:afterAutospacing="0" w:line="360" w:lineRule="auto"/>
              <w:ind w:firstLine="482" w:firstLineChars="200"/>
              <w:jc w:val="both"/>
              <w:rPr>
                <w:rFonts w:ascii="Times New Roman" w:hAnsi="Times New Roman"/>
                <w:color w:val="auto"/>
                <w:kern w:val="2"/>
                <w:szCs w:val="24"/>
                <w:lang w:bidi="ar"/>
              </w:rPr>
            </w:pPr>
            <w:r>
              <w:rPr>
                <w:rFonts w:hint="eastAsia" w:ascii="Times New Roman" w:hAnsi="Times New Roman"/>
                <w:b/>
                <w:bCs/>
                <w:color w:val="auto"/>
                <w:kern w:val="2"/>
                <w:szCs w:val="24"/>
                <w:lang w:bidi="ar"/>
              </w:rPr>
              <w:t>（</w:t>
            </w:r>
            <w:r>
              <w:rPr>
                <w:rFonts w:hint="eastAsia" w:ascii="Times New Roman" w:hAnsi="Times New Roman"/>
                <w:b/>
                <w:bCs/>
                <w:color w:val="auto"/>
                <w:kern w:val="2"/>
                <w:szCs w:val="24"/>
                <w:lang w:val="en-US" w:eastAsia="zh-CN" w:bidi="ar"/>
              </w:rPr>
              <w:t>7</w:t>
            </w:r>
            <w:r>
              <w:rPr>
                <w:rFonts w:hint="eastAsia" w:ascii="Times New Roman" w:hAnsi="Times New Roman"/>
                <w:b/>
                <w:bCs/>
                <w:color w:val="auto"/>
                <w:kern w:val="2"/>
                <w:szCs w:val="24"/>
                <w:lang w:bidi="ar"/>
              </w:rPr>
              <w:t>）环境应急管理制度</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A、应急预案编制、修订和备案要求</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企业需按照《突发事件应急预案管理办法》（国办发[2024]5 号）、《江苏省突发环境事件应急预案管理办法》（苏环发[2023]7号）等要求，本次</w:t>
            </w:r>
            <w:r>
              <w:rPr>
                <w:rFonts w:hint="eastAsia" w:ascii="Times New Roman" w:hAnsi="Times New Roman"/>
                <w:color w:val="auto"/>
                <w:kern w:val="2"/>
                <w:szCs w:val="24"/>
                <w:lang w:val="en-US" w:eastAsia="zh-CN" w:bidi="ar"/>
              </w:rPr>
              <w:t>项目</w:t>
            </w:r>
            <w:r>
              <w:rPr>
                <w:rFonts w:hint="eastAsia" w:ascii="Times New Roman" w:hAnsi="Times New Roman"/>
                <w:color w:val="auto"/>
                <w:kern w:val="2"/>
                <w:szCs w:val="24"/>
                <w:lang w:bidi="ar"/>
              </w:rPr>
              <w:t>建成后，制定环境应急预案，并报区域生态环境局备案。</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对照《省生态环境厅关于印发江苏省环境影响评价文件环境应急相关内容编制要点的通知》（苏环办〔2022〕338号文）要求，本企业环境应急管理制度内容应包括以下内容：</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①突发环境事件应急预案的编制、修订和备案要求；</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②明确事故状态下的特征污染因子和应急监测能力；</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③参照相关规范明确环境应急物资装备配备要求；</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④建立突发环境事件隐患排查治理制度要求，明确隐患排查内容、方式和频次；</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⑤明确环境应急培训和演练内容、方式、频次和台账记录要求；</w:t>
            </w:r>
          </w:p>
          <w:p>
            <w:pPr>
              <w:pStyle w:val="16"/>
              <w:widowControl w:val="0"/>
              <w:spacing w:before="0" w:beforeAutospacing="0" w:after="0" w:afterAutospacing="0" w:line="360" w:lineRule="auto"/>
              <w:ind w:firstLine="480" w:firstLineChars="200"/>
              <w:jc w:val="both"/>
              <w:rPr>
                <w:rFonts w:hint="eastAsia" w:ascii="Times New Roman" w:hAnsi="Times New Roman"/>
                <w:color w:val="auto"/>
                <w:kern w:val="2"/>
                <w:szCs w:val="24"/>
                <w:lang w:bidi="ar"/>
              </w:rPr>
            </w:pPr>
            <w:r>
              <w:rPr>
                <w:rFonts w:hint="eastAsia" w:ascii="Times New Roman" w:hAnsi="Times New Roman"/>
                <w:color w:val="auto"/>
                <w:kern w:val="2"/>
                <w:szCs w:val="24"/>
                <w:lang w:bidi="ar"/>
              </w:rPr>
              <w:t>⑥提出设置环境风险防范设施及环境应急处置卡标识标牌等相关要求。</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突发环境事故应急预案包括了应急综合预案、专项预案和现场处置预案、应急预案编制说明、环境风险评估报告、环境应急资源调查报告等组成。应急综合预案是针对环境风险种类较多、可能发生多种类型突发事件制定的应急预案，包括应急组织机构及职责、预案体系及响应程序、事件预防及应急保障、应急培训及预案演练等内容。专项现场处置应急预案（水污染专项、大气污染专项等）是针对危险性较大的重点场所的应急预案，包括危险性分析、可能发生的事件特征、应急处置程序、应急处置要点和注意事项等内容。应急综合预案是总体性应急预案，现场处置预案是针对某一场所的具体预案，应急综合预案和现场处置预案之间相互协调、互为补充完善。</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B、应急监测</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企业发生突发环境事件时，企业不具备应急监测能力，委托有资质单位进行监测。</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①</w:t>
            </w:r>
            <w:r>
              <w:rPr>
                <w:rFonts w:hint="eastAsia" w:ascii="Times New Roman" w:hAnsi="Times New Roman"/>
                <w:color w:val="auto"/>
                <w:kern w:val="2"/>
                <w:szCs w:val="24"/>
                <w:lang w:bidi="ar"/>
              </w:rPr>
              <w:t>水环境污染事故应急监测</w:t>
            </w:r>
          </w:p>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表4-</w:t>
            </w:r>
            <w:r>
              <w:rPr>
                <w:rFonts w:hint="eastAsia" w:ascii="Times New Roman" w:hAnsi="Times New Roman"/>
                <w:b/>
                <w:bCs/>
                <w:color w:val="auto"/>
                <w:kern w:val="2"/>
                <w:sz w:val="21"/>
                <w:szCs w:val="21"/>
                <w:lang w:val="en-US" w:eastAsia="zh-CN" w:bidi="ar"/>
              </w:rPr>
              <w:t>41</w:t>
            </w:r>
            <w:r>
              <w:rPr>
                <w:rFonts w:hint="eastAsia" w:ascii="Times New Roman" w:hAnsi="Times New Roman"/>
                <w:b/>
                <w:bCs/>
                <w:color w:val="auto"/>
                <w:kern w:val="2"/>
                <w:sz w:val="21"/>
                <w:szCs w:val="21"/>
                <w:lang w:bidi="ar"/>
              </w:rPr>
              <w:t>水环境污染事故监测方案</w:t>
            </w:r>
          </w:p>
          <w:tbl>
            <w:tblPr>
              <w:tblStyle w:val="22"/>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774"/>
              <w:gridCol w:w="3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6"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监测断面</w:t>
                  </w:r>
                </w:p>
              </w:tc>
              <w:tc>
                <w:tcPr>
                  <w:tcW w:w="1676"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监测项目</w:t>
                  </w:r>
                </w:p>
              </w:tc>
              <w:tc>
                <w:tcPr>
                  <w:tcW w:w="2057"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事故类型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厂区雨水排口处</w:t>
                  </w:r>
                </w:p>
              </w:tc>
              <w:tc>
                <w:tcPr>
                  <w:tcW w:w="167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pH、COD、SS、氨氮、石油类</w:t>
                  </w:r>
                </w:p>
              </w:tc>
              <w:tc>
                <w:tcPr>
                  <w:tcW w:w="205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生产火灾、爆炸事故、化学品泄漏等产生的消防废水泄漏</w:t>
                  </w:r>
                </w:p>
              </w:tc>
            </w:tr>
          </w:tbl>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②</w:t>
            </w:r>
            <w:r>
              <w:rPr>
                <w:rFonts w:hint="eastAsia" w:ascii="Times New Roman" w:hAnsi="Times New Roman"/>
                <w:color w:val="auto"/>
                <w:kern w:val="2"/>
                <w:szCs w:val="24"/>
                <w:lang w:bidi="ar"/>
              </w:rPr>
              <w:t>大气环境污染事故</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发生液体泄漏引发的气体泄漏事故性排放时，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在距事故发生地最近的居民住宅区或其他敏感区域应布点采样，且采样过程中应注意风向的变化，及时调整采样点位置。</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对于火灾以及爆炸事故，首先应当确定事故中可能产生的衍生污染物，再根据该污染物的性质特征，按照以上的采样点布置原则进行布点。</w:t>
            </w:r>
          </w:p>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b/>
                <w:bCs/>
                <w:color w:val="auto"/>
                <w:kern w:val="2"/>
                <w:sz w:val="21"/>
                <w:szCs w:val="21"/>
                <w:lang w:bidi="ar"/>
              </w:rPr>
              <w:t>表4-</w:t>
            </w:r>
            <w:r>
              <w:rPr>
                <w:rFonts w:hint="eastAsia" w:ascii="Times New Roman" w:hAnsi="Times New Roman"/>
                <w:b/>
                <w:bCs/>
                <w:color w:val="auto"/>
                <w:kern w:val="2"/>
                <w:sz w:val="21"/>
                <w:szCs w:val="21"/>
                <w:lang w:val="en-US" w:eastAsia="zh-CN" w:bidi="ar"/>
              </w:rPr>
              <w:t>42</w:t>
            </w:r>
            <w:r>
              <w:rPr>
                <w:rFonts w:hint="eastAsia" w:ascii="Times New Roman" w:hAnsi="Times New Roman"/>
                <w:b/>
                <w:bCs/>
                <w:color w:val="auto"/>
                <w:kern w:val="2"/>
                <w:sz w:val="21"/>
                <w:szCs w:val="21"/>
                <w:lang w:bidi="ar"/>
              </w:rPr>
              <w:t>大气环境污染事故监测方案</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655"/>
              <w:gridCol w:w="1655"/>
              <w:gridCol w:w="1655"/>
              <w:gridCol w:w="1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事故等级</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监测点位</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监测频次</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监测因子</w:t>
                  </w:r>
                </w:p>
              </w:tc>
              <w:tc>
                <w:tcPr>
                  <w:tcW w:w="1000"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追踪监测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三级事故</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废气排放口、事故发生地、污染物浓度的最大处</w:t>
                  </w:r>
                </w:p>
              </w:tc>
              <w:tc>
                <w:tcPr>
                  <w:tcW w:w="999" w:type="pct"/>
                  <w:vMerge w:val="restar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连续监测 2 天、每2 小时采样一次</w:t>
                  </w:r>
                </w:p>
              </w:tc>
              <w:tc>
                <w:tcPr>
                  <w:tcW w:w="999" w:type="pct"/>
                  <w:vMerge w:val="restart"/>
                  <w:tcBorders>
                    <w:tl2br w:val="nil"/>
                    <w:tr2bl w:val="nil"/>
                  </w:tcBorders>
                  <w:vAlign w:val="center"/>
                </w:tcPr>
                <w:p>
                  <w:pPr>
                    <w:pStyle w:val="16"/>
                    <w:widowControl w:val="0"/>
                    <w:spacing w:before="0" w:beforeAutospacing="0" w:after="0" w:afterAutospacing="0"/>
                    <w:jc w:val="center"/>
                    <w:rPr>
                      <w:rFonts w:hint="default" w:ascii="Times New Roman" w:hAnsi="Times New Roman" w:eastAsia="宋体"/>
                      <w:color w:val="auto"/>
                      <w:kern w:val="2"/>
                      <w:sz w:val="21"/>
                      <w:szCs w:val="21"/>
                      <w:lang w:val="en-US" w:eastAsia="zh-CN" w:bidi="ar"/>
                    </w:rPr>
                  </w:pPr>
                  <w:r>
                    <w:rPr>
                      <w:rFonts w:hint="eastAsia" w:ascii="Times New Roman" w:hAnsi="Times New Roman"/>
                      <w:color w:val="auto"/>
                      <w:kern w:val="2"/>
                      <w:sz w:val="21"/>
                      <w:szCs w:val="21"/>
                      <w:lang w:bidi="ar"/>
                    </w:rPr>
                    <w:t>CO、非甲烷总烃</w:t>
                  </w:r>
                  <w:r>
                    <w:rPr>
                      <w:rFonts w:hint="eastAsia" w:ascii="Times New Roman" w:hAnsi="Times New Roman"/>
                      <w:color w:val="auto"/>
                      <w:kern w:val="2"/>
                      <w:sz w:val="21"/>
                      <w:szCs w:val="21"/>
                      <w:lang w:eastAsia="zh-CN" w:bidi="ar"/>
                    </w:rPr>
                    <w:t>、</w:t>
                  </w:r>
                  <w:r>
                    <w:rPr>
                      <w:rFonts w:hint="eastAsia" w:ascii="Times New Roman" w:hAnsi="Times New Roman"/>
                      <w:color w:val="auto"/>
                      <w:kern w:val="2"/>
                      <w:sz w:val="21"/>
                      <w:szCs w:val="21"/>
                      <w:lang w:val="en-US" w:eastAsia="zh-CN" w:bidi="ar"/>
                    </w:rPr>
                    <w:t>二甲苯</w:t>
                  </w:r>
                </w:p>
              </w:tc>
              <w:tc>
                <w:tcPr>
                  <w:tcW w:w="1000" w:type="pct"/>
                  <w:vMerge w:val="restar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连续监测 2 次浓度低于环境空气质量标准值或已接近可忽略水平为止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二级事故</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事故发生地最近的居民居住区或其他敏感区</w:t>
                  </w:r>
                </w:p>
              </w:tc>
              <w:tc>
                <w:tcPr>
                  <w:tcW w:w="999"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999"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000"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一级事故</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事故发生地的下风向</w:t>
                  </w:r>
                </w:p>
              </w:tc>
              <w:tc>
                <w:tcPr>
                  <w:tcW w:w="999"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999"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000"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连续监测 2~3 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事故结束后</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废气排放口、事故发生地上风向的对照点</w:t>
                  </w:r>
                </w:p>
              </w:tc>
              <w:tc>
                <w:tcPr>
                  <w:tcW w:w="999"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 次/应急期间</w:t>
                  </w:r>
                </w:p>
              </w:tc>
              <w:tc>
                <w:tcPr>
                  <w:tcW w:w="999"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000"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w:t>
                  </w:r>
                </w:p>
              </w:tc>
            </w:tr>
          </w:tbl>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③</w:t>
            </w:r>
            <w:r>
              <w:rPr>
                <w:rFonts w:hint="eastAsia" w:ascii="Times New Roman" w:hAnsi="Times New Roman"/>
                <w:color w:val="auto"/>
                <w:kern w:val="2"/>
                <w:szCs w:val="24"/>
                <w:lang w:bidi="ar"/>
              </w:rPr>
              <w:t>应急物资装备和人员要求</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应急物资装备：本项目建成后，按照规范设置应急物资，主要物资如下：</w:t>
            </w:r>
          </w:p>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b/>
                <w:bCs/>
                <w:color w:val="auto"/>
                <w:kern w:val="2"/>
                <w:sz w:val="21"/>
                <w:szCs w:val="21"/>
                <w:lang w:bidi="ar"/>
              </w:rPr>
              <w:t>表4-</w:t>
            </w:r>
            <w:r>
              <w:rPr>
                <w:rFonts w:hint="eastAsia" w:ascii="Times New Roman" w:hAnsi="Times New Roman"/>
                <w:b/>
                <w:bCs/>
                <w:color w:val="auto"/>
                <w:kern w:val="2"/>
                <w:sz w:val="21"/>
                <w:szCs w:val="21"/>
                <w:lang w:val="en-US" w:eastAsia="zh-CN" w:bidi="ar"/>
              </w:rPr>
              <w:t>43</w:t>
            </w:r>
            <w:r>
              <w:rPr>
                <w:rFonts w:hint="eastAsia" w:ascii="Times New Roman" w:hAnsi="Times New Roman"/>
                <w:b/>
                <w:bCs/>
                <w:color w:val="auto"/>
                <w:kern w:val="2"/>
                <w:sz w:val="21"/>
                <w:szCs w:val="21"/>
                <w:lang w:bidi="ar"/>
              </w:rPr>
              <w:t>本项目应急物资一览表</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2761"/>
              <w:gridCol w:w="2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3" w:type="pct"/>
                  <w:gridSpan w:val="2"/>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应急物资名称</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数量（个/套）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restar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个人防护装备器材</w:t>
                  </w: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正压式呼吸器</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防毒面具</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安全帽、安全带</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警戒绳、安全绳</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restar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堵漏、收集器材/设备</w:t>
                  </w: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消防沙</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25kg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消防铲</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活性炭</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restar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应急监测/在线监控设备</w:t>
                  </w: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摄像头</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可燃气体泄漏报警器</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restar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常用应急物资</w:t>
                  </w: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防毒口罩</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急救箱</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应急照明</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水泵</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65" w:type="pct"/>
                  <w:vMerge w:val="continue"/>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p>
              </w:tc>
              <w:tc>
                <w:tcPr>
                  <w:tcW w:w="1667"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应急电缆</w:t>
                  </w:r>
                </w:p>
              </w:tc>
              <w:tc>
                <w:tcPr>
                  <w:tcW w:w="1666"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1套</w:t>
                  </w:r>
                </w:p>
              </w:tc>
            </w:tr>
          </w:tbl>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w:t>
            </w:r>
            <w:r>
              <w:rPr>
                <w:rFonts w:hint="eastAsia" w:ascii="Times New Roman" w:hAnsi="Times New Roman"/>
                <w:color w:val="auto"/>
                <w:kern w:val="2"/>
                <w:szCs w:val="24"/>
                <w:lang w:val="en-US" w:eastAsia="zh-CN" w:bidi="ar"/>
              </w:rPr>
              <w:t>后</w:t>
            </w:r>
            <w:r>
              <w:rPr>
                <w:rFonts w:hint="eastAsia" w:ascii="Times New Roman" w:hAnsi="Times New Roman"/>
                <w:color w:val="auto"/>
                <w:kern w:val="2"/>
                <w:szCs w:val="24"/>
                <w:lang w:bidi="ar"/>
              </w:rPr>
              <w:t>针对培训内容进行考试，考试成绩纳入年终考核。</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w:t>
            </w:r>
            <w:r>
              <w:rPr>
                <w:rFonts w:hint="eastAsia" w:ascii="Times New Roman" w:hAnsi="Times New Roman"/>
                <w:b/>
                <w:bCs/>
                <w:color w:val="auto"/>
                <w:kern w:val="2"/>
                <w:szCs w:val="24"/>
                <w:lang w:val="en-US" w:eastAsia="zh-CN" w:bidi="ar"/>
              </w:rPr>
              <w:t>8</w:t>
            </w:r>
            <w:r>
              <w:rPr>
                <w:rFonts w:hint="eastAsia" w:ascii="Times New Roman" w:hAnsi="Times New Roman"/>
                <w:b/>
                <w:bCs/>
                <w:color w:val="auto"/>
                <w:kern w:val="2"/>
                <w:szCs w:val="24"/>
                <w:lang w:bidi="ar"/>
              </w:rPr>
              <w:t>）隐患排查制度</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A、建立突发环境事件隐患排查制度</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企业需按照《企业突发环境事件隐患排查与治理工作指南（试行）》开展隐患排查，企业在下一步过程中细化隐患排查。</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隐患排查内容：从环境应急管理和突发环境事件风险防控措施（大气环境、水环境）两大方面排查可能直接导致或次生突发环境事件的隐患。</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隐患排查方式和频次：综合排查是指企业以厂区为单位开展全面排查，一年应不少于一次。</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日常排查是指以班组、工段、车间为单位，组织的对单个或几个项目采取日常的、巡视性的排查工作，其频次根据具体排查项目确定。一月应不少于一次。专项排查是在特定时间或对特定区域、设备、措施进行的专门性排查。其频次根据实际需要确定。企业可根据自身管理流程，采取抽查方式排查隐患。</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B、加强宣传培训和演练</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建设单位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由安全环保部门每季度组织一次环境保护科普宣传教育工作，由应急管理部门或机构每半年进行一次环保应急处置等相关培训，每年定期组织全厂员工进行关于化学品泄漏进行封堵处置，故障废气治理设施的快速关停维修保障，防止废水外排至厂区外的封堵处置、厂区人员应急疏散与急救等各种类型的环境风险事故针对性的应急演练。</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C、建立档案</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w:t>
            </w:r>
            <w:r>
              <w:rPr>
                <w:rFonts w:hint="eastAsia" w:ascii="Times New Roman" w:hAnsi="Times New Roman"/>
                <w:b/>
                <w:bCs/>
                <w:color w:val="auto"/>
                <w:kern w:val="2"/>
                <w:szCs w:val="24"/>
                <w:lang w:val="en-US" w:eastAsia="zh-CN" w:bidi="ar"/>
              </w:rPr>
              <w:t>9</w:t>
            </w:r>
            <w:r>
              <w:rPr>
                <w:rFonts w:hint="eastAsia" w:ascii="Times New Roman" w:hAnsi="Times New Roman"/>
                <w:b/>
                <w:bCs/>
                <w:color w:val="auto"/>
                <w:kern w:val="2"/>
                <w:szCs w:val="24"/>
                <w:lang w:bidi="ar"/>
              </w:rPr>
              <w:t>）应急培训、演练和台账记录要求</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①</w:t>
            </w:r>
            <w:r>
              <w:rPr>
                <w:rFonts w:hint="eastAsia" w:ascii="Times New Roman" w:hAnsi="Times New Roman"/>
                <w:color w:val="auto"/>
                <w:kern w:val="2"/>
                <w:szCs w:val="24"/>
                <w:lang w:bidi="ar"/>
              </w:rPr>
              <w:t>应急培训</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公司应组织对员工应急预案的培训与宣传教育，培训应形成详细台账记录，记录培训时间、地点、内容、参加人员、考试评估等情况。公司至少每年组织一次应急救援方面的培训考核。</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a.应急响应人员的培训</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b .员工应急响应的培训</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c .周边人员应急响应知识的宣传</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s="宋体"/>
                <w:color w:val="auto"/>
                <w:kern w:val="2"/>
                <w:szCs w:val="24"/>
                <w:lang w:bidi="ar"/>
              </w:rPr>
              <w:t>②</w:t>
            </w:r>
            <w:r>
              <w:rPr>
                <w:rFonts w:hint="eastAsia" w:ascii="Times New Roman" w:hAnsi="Times New Roman"/>
                <w:color w:val="auto"/>
                <w:kern w:val="2"/>
                <w:szCs w:val="24"/>
                <w:lang w:bidi="ar"/>
              </w:rPr>
              <w:t>应急演练</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a.演练方式</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桌面演练、单项演练、综合演练。</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b.演练内容</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物料泄漏及火灾应急处置；通信及报警信号联络；急救及医疗；现场洗消处理；防护指导，包括专业人员的个人防护和普通员工的自我防护；各种标志、警戒范围的设置及人员控制；厂内交通控制及管理；模拟事件现场的疏散撤离及人员清查；向上级报告情况及向友邻单位通报情况。</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c.演练范围与频次</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公司综合演练、桌面演练每年组织一次；单项演练根据实际情况组织开展，每年不少于一次。</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应急演练评估和总结：应急救援指挥部根据评估报告，组织参演部门对演练进行总结，提出修改预案的建议，并写出书面报告。报告作为预案修订的重要依据之一。</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演练记录、评估报告、书面总结应当与预案一并存档保存。</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w:t>
            </w:r>
            <w:r>
              <w:rPr>
                <w:rFonts w:hint="eastAsia" w:ascii="Times New Roman" w:hAnsi="Times New Roman"/>
                <w:b/>
                <w:bCs/>
                <w:color w:val="auto"/>
                <w:kern w:val="2"/>
                <w:szCs w:val="24"/>
                <w:lang w:val="en-US" w:eastAsia="zh-CN" w:bidi="ar"/>
              </w:rPr>
              <w:t>10</w:t>
            </w:r>
            <w:r>
              <w:rPr>
                <w:rFonts w:hint="eastAsia" w:ascii="Times New Roman" w:hAnsi="Times New Roman"/>
                <w:b/>
                <w:bCs/>
                <w:color w:val="auto"/>
                <w:kern w:val="2"/>
                <w:szCs w:val="24"/>
                <w:lang w:bidi="ar"/>
              </w:rPr>
              <w:t>）环境风险标志标牌设置</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企业应对厂区相关环境风险防范设施设置并完善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（11）风险管理制度</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针对本项目特点，提出以下几点环境风险管理要求：</w:t>
            </w:r>
          </w:p>
          <w:p>
            <w:pPr>
              <w:pStyle w:val="16"/>
              <w:widowControl w:val="0"/>
              <w:numPr>
                <w:ilvl w:val="0"/>
                <w:numId w:val="6"/>
              </w:numPr>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严格按照防火规范进行平面布置，远离火种、热源。不宜大量储存或久存。禁止在仓库使用易产生火花的机械设备和工具。储区应备有泄漏应急处理设备和合适的收容材料。</w:t>
            </w:r>
          </w:p>
          <w:p>
            <w:pPr>
              <w:pStyle w:val="16"/>
              <w:widowControl w:val="0"/>
              <w:numPr>
                <w:ilvl w:val="0"/>
                <w:numId w:val="6"/>
              </w:numPr>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定期检查、维护仓库储存区设施、设备，以确保正常运行。</w:t>
            </w:r>
          </w:p>
          <w:p>
            <w:pPr>
              <w:pStyle w:val="16"/>
              <w:widowControl w:val="0"/>
              <w:numPr>
                <w:ilvl w:val="0"/>
                <w:numId w:val="6"/>
              </w:numPr>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安装火灾设备检测仪表、消防自控设施。</w:t>
            </w:r>
          </w:p>
          <w:p>
            <w:pPr>
              <w:pStyle w:val="16"/>
              <w:widowControl w:val="0"/>
              <w:numPr>
                <w:ilvl w:val="0"/>
                <w:numId w:val="6"/>
              </w:numPr>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在项目正式投产运行前，制定出正常、异常或紧急状态下的操作和维修计划，并对操作和维修人员进行岗前培训，避免因严重操作失误而造成人为事故。</w:t>
            </w:r>
          </w:p>
          <w:p>
            <w:pPr>
              <w:pStyle w:val="16"/>
              <w:widowControl w:val="0"/>
              <w:numPr>
                <w:ilvl w:val="0"/>
                <w:numId w:val="6"/>
              </w:numPr>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设置明显的警示标志，并建立严格的值班保卫制度，防止人为蓄意破坏；制定应急操作规程，详细说明发生事故时应采取的操作步骤，规定抢修进度，限制事故影响。</w:t>
            </w:r>
          </w:p>
          <w:p>
            <w:pPr>
              <w:pStyle w:val="16"/>
              <w:widowControl w:val="0"/>
              <w:numPr>
                <w:ilvl w:val="0"/>
                <w:numId w:val="6"/>
              </w:numPr>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对重要的仪器设备有完善的检查和维护记录；对操作人员定期进行防火安全教育或应急演习，增强职工的安全意识，提高识别异常状态的能力。</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（7）加强员工的事故安全知识教育，要求全体人员了解事故处理的程序，事故处理器材的使用方法，一旦出现事故可以立即停产，控制事故的危害范围和程度。</w:t>
            </w:r>
          </w:p>
          <w:p>
            <w:pPr>
              <w:pStyle w:val="16"/>
              <w:widowControl w:val="0"/>
              <w:spacing w:before="0" w:beforeAutospacing="0" w:after="0" w:afterAutospacing="0" w:line="360" w:lineRule="auto"/>
              <w:ind w:firstLine="482" w:firstLineChars="200"/>
              <w:jc w:val="both"/>
              <w:rPr>
                <w:rFonts w:ascii="Times New Roman" w:hAnsi="Times New Roman"/>
                <w:b/>
                <w:bCs/>
                <w:color w:val="auto"/>
                <w:kern w:val="2"/>
                <w:szCs w:val="24"/>
                <w:lang w:bidi="ar"/>
              </w:rPr>
            </w:pPr>
            <w:r>
              <w:rPr>
                <w:rFonts w:hint="eastAsia" w:ascii="Times New Roman" w:hAnsi="Times New Roman"/>
                <w:b/>
                <w:bCs/>
                <w:color w:val="auto"/>
                <w:kern w:val="2"/>
                <w:szCs w:val="24"/>
                <w:lang w:bidi="ar"/>
              </w:rPr>
              <w:t>（12）竣工验收</w:t>
            </w:r>
          </w:p>
          <w:p>
            <w:pPr>
              <w:pStyle w:val="16"/>
              <w:widowControl w:val="0"/>
              <w:spacing w:before="0" w:beforeAutospacing="0" w:after="0" w:afterAutospacing="0" w:line="360" w:lineRule="auto"/>
              <w:ind w:firstLine="480" w:firstLineChars="200"/>
              <w:jc w:val="both"/>
              <w:rPr>
                <w:rFonts w:ascii="Times New Roman" w:hAnsi="Times New Roman"/>
                <w:color w:val="auto"/>
                <w:kern w:val="2"/>
                <w:szCs w:val="24"/>
                <w:lang w:bidi="ar"/>
              </w:rPr>
            </w:pPr>
            <w:r>
              <w:rPr>
                <w:rFonts w:hint="eastAsia" w:ascii="Times New Roman" w:hAnsi="Times New Roman"/>
                <w:color w:val="auto"/>
                <w:kern w:val="2"/>
                <w:szCs w:val="24"/>
                <w:lang w:bidi="ar"/>
              </w:rPr>
              <w:t>风险防治措施竣工验收及“三同时”一览表见表4-</w:t>
            </w:r>
            <w:r>
              <w:rPr>
                <w:rFonts w:hint="eastAsia" w:ascii="Times New Roman" w:hAnsi="Times New Roman"/>
                <w:color w:val="auto"/>
                <w:kern w:val="2"/>
                <w:szCs w:val="24"/>
                <w:lang w:val="en-US" w:eastAsia="zh-CN" w:bidi="ar"/>
              </w:rPr>
              <w:t>44</w:t>
            </w:r>
            <w:r>
              <w:rPr>
                <w:rFonts w:hint="eastAsia" w:ascii="Times New Roman" w:hAnsi="Times New Roman"/>
                <w:color w:val="auto"/>
                <w:kern w:val="2"/>
                <w:szCs w:val="24"/>
                <w:lang w:bidi="ar"/>
              </w:rPr>
              <w:t>。</w:t>
            </w:r>
          </w:p>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表4-</w:t>
            </w:r>
            <w:r>
              <w:rPr>
                <w:rFonts w:hint="eastAsia" w:ascii="Times New Roman" w:hAnsi="Times New Roman"/>
                <w:b/>
                <w:bCs/>
                <w:color w:val="auto"/>
                <w:kern w:val="2"/>
                <w:sz w:val="21"/>
                <w:szCs w:val="21"/>
                <w:lang w:val="en-US" w:eastAsia="zh-CN" w:bidi="ar"/>
              </w:rPr>
              <w:t>44</w:t>
            </w:r>
            <w:r>
              <w:rPr>
                <w:rFonts w:hint="eastAsia" w:ascii="Times New Roman" w:hAnsi="Times New Roman"/>
                <w:b/>
                <w:bCs/>
                <w:color w:val="auto"/>
                <w:kern w:val="2"/>
                <w:sz w:val="21"/>
                <w:szCs w:val="21"/>
                <w:lang w:bidi="ar"/>
              </w:rPr>
              <w:t xml:space="preserve"> 本项目“三同时”竣工验收一览表</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5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5"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类别</w:t>
                  </w:r>
                </w:p>
              </w:tc>
              <w:tc>
                <w:tcPr>
                  <w:tcW w:w="3504" w:type="pct"/>
                  <w:tcBorders>
                    <w:tl2br w:val="nil"/>
                    <w:tr2bl w:val="nil"/>
                  </w:tcBorders>
                  <w:vAlign w:val="center"/>
                </w:tcPr>
                <w:p>
                  <w:pPr>
                    <w:pStyle w:val="16"/>
                    <w:widowControl w:val="0"/>
                    <w:spacing w:before="0" w:beforeAutospacing="0" w:after="0" w:afterAutospacing="0"/>
                    <w:jc w:val="center"/>
                    <w:rPr>
                      <w:rFonts w:ascii="Times New Roman" w:hAnsi="Times New Roman"/>
                      <w:b/>
                      <w:bCs/>
                      <w:color w:val="auto"/>
                      <w:kern w:val="2"/>
                      <w:sz w:val="21"/>
                      <w:szCs w:val="21"/>
                      <w:lang w:bidi="ar"/>
                    </w:rPr>
                  </w:pPr>
                  <w:r>
                    <w:rPr>
                      <w:rFonts w:hint="eastAsia" w:ascii="Times New Roman" w:hAnsi="Times New Roman"/>
                      <w:b/>
                      <w:bCs/>
                      <w:color w:val="auto"/>
                      <w:kern w:val="2"/>
                      <w:sz w:val="21"/>
                      <w:szCs w:val="21"/>
                      <w:lang w:bidi="ar"/>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5"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事故应急措施</w:t>
                  </w:r>
                </w:p>
              </w:tc>
              <w:tc>
                <w:tcPr>
                  <w:tcW w:w="3504"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事故池</w:t>
                  </w:r>
                  <w:r>
                    <w:rPr>
                      <w:rFonts w:hint="eastAsia" w:ascii="Times New Roman" w:hAnsi="Times New Roman"/>
                      <w:color w:val="auto"/>
                      <w:kern w:val="2"/>
                      <w:sz w:val="21"/>
                      <w:szCs w:val="21"/>
                      <w:lang w:val="en-US" w:eastAsia="zh-CN" w:bidi="ar"/>
                    </w:rPr>
                    <w:t>180</w:t>
                  </w:r>
                  <w:r>
                    <w:rPr>
                      <w:rFonts w:hint="eastAsia" w:ascii="Times New Roman" w:hAnsi="Times New Roman"/>
                      <w:color w:val="auto"/>
                      <w:kern w:val="2"/>
                      <w:sz w:val="21"/>
                      <w:szCs w:val="21"/>
                      <w:lang w:bidi="ar"/>
                    </w:rPr>
                    <w:t>立方米，设置危险源警示标志、配备应急物资、编制事故应急预案，并演习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5"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环境管理（机构、监测能力等）</w:t>
                  </w:r>
                </w:p>
              </w:tc>
              <w:tc>
                <w:tcPr>
                  <w:tcW w:w="3504" w:type="pct"/>
                  <w:tcBorders>
                    <w:tl2br w:val="nil"/>
                    <w:tr2bl w:val="nil"/>
                  </w:tcBorders>
                  <w:vAlign w:val="center"/>
                </w:tcPr>
                <w:p>
                  <w:pPr>
                    <w:pStyle w:val="16"/>
                    <w:widowControl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厂区内需要设置专职环保人员1-2名，负责环境保护监督管理工作。本工程运营期的环境保护和防治污染设施由建设单位实施，环保监督部门为当地环保主管部门。</w:t>
                  </w:r>
                </w:p>
              </w:tc>
            </w:tr>
          </w:tbl>
          <w:p>
            <w:pPr>
              <w:pStyle w:val="16"/>
              <w:widowControl w:val="0"/>
              <w:spacing w:before="0" w:beforeAutospacing="0" w:after="0" w:afterAutospacing="0" w:line="360" w:lineRule="auto"/>
              <w:ind w:firstLine="482" w:firstLineChars="200"/>
              <w:jc w:val="both"/>
              <w:rPr>
                <w:rFonts w:ascii="Times New Roman" w:hAnsi="Times New Roman"/>
                <w:color w:val="auto"/>
                <w:kern w:val="2"/>
                <w:szCs w:val="24"/>
                <w:lang w:bidi="ar"/>
              </w:rPr>
            </w:pPr>
            <w:r>
              <w:rPr>
                <w:rFonts w:hint="eastAsia" w:ascii="Times New Roman" w:hAnsi="Times New Roman"/>
                <w:b/>
                <w:bCs/>
                <w:color w:val="auto"/>
                <w:kern w:val="2"/>
                <w:szCs w:val="24"/>
                <w:lang w:bidi="ar"/>
              </w:rPr>
              <w:t>（13）结论</w:t>
            </w:r>
          </w:p>
          <w:p>
            <w:pPr>
              <w:adjustRightInd w:val="0"/>
              <w:snapToGrid w:val="0"/>
              <w:spacing w:line="360" w:lineRule="auto"/>
              <w:ind w:firstLine="480"/>
              <w:rPr>
                <w:rFonts w:ascii="Times New Roman" w:hAnsi="Times New Roman"/>
                <w:color w:val="auto"/>
                <w:sz w:val="24"/>
              </w:rPr>
            </w:pPr>
            <w:r>
              <w:rPr>
                <w:rFonts w:hint="eastAsia" w:ascii="Times New Roman" w:hAnsi="Times New Roman"/>
                <w:color w:val="auto"/>
                <w:sz w:val="24"/>
                <w:lang w:bidi="ar"/>
              </w:rPr>
              <w:t>由于本项目具有潜在的火灾产生的二次污染及泄漏事故。通过对项目运营期可能发生的环境风险事故进行定性分析，通过采取安全防范措施、综合管理措施、设置事故池、制定风险应急措施等方法防范事故发生或降低事故的损害程度，从而将火灾等事故对环境的影响减少到最低和可接受范围，综上可知，本次项目在制定环境风险预案与应急措施，并与区域事故应急预案相衔接，落实上述所提出的各项环境风险防范对策措施后，本项目环境风险是可防控的。</w:t>
            </w:r>
          </w:p>
          <w:p>
            <w:pPr>
              <w:pStyle w:val="8"/>
              <w:spacing w:after="0" w:line="360" w:lineRule="auto"/>
              <w:ind w:left="0" w:leftChars="0" w:firstLine="482" w:firstLineChars="200"/>
              <w:rPr>
                <w:rFonts w:ascii="Times New Roman" w:hAnsi="Times New Roman"/>
                <w:b/>
                <w:color w:val="auto"/>
                <w:szCs w:val="24"/>
              </w:rPr>
            </w:pPr>
            <w:r>
              <w:rPr>
                <w:rFonts w:hint="eastAsia" w:ascii="Times New Roman" w:hAnsi="Times New Roman"/>
                <w:b/>
                <w:color w:val="auto"/>
                <w:szCs w:val="24"/>
              </w:rPr>
              <w:t>（九）、电磁辐射</w:t>
            </w:r>
          </w:p>
          <w:p>
            <w:pPr>
              <w:pStyle w:val="8"/>
              <w:spacing w:after="0" w:line="360" w:lineRule="auto"/>
              <w:ind w:left="0" w:leftChars="0" w:firstLine="480" w:firstLineChars="200"/>
              <w:rPr>
                <w:rFonts w:ascii="Times New Roman" w:hAnsi="Times New Roman"/>
                <w:bCs/>
                <w:color w:val="auto"/>
                <w:szCs w:val="24"/>
              </w:rPr>
            </w:pPr>
            <w:r>
              <w:rPr>
                <w:rFonts w:hint="eastAsia" w:ascii="Times New Roman" w:hAnsi="Times New Roman"/>
                <w:bCs/>
                <w:color w:val="auto"/>
                <w:szCs w:val="24"/>
              </w:rPr>
              <w:t>本项目不涉及。</w:t>
            </w:r>
          </w:p>
          <w:p>
            <w:pPr>
              <w:pStyle w:val="8"/>
              <w:spacing w:after="0" w:line="360" w:lineRule="auto"/>
              <w:ind w:left="0" w:leftChars="0" w:firstLine="482" w:firstLineChars="200"/>
              <w:rPr>
                <w:rFonts w:ascii="Times New Roman" w:hAnsi="Times New Roman"/>
                <w:b/>
                <w:color w:val="auto"/>
                <w:szCs w:val="24"/>
              </w:rPr>
            </w:pPr>
            <w:r>
              <w:rPr>
                <w:rFonts w:hint="eastAsia" w:ascii="Times New Roman" w:hAnsi="Times New Roman"/>
                <w:b/>
                <w:color w:val="auto"/>
                <w:szCs w:val="24"/>
              </w:rPr>
              <w:t>（十）、“三同时”验收内容</w:t>
            </w:r>
          </w:p>
          <w:p>
            <w:pPr>
              <w:pStyle w:val="8"/>
              <w:spacing w:after="0" w:line="360" w:lineRule="auto"/>
              <w:ind w:left="0" w:leftChars="0" w:firstLine="480" w:firstLineChars="200"/>
              <w:rPr>
                <w:rFonts w:ascii="Times New Roman" w:hAnsi="Times New Roman"/>
                <w:bCs/>
                <w:color w:val="auto"/>
                <w:szCs w:val="24"/>
              </w:rPr>
            </w:pPr>
            <w:r>
              <w:rPr>
                <w:rFonts w:hint="eastAsia" w:ascii="Times New Roman" w:hAnsi="Times New Roman"/>
                <w:bCs/>
                <w:color w:val="auto"/>
                <w:szCs w:val="24"/>
              </w:rPr>
              <w:t>根据《中华人民共和国环境保护法》规定，建设项目污染防治设施必须与主体工程同时设计、同时施工、同时投入运行，而污染防治设施建设“三同时”验收是严格控制污染源和污染物排放总量、遏制环境恶化趋势的有力措施。</w:t>
            </w:r>
          </w:p>
          <w:p>
            <w:pPr>
              <w:pStyle w:val="8"/>
              <w:spacing w:after="0" w:line="360" w:lineRule="auto"/>
              <w:ind w:left="0" w:leftChars="0" w:firstLine="480" w:firstLineChars="200"/>
              <w:rPr>
                <w:rFonts w:ascii="Times New Roman" w:hAnsi="Times New Roman"/>
                <w:b/>
                <w:bCs/>
                <w:color w:val="auto"/>
                <w:szCs w:val="24"/>
              </w:rPr>
            </w:pPr>
            <w:r>
              <w:rPr>
                <w:rFonts w:hint="eastAsia" w:ascii="Times New Roman" w:hAnsi="Times New Roman"/>
                <w:bCs/>
                <w:color w:val="auto"/>
                <w:szCs w:val="24"/>
              </w:rPr>
              <w:t>建设项目“三同时”验收一览表详见表4-</w:t>
            </w:r>
            <w:r>
              <w:rPr>
                <w:rFonts w:hint="eastAsia" w:ascii="Times New Roman" w:hAnsi="Times New Roman"/>
                <w:bCs/>
                <w:color w:val="auto"/>
                <w:szCs w:val="24"/>
                <w:lang w:val="en-US" w:eastAsia="zh-CN"/>
              </w:rPr>
              <w:t>4</w:t>
            </w:r>
            <w:r>
              <w:rPr>
                <w:rFonts w:hint="eastAsia"/>
                <w:bCs/>
                <w:color w:val="auto"/>
                <w:szCs w:val="24"/>
                <w:lang w:val="en-US" w:eastAsia="zh-CN"/>
              </w:rPr>
              <w:t>5</w:t>
            </w:r>
            <w:r>
              <w:rPr>
                <w:rFonts w:hint="eastAsia" w:ascii="Times New Roman" w:hAnsi="Times New Roman"/>
                <w:bCs/>
                <w:color w:val="auto"/>
                <w:szCs w:val="24"/>
              </w:rPr>
              <w:t>。</w:t>
            </w:r>
          </w:p>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表4-</w:t>
            </w:r>
            <w:r>
              <w:rPr>
                <w:rFonts w:hint="eastAsia" w:ascii="Times New Roman" w:hAnsi="Times New Roman"/>
                <w:b/>
                <w:bCs/>
                <w:color w:val="auto"/>
                <w:szCs w:val="21"/>
                <w:lang w:val="en-US" w:eastAsia="zh-CN"/>
              </w:rPr>
              <w:t>4</w:t>
            </w:r>
            <w:r>
              <w:rPr>
                <w:rFonts w:hint="eastAsia"/>
                <w:b/>
                <w:bCs/>
                <w:color w:val="auto"/>
                <w:szCs w:val="21"/>
                <w:lang w:val="en-US" w:eastAsia="zh-CN"/>
              </w:rPr>
              <w:t>5</w:t>
            </w:r>
            <w:r>
              <w:rPr>
                <w:rFonts w:hint="eastAsia" w:ascii="Times New Roman" w:hAnsi="Times New Roman"/>
                <w:b/>
                <w:bCs/>
                <w:color w:val="auto"/>
                <w:szCs w:val="21"/>
              </w:rPr>
              <w:t xml:space="preserve"> 污染治理投资和“三同时”验收一览表</w:t>
            </w:r>
          </w:p>
          <w:tbl>
            <w:tblPr>
              <w:tblStyle w:val="21"/>
              <w:tblW w:w="499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97"/>
              <w:gridCol w:w="793"/>
              <w:gridCol w:w="725"/>
              <w:gridCol w:w="972"/>
              <w:gridCol w:w="1461"/>
              <w:gridCol w:w="2227"/>
              <w:gridCol w:w="403"/>
              <w:gridCol w:w="639"/>
              <w:gridCol w:w="4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b/>
                      <w:bCs/>
                      <w:color w:val="auto"/>
                      <w:szCs w:val="21"/>
                    </w:rPr>
                    <w:t>项目名称</w:t>
                  </w:r>
                </w:p>
              </w:tc>
              <w:tc>
                <w:tcPr>
                  <w:tcW w:w="4580" w:type="pct"/>
                  <w:gridSpan w:val="8"/>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年产1200吨港口自动化机械配套件技改项目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类别</w:t>
                  </w:r>
                </w:p>
              </w:tc>
              <w:tc>
                <w:tcPr>
                  <w:tcW w:w="805"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污染源</w:t>
                  </w:r>
                </w:p>
              </w:tc>
              <w:tc>
                <w:tcPr>
                  <w:tcW w:w="646"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污染物</w:t>
                  </w:r>
                </w:p>
              </w:tc>
              <w:tc>
                <w:tcPr>
                  <w:tcW w:w="942"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治理措施（建设数量、规模、处理能力等）</w:t>
                  </w:r>
                </w:p>
              </w:tc>
              <w:tc>
                <w:tcPr>
                  <w:tcW w:w="1472"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处理效果、执行标准或拟达要求</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环保投资（万元）</w:t>
                  </w:r>
                </w:p>
              </w:tc>
              <w:tc>
                <w:tcPr>
                  <w:tcW w:w="269"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完成时间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大气污染物</w:t>
                  </w:r>
                </w:p>
              </w:tc>
              <w:tc>
                <w:tcPr>
                  <w:tcW w:w="415"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有组织排放</w:t>
                  </w:r>
                </w:p>
              </w:tc>
              <w:tc>
                <w:tcPr>
                  <w:tcW w:w="390"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DA001</w:t>
                  </w:r>
                </w:p>
              </w:tc>
              <w:tc>
                <w:tcPr>
                  <w:tcW w:w="646"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非甲烷总烃</w:t>
                  </w:r>
                </w:p>
              </w:tc>
              <w:tc>
                <w:tcPr>
                  <w:tcW w:w="942"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lang w:val="en-US" w:eastAsia="zh-CN"/>
                    </w:rPr>
                    <w:t>多级过滤器+</w:t>
                  </w:r>
                  <w:r>
                    <w:rPr>
                      <w:rFonts w:hint="eastAsia" w:ascii="Times New Roman" w:hAnsi="Times New Roman"/>
                      <w:color w:val="auto"/>
                      <w:szCs w:val="21"/>
                      <w:lang w:eastAsia="zh-CN"/>
                    </w:rPr>
                    <w:t>三级活性炭吸附装置</w:t>
                  </w:r>
                  <w:r>
                    <w:rPr>
                      <w:rFonts w:hint="eastAsia" w:ascii="Times New Roman" w:hAnsi="Times New Roman"/>
                      <w:color w:val="auto"/>
                      <w:szCs w:val="21"/>
                    </w:rPr>
                    <w:t>+15 m高排气筒</w:t>
                  </w:r>
                </w:p>
              </w:tc>
              <w:tc>
                <w:tcPr>
                  <w:tcW w:w="1472" w:type="pct"/>
                  <w:gridSpan w:val="2"/>
                  <w:vMerge w:val="restart"/>
                  <w:tcBorders>
                    <w:tl2br w:val="nil"/>
                    <w:tr2bl w:val="nil"/>
                  </w:tcBorders>
                  <w:tcMar>
                    <w:top w:w="11" w:type="dxa"/>
                    <w:left w:w="11" w:type="dxa"/>
                    <w:right w:w="11" w:type="dxa"/>
                  </w:tcMar>
                  <w:vAlign w:val="center"/>
                </w:tcPr>
                <w:p>
                  <w:pPr>
                    <w:adjustRightInd w:val="0"/>
                    <w:snapToGrid w:val="0"/>
                    <w:jc w:val="center"/>
                    <w:textAlignment w:val="baseline"/>
                    <w:rPr>
                      <w:rFonts w:ascii="Times New Roman" w:hAnsi="Times New Roman"/>
                      <w:color w:val="auto"/>
                      <w:szCs w:val="21"/>
                    </w:rPr>
                  </w:pPr>
                  <w:r>
                    <w:rPr>
                      <w:rFonts w:hint="default" w:ascii="Times New Roman" w:hAnsi="Times New Roman" w:eastAsia="宋体" w:cs="Times New Roman"/>
                      <w:color w:val="FF0000"/>
                      <w:sz w:val="21"/>
                      <w:szCs w:val="21"/>
                      <w:lang w:val="en-US" w:eastAsia="zh-CN"/>
                    </w:rPr>
                    <w:t>《工业涂装工序大气污染物排放标准》（DB32/4439-2022）</w:t>
                  </w:r>
                  <w:r>
                    <w:rPr>
                      <w:rFonts w:hint="eastAsia" w:ascii="Times New Roman" w:hAnsi="Times New Roman" w:cs="Times New Roman"/>
                      <w:color w:val="FF0000"/>
                      <w:sz w:val="21"/>
                      <w:szCs w:val="21"/>
                      <w:lang w:val="en-US" w:eastAsia="zh-CN"/>
                    </w:rPr>
                    <w:t>表1</w:t>
                  </w:r>
                </w:p>
              </w:tc>
              <w:tc>
                <w:tcPr>
                  <w:tcW w:w="444" w:type="pct"/>
                  <w:vMerge w:val="restar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w:t>
                  </w:r>
                </w:p>
              </w:tc>
              <w:tc>
                <w:tcPr>
                  <w:tcW w:w="269"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与主体工程同时设计、同时施工、同时投产运行</w:t>
                  </w:r>
                </w:p>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415"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rPr>
                  </w:pPr>
                </w:p>
              </w:tc>
              <w:tc>
                <w:tcPr>
                  <w:tcW w:w="390"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颗粒物</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lang w:val="en-US" w:eastAsia="zh-CN"/>
                    </w:rPr>
                  </w:pPr>
                </w:p>
              </w:tc>
              <w:tc>
                <w:tcPr>
                  <w:tcW w:w="1472" w:type="pct"/>
                  <w:gridSpan w:val="2"/>
                  <w:vMerge w:val="continue"/>
                  <w:tcBorders>
                    <w:tl2br w:val="nil"/>
                    <w:tr2bl w:val="nil"/>
                  </w:tcBorders>
                  <w:tcMar>
                    <w:top w:w="11" w:type="dxa"/>
                    <w:left w:w="11" w:type="dxa"/>
                    <w:right w:w="11" w:type="dxa"/>
                  </w:tcMar>
                  <w:vAlign w:val="center"/>
                </w:tcPr>
                <w:p>
                  <w:pPr>
                    <w:adjustRightInd w:val="0"/>
                    <w:snapToGrid w:val="0"/>
                    <w:jc w:val="center"/>
                    <w:textAlignment w:val="baseline"/>
                    <w:rPr>
                      <w:rFonts w:ascii="Times New Roman" w:hAnsi="Times New Roman"/>
                      <w:color w:val="auto"/>
                      <w:szCs w:val="21"/>
                    </w:rPr>
                  </w:pP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lang w:val="en-US" w:eastAsia="zh-CN"/>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415"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rPr>
                  </w:pPr>
                </w:p>
              </w:tc>
              <w:tc>
                <w:tcPr>
                  <w:tcW w:w="390"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苯系物</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lang w:val="en-US" w:eastAsia="zh-CN"/>
                    </w:rPr>
                  </w:pPr>
                </w:p>
              </w:tc>
              <w:tc>
                <w:tcPr>
                  <w:tcW w:w="1472" w:type="pct"/>
                  <w:gridSpan w:val="2"/>
                  <w:vMerge w:val="continue"/>
                  <w:tcBorders>
                    <w:tl2br w:val="nil"/>
                    <w:tr2bl w:val="nil"/>
                  </w:tcBorders>
                  <w:tcMar>
                    <w:top w:w="11" w:type="dxa"/>
                    <w:left w:w="11" w:type="dxa"/>
                    <w:right w:w="11" w:type="dxa"/>
                  </w:tcMar>
                  <w:vAlign w:val="center"/>
                </w:tcPr>
                <w:p>
                  <w:pPr>
                    <w:adjustRightInd w:val="0"/>
                    <w:snapToGrid w:val="0"/>
                    <w:jc w:val="center"/>
                    <w:textAlignment w:val="baseline"/>
                    <w:rPr>
                      <w:rFonts w:ascii="Times New Roman" w:hAnsi="Times New Roman"/>
                      <w:color w:val="auto"/>
                      <w:szCs w:val="21"/>
                    </w:rPr>
                  </w:pP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lang w:val="en-US" w:eastAsia="zh-CN"/>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415"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rPr>
                  </w:pPr>
                </w:p>
              </w:tc>
              <w:tc>
                <w:tcPr>
                  <w:tcW w:w="390"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二甲苯</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lang w:val="en-US" w:eastAsia="zh-CN"/>
                    </w:rPr>
                  </w:pPr>
                </w:p>
              </w:tc>
              <w:tc>
                <w:tcPr>
                  <w:tcW w:w="1472" w:type="pct"/>
                  <w:gridSpan w:val="2"/>
                  <w:vMerge w:val="continue"/>
                  <w:tcBorders>
                    <w:tl2br w:val="nil"/>
                    <w:tr2bl w:val="nil"/>
                  </w:tcBorders>
                  <w:tcMar>
                    <w:top w:w="11" w:type="dxa"/>
                    <w:left w:w="11" w:type="dxa"/>
                    <w:right w:w="11" w:type="dxa"/>
                  </w:tcMar>
                  <w:vAlign w:val="center"/>
                </w:tcPr>
                <w:p>
                  <w:pPr>
                    <w:adjustRightInd w:val="0"/>
                    <w:snapToGrid w:val="0"/>
                    <w:jc w:val="center"/>
                    <w:textAlignment w:val="baseline"/>
                    <w:rPr>
                      <w:rFonts w:ascii="Times New Roman" w:hAnsi="Times New Roman"/>
                      <w:color w:val="auto"/>
                      <w:szCs w:val="21"/>
                    </w:rPr>
                  </w:pP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color w:val="auto"/>
                      <w:szCs w:val="21"/>
                      <w:lang w:val="en-US" w:eastAsia="zh-CN"/>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805" w:type="pct"/>
                  <w:gridSpan w:val="2"/>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无组织排放</w:t>
                  </w:r>
                </w:p>
              </w:tc>
              <w:tc>
                <w:tcPr>
                  <w:tcW w:w="646"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非甲烷总烃</w:t>
                  </w:r>
                </w:p>
              </w:tc>
              <w:tc>
                <w:tcPr>
                  <w:tcW w:w="942"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加强通风、植树绿化</w:t>
                  </w:r>
                </w:p>
              </w:tc>
              <w:tc>
                <w:tcPr>
                  <w:tcW w:w="1472" w:type="pct"/>
                  <w:gridSpan w:val="2"/>
                  <w:vMerge w:val="restart"/>
                  <w:tcBorders>
                    <w:tl2br w:val="nil"/>
                    <w:tr2bl w:val="nil"/>
                  </w:tcBorders>
                  <w:tcMar>
                    <w:top w:w="11" w:type="dxa"/>
                    <w:left w:w="11" w:type="dxa"/>
                    <w:right w:w="11" w:type="dxa"/>
                  </w:tcMar>
                  <w:vAlign w:val="center"/>
                </w:tcPr>
                <w:p>
                  <w:pPr>
                    <w:widowControl/>
                    <w:adjustRightInd w:val="0"/>
                    <w:snapToGrid w:val="0"/>
                    <w:jc w:val="center"/>
                    <w:rPr>
                      <w:rFonts w:ascii="Times New Roman" w:hAnsi="Times New Roman"/>
                      <w:color w:val="auto"/>
                      <w:szCs w:val="21"/>
                    </w:rPr>
                  </w:pPr>
                  <w:r>
                    <w:rPr>
                      <w:rFonts w:ascii="Times New Roman" w:hAnsi="Times New Roman"/>
                      <w:color w:val="auto"/>
                      <w:szCs w:val="21"/>
                    </w:rPr>
                    <w:t>《大气污染物综合排放标准》（DB32/4041-2021）</w:t>
                  </w: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805" w:type="pct"/>
                  <w:gridSpan w:val="2"/>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颗粒物</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1472" w:type="pct"/>
                  <w:gridSpan w:val="2"/>
                  <w:vMerge w:val="continue"/>
                  <w:tcBorders>
                    <w:tl2br w:val="nil"/>
                    <w:tr2bl w:val="nil"/>
                  </w:tcBorders>
                  <w:tcMar>
                    <w:top w:w="11" w:type="dxa"/>
                    <w:left w:w="11" w:type="dxa"/>
                    <w:right w:w="11" w:type="dxa"/>
                  </w:tcMar>
                  <w:vAlign w:val="center"/>
                </w:tcPr>
                <w:p>
                  <w:pPr>
                    <w:widowControl/>
                    <w:adjustRightInd w:val="0"/>
                    <w:snapToGrid w:val="0"/>
                    <w:jc w:val="center"/>
                    <w:rPr>
                      <w:rFonts w:ascii="Times New Roman" w:hAnsi="Times New Roman"/>
                      <w:color w:val="auto"/>
                      <w:szCs w:val="21"/>
                    </w:rPr>
                  </w:pP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805" w:type="pct"/>
                  <w:gridSpan w:val="2"/>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苯系物</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1472" w:type="pct"/>
                  <w:gridSpan w:val="2"/>
                  <w:vMerge w:val="continue"/>
                  <w:tcBorders>
                    <w:tl2br w:val="nil"/>
                    <w:tr2bl w:val="nil"/>
                  </w:tcBorders>
                  <w:tcMar>
                    <w:top w:w="11" w:type="dxa"/>
                    <w:left w:w="11" w:type="dxa"/>
                    <w:right w:w="11" w:type="dxa"/>
                  </w:tcMar>
                  <w:vAlign w:val="center"/>
                </w:tcPr>
                <w:p>
                  <w:pPr>
                    <w:widowControl/>
                    <w:adjustRightInd w:val="0"/>
                    <w:snapToGrid w:val="0"/>
                    <w:jc w:val="center"/>
                    <w:rPr>
                      <w:rFonts w:ascii="Times New Roman" w:hAnsi="Times New Roman"/>
                      <w:color w:val="auto"/>
                      <w:szCs w:val="21"/>
                    </w:rPr>
                  </w:pP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805" w:type="pct"/>
                  <w:gridSpan w:val="2"/>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二甲苯</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1472" w:type="pct"/>
                  <w:gridSpan w:val="2"/>
                  <w:vMerge w:val="continue"/>
                  <w:tcBorders>
                    <w:tl2br w:val="nil"/>
                    <w:tr2bl w:val="nil"/>
                  </w:tcBorders>
                  <w:tcMar>
                    <w:top w:w="11" w:type="dxa"/>
                    <w:left w:w="11" w:type="dxa"/>
                    <w:right w:w="11" w:type="dxa"/>
                  </w:tcMar>
                  <w:vAlign w:val="center"/>
                </w:tcPr>
                <w:p>
                  <w:pPr>
                    <w:widowControl/>
                    <w:adjustRightInd w:val="0"/>
                    <w:snapToGrid w:val="0"/>
                    <w:jc w:val="center"/>
                    <w:rPr>
                      <w:rFonts w:ascii="Times New Roman" w:hAnsi="Times New Roman"/>
                      <w:color w:val="auto"/>
                      <w:szCs w:val="21"/>
                    </w:rPr>
                  </w:pP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805" w:type="pct"/>
                  <w:gridSpan w:val="2"/>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646"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臭气浓度</w:t>
                  </w:r>
                </w:p>
              </w:tc>
              <w:tc>
                <w:tcPr>
                  <w:tcW w:w="942"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1472" w:type="pct"/>
                  <w:gridSpan w:val="2"/>
                  <w:tcBorders>
                    <w:tl2br w:val="nil"/>
                    <w:tr2bl w:val="nil"/>
                  </w:tcBorders>
                  <w:tcMar>
                    <w:top w:w="11" w:type="dxa"/>
                    <w:left w:w="11" w:type="dxa"/>
                    <w:right w:w="11" w:type="dxa"/>
                  </w:tcMar>
                  <w:vAlign w:val="center"/>
                </w:tcPr>
                <w:p>
                  <w:pPr>
                    <w:widowControl/>
                    <w:adjustRightInd w:val="0"/>
                    <w:snapToGrid w:val="0"/>
                    <w:jc w:val="center"/>
                    <w:rPr>
                      <w:rFonts w:ascii="Times New Roman" w:hAnsi="Times New Roman"/>
                      <w:color w:val="auto"/>
                      <w:szCs w:val="21"/>
                    </w:rPr>
                  </w:pPr>
                  <w:r>
                    <w:rPr>
                      <w:rFonts w:hint="eastAsia" w:ascii="Times New Roman" w:hAnsi="Times New Roman"/>
                      <w:color w:val="auto"/>
                      <w:szCs w:val="21"/>
                      <w:lang w:val="zh-CN"/>
                    </w:rPr>
                    <w:t>《恶臭污染物排放标准》（GB14554-93）</w:t>
                  </w: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269" w:type="pct"/>
                  <w:vMerge w:val="continue"/>
                  <w:tcBorders>
                    <w:tl2br w:val="nil"/>
                    <w:tr2bl w:val="nil"/>
                  </w:tcBorders>
                  <w:tcMar>
                    <w:top w:w="11" w:type="dxa"/>
                    <w:left w:w="11" w:type="dxa"/>
                    <w:right w:w="11" w:type="dxa"/>
                  </w:tcMar>
                  <w:vAlign w:val="center"/>
                </w:tcPr>
                <w:p>
                  <w:pPr>
                    <w:pStyle w:val="26"/>
                    <w:adjustRightInd w:val="0"/>
                    <w:snapToGrid w:val="0"/>
                    <w:rPr>
                      <w:rFonts w:ascii="Times New Roman" w:hAnsi="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废水</w:t>
                  </w:r>
                </w:p>
              </w:tc>
              <w:tc>
                <w:tcPr>
                  <w:tcW w:w="415"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DW001</w:t>
                  </w:r>
                </w:p>
              </w:tc>
              <w:tc>
                <w:tcPr>
                  <w:tcW w:w="390"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生活污水</w:t>
                  </w:r>
                </w:p>
              </w:tc>
              <w:tc>
                <w:tcPr>
                  <w:tcW w:w="646"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bCs/>
                      <w:color w:val="auto"/>
                      <w:szCs w:val="21"/>
                    </w:rPr>
                    <w:t>COD、NH</w:t>
                  </w:r>
                  <w:r>
                    <w:rPr>
                      <w:rFonts w:hint="eastAsia" w:ascii="Times New Roman" w:hAnsi="Times New Roman"/>
                      <w:bCs/>
                      <w:color w:val="auto"/>
                      <w:szCs w:val="21"/>
                      <w:vertAlign w:val="subscript"/>
                    </w:rPr>
                    <w:t>3</w:t>
                  </w:r>
                  <w:r>
                    <w:rPr>
                      <w:rFonts w:hint="eastAsia" w:ascii="Times New Roman" w:hAnsi="Times New Roman"/>
                      <w:bCs/>
                      <w:color w:val="auto"/>
                      <w:szCs w:val="21"/>
                    </w:rPr>
                    <w:t>-N</w:t>
                  </w:r>
                  <w:r>
                    <w:rPr>
                      <w:rFonts w:ascii="Times New Roman" w:hAnsi="Times New Roman"/>
                      <w:bCs/>
                      <w:color w:val="auto"/>
                      <w:szCs w:val="21"/>
                    </w:rPr>
                    <w:t>、SS、</w:t>
                  </w:r>
                  <w:r>
                    <w:rPr>
                      <w:rFonts w:hint="eastAsia" w:ascii="Times New Roman" w:hAnsi="Times New Roman"/>
                      <w:bCs/>
                      <w:color w:val="auto"/>
                      <w:szCs w:val="21"/>
                    </w:rPr>
                    <w:t>TP、TN</w:t>
                  </w:r>
                </w:p>
              </w:tc>
              <w:tc>
                <w:tcPr>
                  <w:tcW w:w="942"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化粪池</w:t>
                  </w:r>
                </w:p>
              </w:tc>
              <w:tc>
                <w:tcPr>
                  <w:tcW w:w="1171"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《污水综合排放标准》（GB8978-1996）表4中的三级标准、《污水排入城镇下水道水质标准》（GB/T31962-2015）表1标准</w:t>
                  </w:r>
                </w:p>
              </w:tc>
              <w:tc>
                <w:tcPr>
                  <w:tcW w:w="301"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接管至</w:t>
                  </w:r>
                  <w:r>
                    <w:rPr>
                      <w:rFonts w:hint="eastAsia" w:ascii="Times New Roman" w:hAnsi="Times New Roman"/>
                      <w:color w:val="auto"/>
                      <w:szCs w:val="21"/>
                      <w:lang w:eastAsia="zh-CN"/>
                    </w:rPr>
                    <w:t>如皋市下原镇污水处理厂</w:t>
                  </w:r>
                  <w:r>
                    <w:rPr>
                      <w:rFonts w:hint="eastAsia" w:ascii="Times New Roman" w:hAnsi="Times New Roman"/>
                      <w:color w:val="auto"/>
                      <w:szCs w:val="21"/>
                    </w:rPr>
                    <w:t>处理</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风险防范</w:t>
                  </w:r>
                </w:p>
              </w:tc>
              <w:tc>
                <w:tcPr>
                  <w:tcW w:w="3866" w:type="pct"/>
                  <w:gridSpan w:val="6"/>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拟设置1座事故应急池</w:t>
                  </w:r>
                  <w:r>
                    <w:rPr>
                      <w:rFonts w:hint="eastAsia" w:ascii="Times New Roman" w:hAnsi="Times New Roman"/>
                      <w:color w:val="auto"/>
                      <w:szCs w:val="21"/>
                      <w:lang w:val="en-US" w:eastAsia="zh-CN"/>
                    </w:rPr>
                    <w:t>1</w:t>
                  </w:r>
                  <w:r>
                    <w:rPr>
                      <w:rFonts w:hint="eastAsia"/>
                      <w:color w:val="auto"/>
                      <w:szCs w:val="21"/>
                      <w:lang w:val="en-US" w:eastAsia="zh-CN"/>
                    </w:rPr>
                    <w:t>8</w:t>
                  </w:r>
                  <w:r>
                    <w:rPr>
                      <w:rFonts w:hint="eastAsia" w:ascii="Times New Roman" w:hAnsi="Times New Roman"/>
                      <w:color w:val="auto"/>
                      <w:szCs w:val="21"/>
                      <w:lang w:val="en-US" w:eastAsia="zh-CN"/>
                    </w:rPr>
                    <w:t>0</w:t>
                  </w:r>
                  <w:r>
                    <w:rPr>
                      <w:rFonts w:hint="eastAsia" w:ascii="Times New Roman" w:hAnsi="Times New Roman"/>
                      <w:color w:val="auto"/>
                      <w:szCs w:val="21"/>
                    </w:rPr>
                    <w:t>立方、消防器材等应急物资</w:t>
                  </w:r>
                </w:p>
              </w:tc>
              <w:tc>
                <w:tcPr>
                  <w:tcW w:w="444"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噪声</w:t>
                  </w:r>
                </w:p>
              </w:tc>
              <w:tc>
                <w:tcPr>
                  <w:tcW w:w="805"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设备噪声</w:t>
                  </w:r>
                </w:p>
              </w:tc>
              <w:tc>
                <w:tcPr>
                  <w:tcW w:w="646"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噪声</w:t>
                  </w:r>
                </w:p>
              </w:tc>
              <w:tc>
                <w:tcPr>
                  <w:tcW w:w="942"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低噪声设备、墙壁隔声、密闭门窗、距离衰减等综合防治措施</w:t>
                  </w:r>
                </w:p>
              </w:tc>
              <w:tc>
                <w:tcPr>
                  <w:tcW w:w="1472"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噪声达标</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5</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restar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固体废物</w:t>
                  </w:r>
                </w:p>
              </w:tc>
              <w:tc>
                <w:tcPr>
                  <w:tcW w:w="805"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生活垃圾</w:t>
                  </w:r>
                </w:p>
              </w:tc>
              <w:tc>
                <w:tcPr>
                  <w:tcW w:w="646"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生活垃圾</w:t>
                  </w:r>
                </w:p>
              </w:tc>
              <w:tc>
                <w:tcPr>
                  <w:tcW w:w="942"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日常生活</w:t>
                  </w:r>
                </w:p>
              </w:tc>
              <w:tc>
                <w:tcPr>
                  <w:tcW w:w="1472"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环卫清理</w:t>
                  </w:r>
                </w:p>
              </w:tc>
              <w:tc>
                <w:tcPr>
                  <w:tcW w:w="444" w:type="pct"/>
                  <w:vMerge w:val="restar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5</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805"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危废车间</w:t>
                  </w:r>
                </w:p>
              </w:tc>
              <w:tc>
                <w:tcPr>
                  <w:tcW w:w="646"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危险废物</w:t>
                  </w:r>
                </w:p>
              </w:tc>
              <w:tc>
                <w:tcPr>
                  <w:tcW w:w="942"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本次拟建</w:t>
                  </w:r>
                  <w:r>
                    <w:rPr>
                      <w:rFonts w:ascii="Times New Roman" w:hAnsi="Times New Roman"/>
                      <w:color w:val="auto"/>
                      <w:szCs w:val="21"/>
                    </w:rPr>
                    <w:t>1间，约</w:t>
                  </w:r>
                  <w:r>
                    <w:rPr>
                      <w:rFonts w:hint="eastAsia"/>
                      <w:color w:val="auto"/>
                      <w:szCs w:val="21"/>
                      <w:lang w:val="en-US" w:eastAsia="zh-CN"/>
                    </w:rPr>
                    <w:t>3</w:t>
                  </w:r>
                  <w:r>
                    <w:rPr>
                      <w:rFonts w:hint="eastAsia" w:ascii="Times New Roman" w:hAnsi="Times New Roman"/>
                      <w:color w:val="auto"/>
                      <w:szCs w:val="21"/>
                      <w:lang w:val="en-US" w:eastAsia="zh-CN"/>
                    </w:rPr>
                    <w:t>0</w:t>
                  </w:r>
                  <w:r>
                    <w:rPr>
                      <w:rFonts w:ascii="Times New Roman" w:hAnsi="Times New Roman"/>
                      <w:color w:val="auto"/>
                      <w:szCs w:val="21"/>
                    </w:rPr>
                    <w:t>m</w:t>
                  </w:r>
                  <w:r>
                    <w:rPr>
                      <w:rFonts w:ascii="Times New Roman" w:hAnsi="Times New Roman"/>
                      <w:color w:val="auto"/>
                      <w:szCs w:val="21"/>
                      <w:vertAlign w:val="superscript"/>
                    </w:rPr>
                    <w:t>2</w:t>
                  </w:r>
                </w:p>
              </w:tc>
              <w:tc>
                <w:tcPr>
                  <w:tcW w:w="1472"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委托资质单位处置</w:t>
                  </w:r>
                </w:p>
              </w:tc>
              <w:tc>
                <w:tcPr>
                  <w:tcW w:w="444"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25" w:type="pct"/>
                  <w:gridSpan w:val="3"/>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污水管网雨污分流、排污口规范化设置（流量计、在线监测仪等）</w:t>
                  </w:r>
                </w:p>
              </w:tc>
              <w:tc>
                <w:tcPr>
                  <w:tcW w:w="1588"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规范化接管口</w:t>
                  </w:r>
                </w:p>
              </w:tc>
              <w:tc>
                <w:tcPr>
                  <w:tcW w:w="1472" w:type="pct"/>
                  <w:gridSpan w:val="2"/>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满足《江苏省排污口设置及规范化整治管理办法》的要求</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25" w:type="pct"/>
                  <w:gridSpan w:val="3"/>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总量平衡具体方案</w:t>
                  </w:r>
                </w:p>
              </w:tc>
              <w:tc>
                <w:tcPr>
                  <w:tcW w:w="3060" w:type="pct"/>
                  <w:gridSpan w:val="4"/>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25" w:type="pct"/>
                  <w:gridSpan w:val="3"/>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区域解决问题</w:t>
                  </w:r>
                </w:p>
              </w:tc>
              <w:tc>
                <w:tcPr>
                  <w:tcW w:w="3060" w:type="pct"/>
                  <w:gridSpan w:val="4"/>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225" w:type="pct"/>
                  <w:gridSpan w:val="3"/>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大气环境防护距离</w:t>
                  </w:r>
                </w:p>
              </w:tc>
              <w:tc>
                <w:tcPr>
                  <w:tcW w:w="3060" w:type="pct"/>
                  <w:gridSpan w:val="4"/>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25" w:type="pct"/>
                  <w:gridSpan w:val="3"/>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卫生防护距离</w:t>
                  </w:r>
                </w:p>
              </w:tc>
              <w:tc>
                <w:tcPr>
                  <w:tcW w:w="3060" w:type="pct"/>
                  <w:gridSpan w:val="4"/>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444" w:type="pct"/>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286" w:type="pct"/>
                  <w:gridSpan w:val="7"/>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环保投资合计</w:t>
                  </w:r>
                </w:p>
              </w:tc>
              <w:tc>
                <w:tcPr>
                  <w:tcW w:w="444"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40</w:t>
                  </w:r>
                </w:p>
              </w:tc>
              <w:tc>
                <w:tcPr>
                  <w:tcW w:w="269" w:type="pct"/>
                  <w:vMerge w:val="continue"/>
                  <w:tcBorders>
                    <w:tl2br w:val="nil"/>
                    <w:tr2bl w:val="nil"/>
                  </w:tcBorders>
                  <w:tcMar>
                    <w:top w:w="11" w:type="dxa"/>
                    <w:left w:w="11" w:type="dxa"/>
                    <w:right w:w="11" w:type="dxa"/>
                  </w:tcMar>
                  <w:vAlign w:val="center"/>
                </w:tcPr>
                <w:p>
                  <w:pPr>
                    <w:adjustRightInd w:val="0"/>
                    <w:snapToGrid w:val="0"/>
                    <w:jc w:val="center"/>
                    <w:rPr>
                      <w:rFonts w:ascii="Times New Roman" w:hAnsi="Times New Roman"/>
                      <w:color w:val="auto"/>
                      <w:szCs w:val="21"/>
                    </w:rPr>
                  </w:pPr>
                </w:p>
              </w:tc>
            </w:tr>
          </w:tbl>
          <w:p>
            <w:pPr>
              <w:adjustRightInd w:val="0"/>
              <w:snapToGrid w:val="0"/>
              <w:spacing w:line="360" w:lineRule="auto"/>
              <w:rPr>
                <w:rFonts w:ascii="Times New Roman" w:hAnsi="Times New Roman" w:cs="宋体"/>
                <w:b/>
                <w:color w:val="auto"/>
                <w:kern w:val="0"/>
                <w:szCs w:val="21"/>
              </w:rPr>
            </w:pPr>
          </w:p>
        </w:tc>
      </w:tr>
    </w:tbl>
    <w:p>
      <w:pPr>
        <w:adjustRightInd w:val="0"/>
        <w:snapToGrid w:val="0"/>
        <w:spacing w:line="360" w:lineRule="auto"/>
        <w:rPr>
          <w:rFonts w:ascii="宋体" w:cs="宋体"/>
          <w:b/>
          <w:color w:val="auto"/>
          <w:kern w:val="0"/>
          <w:sz w:val="28"/>
          <w:szCs w:val="28"/>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0" w:num="1"/>
          <w:docGrid w:linePitch="312" w:charSpace="0"/>
        </w:sectPr>
      </w:pPr>
    </w:p>
    <w:p>
      <w:pPr>
        <w:pStyle w:val="16"/>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五、</w:t>
      </w:r>
      <w:bookmarkStart w:id="29" w:name="_Hlk54167917"/>
      <w:r>
        <w:rPr>
          <w:rFonts w:hint="eastAsia" w:ascii="黑体" w:hAnsi="黑体" w:eastAsia="黑体"/>
          <w:snapToGrid w:val="0"/>
          <w:color w:val="auto"/>
          <w:sz w:val="30"/>
          <w:szCs w:val="30"/>
        </w:rPr>
        <w:t>环境保护措施监督检查清单</w:t>
      </w:r>
      <w:bookmarkEnd w:id="29"/>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996"/>
        <w:gridCol w:w="1068"/>
        <w:gridCol w:w="1269"/>
        <w:gridCol w:w="1687"/>
        <w:gridCol w:w="25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4" w:type="dxa"/>
            <w:tcBorders>
              <w:tl2br w:val="single" w:color="auto" w:sz="4" w:space="0"/>
            </w:tcBorders>
          </w:tcPr>
          <w:p>
            <w:pPr>
              <w:adjustRightInd w:val="0"/>
              <w:snapToGrid w:val="0"/>
              <w:ind w:firstLine="723" w:firstLineChars="300"/>
              <w:rPr>
                <w:rFonts w:cs="宋体"/>
                <w:b/>
                <w:bCs/>
                <w:color w:val="auto"/>
                <w:sz w:val="24"/>
                <w:szCs w:val="24"/>
              </w:rPr>
            </w:pPr>
            <w:r>
              <w:rPr>
                <w:rFonts w:hint="eastAsia" w:cs="宋体"/>
                <w:b/>
                <w:bCs/>
                <w:color w:val="auto"/>
                <w:sz w:val="24"/>
                <w:szCs w:val="24"/>
              </w:rPr>
              <w:t>内容</w:t>
            </w:r>
          </w:p>
          <w:p>
            <w:pPr>
              <w:adjustRightInd w:val="0"/>
              <w:snapToGrid w:val="0"/>
              <w:rPr>
                <w:rFonts w:cs="宋体"/>
                <w:b/>
                <w:bCs/>
                <w:color w:val="auto"/>
                <w:sz w:val="24"/>
                <w:szCs w:val="24"/>
              </w:rPr>
            </w:pPr>
            <w:r>
              <w:rPr>
                <w:rFonts w:hint="eastAsia" w:cs="宋体"/>
                <w:b/>
                <w:bCs/>
                <w:color w:val="auto"/>
                <w:sz w:val="24"/>
                <w:szCs w:val="24"/>
              </w:rPr>
              <w:t>要素</w:t>
            </w:r>
          </w:p>
        </w:tc>
        <w:tc>
          <w:tcPr>
            <w:tcW w:w="2064" w:type="dxa"/>
            <w:gridSpan w:val="2"/>
            <w:vAlign w:val="center"/>
          </w:tcPr>
          <w:p>
            <w:pPr>
              <w:adjustRightInd w:val="0"/>
              <w:snapToGrid w:val="0"/>
              <w:jc w:val="center"/>
              <w:rPr>
                <w:rFonts w:cs="宋体"/>
                <w:b/>
                <w:bCs/>
                <w:color w:val="auto"/>
                <w:sz w:val="24"/>
                <w:szCs w:val="24"/>
              </w:rPr>
            </w:pPr>
            <w:r>
              <w:rPr>
                <w:rFonts w:hint="eastAsia" w:cs="宋体"/>
                <w:b/>
                <w:bCs/>
                <w:color w:val="auto"/>
                <w:sz w:val="24"/>
                <w:szCs w:val="24"/>
              </w:rPr>
              <w:t>排放口（编号、</w:t>
            </w:r>
          </w:p>
          <w:p>
            <w:pPr>
              <w:adjustRightInd w:val="0"/>
              <w:snapToGrid w:val="0"/>
              <w:jc w:val="center"/>
              <w:rPr>
                <w:rFonts w:cs="宋体"/>
                <w:b/>
                <w:bCs/>
                <w:color w:val="auto"/>
                <w:sz w:val="24"/>
                <w:szCs w:val="24"/>
              </w:rPr>
            </w:pPr>
            <w:r>
              <w:rPr>
                <w:rFonts w:hint="eastAsia" w:cs="宋体"/>
                <w:b/>
                <w:bCs/>
                <w:color w:val="auto"/>
                <w:sz w:val="24"/>
                <w:szCs w:val="24"/>
              </w:rPr>
              <w:t>名称）/污染源</w:t>
            </w:r>
          </w:p>
        </w:tc>
        <w:tc>
          <w:tcPr>
            <w:tcW w:w="1269" w:type="dxa"/>
            <w:vAlign w:val="center"/>
          </w:tcPr>
          <w:p>
            <w:pPr>
              <w:adjustRightInd w:val="0"/>
              <w:snapToGrid w:val="0"/>
              <w:jc w:val="center"/>
              <w:rPr>
                <w:rFonts w:cs="宋体"/>
                <w:b/>
                <w:bCs/>
                <w:color w:val="auto"/>
                <w:sz w:val="24"/>
                <w:szCs w:val="24"/>
              </w:rPr>
            </w:pPr>
            <w:r>
              <w:rPr>
                <w:rFonts w:hint="eastAsia" w:cs="宋体"/>
                <w:b/>
                <w:bCs/>
                <w:color w:val="auto"/>
                <w:sz w:val="24"/>
                <w:szCs w:val="24"/>
              </w:rPr>
              <w:t>污染物项目</w:t>
            </w:r>
          </w:p>
        </w:tc>
        <w:tc>
          <w:tcPr>
            <w:tcW w:w="1687" w:type="dxa"/>
            <w:vAlign w:val="center"/>
          </w:tcPr>
          <w:p>
            <w:pPr>
              <w:adjustRightInd w:val="0"/>
              <w:snapToGrid w:val="0"/>
              <w:jc w:val="center"/>
              <w:rPr>
                <w:rFonts w:cs="宋体"/>
                <w:b/>
                <w:bCs/>
                <w:color w:val="auto"/>
                <w:sz w:val="24"/>
                <w:szCs w:val="24"/>
              </w:rPr>
            </w:pPr>
            <w:r>
              <w:rPr>
                <w:rFonts w:hint="eastAsia" w:cs="宋体"/>
                <w:b/>
                <w:bCs/>
                <w:color w:val="auto"/>
                <w:sz w:val="24"/>
                <w:szCs w:val="24"/>
              </w:rPr>
              <w:t>环境保护措施</w:t>
            </w:r>
          </w:p>
        </w:tc>
        <w:tc>
          <w:tcPr>
            <w:tcW w:w="2516" w:type="dxa"/>
            <w:vAlign w:val="center"/>
          </w:tcPr>
          <w:p>
            <w:pPr>
              <w:adjustRightInd w:val="0"/>
              <w:snapToGrid w:val="0"/>
              <w:jc w:val="center"/>
              <w:rPr>
                <w:rFonts w:cs="宋体"/>
                <w:b/>
                <w:bCs/>
                <w:color w:val="auto"/>
                <w:sz w:val="24"/>
                <w:szCs w:val="24"/>
              </w:rPr>
            </w:pPr>
            <w:r>
              <w:rPr>
                <w:rFonts w:hint="eastAsia" w:cs="宋体"/>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restart"/>
            <w:vAlign w:val="center"/>
          </w:tcPr>
          <w:p>
            <w:pPr>
              <w:adjustRightInd w:val="0"/>
              <w:snapToGrid w:val="0"/>
              <w:jc w:val="center"/>
              <w:rPr>
                <w:rFonts w:cs="宋体"/>
                <w:color w:val="auto"/>
                <w:sz w:val="24"/>
                <w:szCs w:val="24"/>
              </w:rPr>
            </w:pPr>
            <w:r>
              <w:rPr>
                <w:rFonts w:hint="eastAsia" w:cs="宋体"/>
                <w:color w:val="auto"/>
                <w:sz w:val="24"/>
                <w:szCs w:val="24"/>
              </w:rPr>
              <w:t>大气环境</w:t>
            </w:r>
          </w:p>
        </w:tc>
        <w:tc>
          <w:tcPr>
            <w:tcW w:w="996" w:type="dxa"/>
            <w:vMerge w:val="restart"/>
            <w:vAlign w:val="center"/>
          </w:tcPr>
          <w:p>
            <w:pPr>
              <w:adjustRightInd w:val="0"/>
              <w:snapToGrid w:val="0"/>
              <w:jc w:val="center"/>
              <w:rPr>
                <w:color w:val="auto"/>
                <w:sz w:val="24"/>
                <w:szCs w:val="24"/>
              </w:rPr>
            </w:pPr>
            <w:r>
              <w:rPr>
                <w:rFonts w:hint="eastAsia"/>
                <w:color w:val="auto"/>
                <w:sz w:val="24"/>
                <w:szCs w:val="24"/>
              </w:rPr>
              <w:t>有组织</w:t>
            </w:r>
          </w:p>
        </w:tc>
        <w:tc>
          <w:tcPr>
            <w:tcW w:w="1068" w:type="dxa"/>
            <w:vMerge w:val="restart"/>
            <w:vAlign w:val="center"/>
          </w:tcPr>
          <w:p>
            <w:pPr>
              <w:adjustRightInd w:val="0"/>
              <w:snapToGrid w:val="0"/>
              <w:jc w:val="center"/>
              <w:rPr>
                <w:color w:val="auto"/>
                <w:sz w:val="24"/>
                <w:szCs w:val="24"/>
              </w:rPr>
            </w:pPr>
            <w:r>
              <w:rPr>
                <w:rFonts w:hint="eastAsia"/>
                <w:color w:val="auto"/>
                <w:sz w:val="24"/>
                <w:szCs w:val="24"/>
              </w:rPr>
              <w:t>DA001</w:t>
            </w:r>
          </w:p>
        </w:tc>
        <w:tc>
          <w:tcPr>
            <w:tcW w:w="1269" w:type="dxa"/>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hint="eastAsia"/>
                <w:color w:val="auto"/>
                <w:sz w:val="24"/>
                <w:szCs w:val="24"/>
              </w:rPr>
              <w:t>非甲烷总烃</w:t>
            </w:r>
          </w:p>
        </w:tc>
        <w:tc>
          <w:tcPr>
            <w:tcW w:w="1687" w:type="dxa"/>
            <w:vMerge w:val="restart"/>
            <w:vAlign w:val="center"/>
          </w:tcPr>
          <w:p>
            <w:pPr>
              <w:adjustRightInd w:val="0"/>
              <w:snapToGrid w:val="0"/>
              <w:jc w:val="center"/>
              <w:rPr>
                <w:color w:val="auto"/>
                <w:sz w:val="24"/>
                <w:szCs w:val="24"/>
              </w:rPr>
            </w:pPr>
            <w:r>
              <w:rPr>
                <w:rFonts w:hint="eastAsia"/>
                <w:color w:val="auto"/>
                <w:sz w:val="24"/>
                <w:szCs w:val="24"/>
                <w:lang w:val="en-US" w:eastAsia="zh-CN"/>
              </w:rPr>
              <w:t>多级过滤器+</w:t>
            </w:r>
            <w:r>
              <w:rPr>
                <w:rFonts w:hint="eastAsia"/>
                <w:color w:val="auto"/>
                <w:sz w:val="24"/>
                <w:szCs w:val="24"/>
                <w:lang w:eastAsia="zh-CN"/>
              </w:rPr>
              <w:t>三级活性炭吸附装置</w:t>
            </w:r>
            <w:r>
              <w:rPr>
                <w:rFonts w:hint="eastAsia"/>
                <w:color w:val="auto"/>
                <w:sz w:val="24"/>
                <w:szCs w:val="24"/>
              </w:rPr>
              <w:t>+15 m高排气筒</w:t>
            </w:r>
          </w:p>
        </w:tc>
        <w:tc>
          <w:tcPr>
            <w:tcW w:w="2516" w:type="dxa"/>
            <w:vMerge w:val="restart"/>
            <w:vAlign w:val="center"/>
          </w:tcPr>
          <w:p>
            <w:pPr>
              <w:adjustRightInd w:val="0"/>
              <w:snapToGrid w:val="0"/>
              <w:jc w:val="center"/>
              <w:textAlignment w:val="baseline"/>
              <w:rPr>
                <w:color w:val="auto"/>
                <w:sz w:val="24"/>
                <w:szCs w:val="24"/>
              </w:rPr>
            </w:pPr>
            <w:r>
              <w:rPr>
                <w:rFonts w:hint="default" w:ascii="Times New Roman" w:hAnsi="Times New Roman" w:eastAsia="宋体" w:cs="Times New Roman"/>
                <w:color w:val="FF0000"/>
                <w:sz w:val="24"/>
                <w:szCs w:val="24"/>
                <w:lang w:val="en-US" w:eastAsia="zh-CN"/>
              </w:rPr>
              <w:t>《工业涂装工序大气污染物排放标准》（DB32/4439-2022）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hint="eastAsia" w:cs="宋体"/>
                <w:color w:val="auto"/>
                <w:sz w:val="24"/>
                <w:szCs w:val="24"/>
              </w:rPr>
            </w:pPr>
          </w:p>
        </w:tc>
        <w:tc>
          <w:tcPr>
            <w:tcW w:w="996" w:type="dxa"/>
            <w:vMerge w:val="continue"/>
            <w:vAlign w:val="center"/>
          </w:tcPr>
          <w:p>
            <w:pPr>
              <w:adjustRightInd w:val="0"/>
              <w:snapToGrid w:val="0"/>
              <w:jc w:val="center"/>
              <w:rPr>
                <w:rFonts w:hint="eastAsia"/>
                <w:color w:val="auto"/>
                <w:sz w:val="24"/>
                <w:szCs w:val="24"/>
              </w:rPr>
            </w:pPr>
          </w:p>
        </w:tc>
        <w:tc>
          <w:tcPr>
            <w:tcW w:w="1068" w:type="dxa"/>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颗粒物</w:t>
            </w:r>
          </w:p>
        </w:tc>
        <w:tc>
          <w:tcPr>
            <w:tcW w:w="1687" w:type="dxa"/>
            <w:vMerge w:val="continue"/>
            <w:vAlign w:val="center"/>
          </w:tcPr>
          <w:p>
            <w:pPr>
              <w:adjustRightInd w:val="0"/>
              <w:snapToGrid w:val="0"/>
              <w:jc w:val="center"/>
              <w:rPr>
                <w:rFonts w:hint="eastAsia"/>
                <w:color w:val="auto"/>
                <w:sz w:val="24"/>
                <w:szCs w:val="24"/>
                <w:lang w:val="en-US" w:eastAsia="zh-CN"/>
              </w:rPr>
            </w:pPr>
          </w:p>
        </w:tc>
        <w:tc>
          <w:tcPr>
            <w:tcW w:w="2516" w:type="dxa"/>
            <w:vMerge w:val="continue"/>
            <w:vAlign w:val="center"/>
          </w:tcPr>
          <w:p>
            <w:pPr>
              <w:adjustRightInd w:val="0"/>
              <w:snapToGrid w:val="0"/>
              <w:jc w:val="center"/>
              <w:textAlignment w:val="baseline"/>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hint="eastAsia" w:cs="宋体"/>
                <w:color w:val="auto"/>
                <w:sz w:val="24"/>
                <w:szCs w:val="24"/>
              </w:rPr>
            </w:pPr>
          </w:p>
        </w:tc>
        <w:tc>
          <w:tcPr>
            <w:tcW w:w="996" w:type="dxa"/>
            <w:vMerge w:val="continue"/>
            <w:vAlign w:val="center"/>
          </w:tcPr>
          <w:p>
            <w:pPr>
              <w:adjustRightInd w:val="0"/>
              <w:snapToGrid w:val="0"/>
              <w:jc w:val="center"/>
              <w:rPr>
                <w:rFonts w:hint="eastAsia"/>
                <w:color w:val="auto"/>
                <w:sz w:val="24"/>
                <w:szCs w:val="24"/>
              </w:rPr>
            </w:pPr>
          </w:p>
        </w:tc>
        <w:tc>
          <w:tcPr>
            <w:tcW w:w="1068" w:type="dxa"/>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苯系物</w:t>
            </w:r>
          </w:p>
        </w:tc>
        <w:tc>
          <w:tcPr>
            <w:tcW w:w="1687" w:type="dxa"/>
            <w:vMerge w:val="continue"/>
            <w:vAlign w:val="center"/>
          </w:tcPr>
          <w:p>
            <w:pPr>
              <w:adjustRightInd w:val="0"/>
              <w:snapToGrid w:val="0"/>
              <w:jc w:val="center"/>
              <w:rPr>
                <w:rFonts w:hint="eastAsia"/>
                <w:color w:val="auto"/>
                <w:sz w:val="24"/>
                <w:szCs w:val="24"/>
                <w:lang w:val="en-US" w:eastAsia="zh-CN"/>
              </w:rPr>
            </w:pPr>
          </w:p>
        </w:tc>
        <w:tc>
          <w:tcPr>
            <w:tcW w:w="2516" w:type="dxa"/>
            <w:vMerge w:val="continue"/>
            <w:vAlign w:val="center"/>
          </w:tcPr>
          <w:p>
            <w:pPr>
              <w:adjustRightInd w:val="0"/>
              <w:snapToGrid w:val="0"/>
              <w:jc w:val="center"/>
              <w:textAlignment w:val="baseline"/>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hint="eastAsia" w:cs="宋体"/>
                <w:color w:val="auto"/>
                <w:sz w:val="24"/>
                <w:szCs w:val="24"/>
              </w:rPr>
            </w:pPr>
          </w:p>
        </w:tc>
        <w:tc>
          <w:tcPr>
            <w:tcW w:w="996" w:type="dxa"/>
            <w:vMerge w:val="continue"/>
            <w:vAlign w:val="center"/>
          </w:tcPr>
          <w:p>
            <w:pPr>
              <w:adjustRightInd w:val="0"/>
              <w:snapToGrid w:val="0"/>
              <w:jc w:val="center"/>
              <w:rPr>
                <w:rFonts w:hint="eastAsia"/>
                <w:color w:val="auto"/>
                <w:sz w:val="24"/>
                <w:szCs w:val="24"/>
              </w:rPr>
            </w:pPr>
          </w:p>
        </w:tc>
        <w:tc>
          <w:tcPr>
            <w:tcW w:w="1068" w:type="dxa"/>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eastAsia="zh-CN"/>
              </w:rPr>
              <w:t>二甲苯</w:t>
            </w:r>
          </w:p>
        </w:tc>
        <w:tc>
          <w:tcPr>
            <w:tcW w:w="1687" w:type="dxa"/>
            <w:vMerge w:val="continue"/>
            <w:vAlign w:val="center"/>
          </w:tcPr>
          <w:p>
            <w:pPr>
              <w:adjustRightInd w:val="0"/>
              <w:snapToGrid w:val="0"/>
              <w:jc w:val="center"/>
              <w:rPr>
                <w:rFonts w:hint="eastAsia"/>
                <w:color w:val="auto"/>
                <w:sz w:val="24"/>
                <w:szCs w:val="24"/>
                <w:lang w:val="en-US" w:eastAsia="zh-CN"/>
              </w:rPr>
            </w:pPr>
          </w:p>
        </w:tc>
        <w:tc>
          <w:tcPr>
            <w:tcW w:w="2516" w:type="dxa"/>
            <w:vMerge w:val="continue"/>
            <w:vAlign w:val="center"/>
          </w:tcPr>
          <w:p>
            <w:pPr>
              <w:adjustRightInd w:val="0"/>
              <w:snapToGrid w:val="0"/>
              <w:jc w:val="center"/>
              <w:textAlignment w:val="baseline"/>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cs="宋体"/>
                <w:color w:val="auto"/>
                <w:sz w:val="24"/>
                <w:szCs w:val="24"/>
              </w:rPr>
            </w:pPr>
          </w:p>
        </w:tc>
        <w:tc>
          <w:tcPr>
            <w:tcW w:w="2064" w:type="dxa"/>
            <w:gridSpan w:val="2"/>
            <w:vMerge w:val="restart"/>
            <w:vAlign w:val="center"/>
          </w:tcPr>
          <w:p>
            <w:pPr>
              <w:adjustRightInd w:val="0"/>
              <w:snapToGrid w:val="0"/>
              <w:jc w:val="center"/>
              <w:rPr>
                <w:color w:val="auto"/>
                <w:sz w:val="24"/>
                <w:szCs w:val="24"/>
              </w:rPr>
            </w:pPr>
            <w:r>
              <w:rPr>
                <w:rFonts w:hint="eastAsia"/>
                <w:color w:val="auto"/>
                <w:sz w:val="24"/>
                <w:szCs w:val="24"/>
              </w:rPr>
              <w:t>无组织</w:t>
            </w:r>
          </w:p>
        </w:tc>
        <w:tc>
          <w:tcPr>
            <w:tcW w:w="1269" w:type="dxa"/>
            <w:vAlign w:val="center"/>
          </w:tcPr>
          <w:p>
            <w:pPr>
              <w:adjustRightInd w:val="0"/>
              <w:snapToGrid w:val="0"/>
              <w:jc w:val="center"/>
              <w:rPr>
                <w:color w:val="auto"/>
                <w:sz w:val="24"/>
                <w:szCs w:val="24"/>
              </w:rPr>
            </w:pPr>
            <w:r>
              <w:rPr>
                <w:rFonts w:hint="eastAsia"/>
                <w:color w:val="auto"/>
                <w:sz w:val="24"/>
                <w:szCs w:val="24"/>
              </w:rPr>
              <w:t>非甲烷总烃</w:t>
            </w:r>
          </w:p>
        </w:tc>
        <w:tc>
          <w:tcPr>
            <w:tcW w:w="1687" w:type="dxa"/>
            <w:vMerge w:val="restart"/>
            <w:vAlign w:val="center"/>
          </w:tcPr>
          <w:p>
            <w:pPr>
              <w:adjustRightInd w:val="0"/>
              <w:snapToGrid w:val="0"/>
              <w:jc w:val="center"/>
              <w:rPr>
                <w:color w:val="auto"/>
                <w:sz w:val="24"/>
                <w:szCs w:val="24"/>
              </w:rPr>
            </w:pPr>
            <w:r>
              <w:rPr>
                <w:color w:val="auto"/>
                <w:sz w:val="24"/>
                <w:szCs w:val="24"/>
              </w:rPr>
              <w:t>加强通风、植树绿化</w:t>
            </w:r>
          </w:p>
        </w:tc>
        <w:tc>
          <w:tcPr>
            <w:tcW w:w="2516" w:type="dxa"/>
            <w:vMerge w:val="restart"/>
            <w:vAlign w:val="center"/>
          </w:tcPr>
          <w:p>
            <w:pPr>
              <w:widowControl/>
              <w:adjustRightInd w:val="0"/>
              <w:snapToGrid w:val="0"/>
              <w:jc w:val="center"/>
              <w:rPr>
                <w:color w:val="auto"/>
                <w:sz w:val="24"/>
                <w:szCs w:val="24"/>
              </w:rPr>
            </w:pPr>
            <w:r>
              <w:rPr>
                <w:color w:val="auto"/>
                <w:sz w:val="24"/>
                <w:szCs w:val="24"/>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cs="宋体"/>
                <w:color w:val="auto"/>
                <w:sz w:val="24"/>
                <w:szCs w:val="24"/>
              </w:rPr>
            </w:pPr>
          </w:p>
        </w:tc>
        <w:tc>
          <w:tcPr>
            <w:tcW w:w="2064" w:type="dxa"/>
            <w:gridSpan w:val="2"/>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颗粒物</w:t>
            </w:r>
          </w:p>
        </w:tc>
        <w:tc>
          <w:tcPr>
            <w:tcW w:w="1687" w:type="dxa"/>
            <w:vMerge w:val="continue"/>
            <w:vAlign w:val="center"/>
          </w:tcPr>
          <w:p>
            <w:pPr>
              <w:adjustRightInd w:val="0"/>
              <w:snapToGrid w:val="0"/>
              <w:jc w:val="center"/>
              <w:rPr>
                <w:color w:val="auto"/>
                <w:sz w:val="24"/>
                <w:szCs w:val="24"/>
              </w:rPr>
            </w:pPr>
          </w:p>
        </w:tc>
        <w:tc>
          <w:tcPr>
            <w:tcW w:w="2516" w:type="dxa"/>
            <w:vMerge w:val="continue"/>
            <w:vAlign w:val="center"/>
          </w:tcPr>
          <w:p>
            <w:pPr>
              <w:widowControl/>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cs="宋体"/>
                <w:color w:val="auto"/>
                <w:sz w:val="24"/>
                <w:szCs w:val="24"/>
              </w:rPr>
            </w:pPr>
          </w:p>
        </w:tc>
        <w:tc>
          <w:tcPr>
            <w:tcW w:w="2064" w:type="dxa"/>
            <w:gridSpan w:val="2"/>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苯系物</w:t>
            </w:r>
          </w:p>
        </w:tc>
        <w:tc>
          <w:tcPr>
            <w:tcW w:w="1687" w:type="dxa"/>
            <w:vMerge w:val="continue"/>
            <w:vAlign w:val="center"/>
          </w:tcPr>
          <w:p>
            <w:pPr>
              <w:adjustRightInd w:val="0"/>
              <w:snapToGrid w:val="0"/>
              <w:jc w:val="center"/>
              <w:rPr>
                <w:color w:val="auto"/>
                <w:sz w:val="24"/>
                <w:szCs w:val="24"/>
              </w:rPr>
            </w:pPr>
          </w:p>
        </w:tc>
        <w:tc>
          <w:tcPr>
            <w:tcW w:w="2516" w:type="dxa"/>
            <w:vMerge w:val="continue"/>
            <w:vAlign w:val="center"/>
          </w:tcPr>
          <w:p>
            <w:pPr>
              <w:widowControl/>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cs="宋体"/>
                <w:color w:val="auto"/>
                <w:sz w:val="24"/>
                <w:szCs w:val="24"/>
              </w:rPr>
            </w:pPr>
          </w:p>
        </w:tc>
        <w:tc>
          <w:tcPr>
            <w:tcW w:w="2064" w:type="dxa"/>
            <w:gridSpan w:val="2"/>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eastAsia="zh-CN"/>
              </w:rPr>
              <w:t>二甲苯</w:t>
            </w:r>
          </w:p>
        </w:tc>
        <w:tc>
          <w:tcPr>
            <w:tcW w:w="1687" w:type="dxa"/>
            <w:vMerge w:val="continue"/>
            <w:vAlign w:val="center"/>
          </w:tcPr>
          <w:p>
            <w:pPr>
              <w:adjustRightInd w:val="0"/>
              <w:snapToGrid w:val="0"/>
              <w:jc w:val="center"/>
              <w:rPr>
                <w:color w:val="auto"/>
                <w:sz w:val="24"/>
                <w:szCs w:val="24"/>
              </w:rPr>
            </w:pPr>
          </w:p>
        </w:tc>
        <w:tc>
          <w:tcPr>
            <w:tcW w:w="2516" w:type="dxa"/>
            <w:vMerge w:val="continue"/>
            <w:vAlign w:val="center"/>
          </w:tcPr>
          <w:p>
            <w:pPr>
              <w:widowControl/>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Merge w:val="continue"/>
            <w:vAlign w:val="center"/>
          </w:tcPr>
          <w:p>
            <w:pPr>
              <w:adjustRightInd w:val="0"/>
              <w:snapToGrid w:val="0"/>
              <w:jc w:val="center"/>
              <w:rPr>
                <w:rFonts w:cs="宋体"/>
                <w:color w:val="auto"/>
                <w:sz w:val="24"/>
                <w:szCs w:val="24"/>
              </w:rPr>
            </w:pPr>
          </w:p>
        </w:tc>
        <w:tc>
          <w:tcPr>
            <w:tcW w:w="2064" w:type="dxa"/>
            <w:gridSpan w:val="2"/>
            <w:vMerge w:val="continue"/>
            <w:vAlign w:val="center"/>
          </w:tcPr>
          <w:p>
            <w:pPr>
              <w:adjustRightInd w:val="0"/>
              <w:snapToGrid w:val="0"/>
              <w:jc w:val="center"/>
              <w:rPr>
                <w:rFonts w:hint="eastAsia"/>
                <w:color w:val="auto"/>
                <w:sz w:val="24"/>
                <w:szCs w:val="24"/>
              </w:rPr>
            </w:pPr>
          </w:p>
        </w:tc>
        <w:tc>
          <w:tcPr>
            <w:tcW w:w="1269" w:type="dxa"/>
            <w:vAlign w:val="center"/>
          </w:tcPr>
          <w:p>
            <w:pPr>
              <w:adjustRightInd w:val="0"/>
              <w:snapToGrid w:val="0"/>
              <w:jc w:val="center"/>
              <w:rPr>
                <w:rFonts w:hint="eastAsia"/>
                <w:color w:val="auto"/>
                <w:sz w:val="24"/>
                <w:szCs w:val="24"/>
              </w:rPr>
            </w:pPr>
            <w:r>
              <w:rPr>
                <w:rFonts w:hint="eastAsia"/>
                <w:color w:val="auto"/>
                <w:sz w:val="24"/>
                <w:szCs w:val="24"/>
              </w:rPr>
              <w:t>臭气浓度</w:t>
            </w:r>
          </w:p>
        </w:tc>
        <w:tc>
          <w:tcPr>
            <w:tcW w:w="1687" w:type="dxa"/>
            <w:vMerge w:val="continue"/>
            <w:vAlign w:val="center"/>
          </w:tcPr>
          <w:p>
            <w:pPr>
              <w:adjustRightInd w:val="0"/>
              <w:snapToGrid w:val="0"/>
              <w:jc w:val="center"/>
              <w:rPr>
                <w:color w:val="auto"/>
                <w:sz w:val="24"/>
                <w:szCs w:val="24"/>
              </w:rPr>
            </w:pPr>
          </w:p>
        </w:tc>
        <w:tc>
          <w:tcPr>
            <w:tcW w:w="2516" w:type="dxa"/>
            <w:vAlign w:val="center"/>
          </w:tcPr>
          <w:p>
            <w:pPr>
              <w:widowControl/>
              <w:adjustRightInd w:val="0"/>
              <w:snapToGrid w:val="0"/>
              <w:jc w:val="center"/>
              <w:rPr>
                <w:color w:val="auto"/>
                <w:sz w:val="24"/>
                <w:szCs w:val="24"/>
              </w:rPr>
            </w:pPr>
            <w:r>
              <w:rPr>
                <w:rFonts w:hint="eastAsia"/>
                <w:color w:val="auto"/>
                <w:sz w:val="24"/>
                <w:szCs w:val="24"/>
                <w:lang w:val="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Align w:val="center"/>
          </w:tcPr>
          <w:p>
            <w:pPr>
              <w:adjustRightInd w:val="0"/>
              <w:snapToGrid w:val="0"/>
              <w:jc w:val="center"/>
              <w:rPr>
                <w:rFonts w:cs="宋体"/>
                <w:color w:val="auto"/>
                <w:sz w:val="24"/>
                <w:szCs w:val="24"/>
              </w:rPr>
            </w:pPr>
            <w:r>
              <w:rPr>
                <w:rFonts w:hint="eastAsia" w:cs="宋体"/>
                <w:color w:val="auto"/>
                <w:sz w:val="24"/>
                <w:szCs w:val="24"/>
              </w:rPr>
              <w:t>地表水环境</w:t>
            </w:r>
          </w:p>
        </w:tc>
        <w:tc>
          <w:tcPr>
            <w:tcW w:w="996" w:type="dxa"/>
            <w:vAlign w:val="center"/>
          </w:tcPr>
          <w:p>
            <w:pPr>
              <w:adjustRightInd w:val="0"/>
              <w:snapToGrid w:val="0"/>
              <w:jc w:val="center"/>
              <w:rPr>
                <w:color w:val="auto"/>
                <w:sz w:val="24"/>
                <w:szCs w:val="24"/>
              </w:rPr>
            </w:pPr>
            <w:r>
              <w:rPr>
                <w:rFonts w:hint="eastAsia"/>
                <w:color w:val="auto"/>
                <w:sz w:val="24"/>
                <w:szCs w:val="24"/>
              </w:rPr>
              <w:t>DW001</w:t>
            </w:r>
          </w:p>
        </w:tc>
        <w:tc>
          <w:tcPr>
            <w:tcW w:w="1068" w:type="dxa"/>
            <w:vAlign w:val="center"/>
          </w:tcPr>
          <w:p>
            <w:pPr>
              <w:adjustRightInd w:val="0"/>
              <w:snapToGrid w:val="0"/>
              <w:jc w:val="center"/>
              <w:rPr>
                <w:color w:val="auto"/>
                <w:sz w:val="24"/>
                <w:szCs w:val="24"/>
              </w:rPr>
            </w:pPr>
            <w:r>
              <w:rPr>
                <w:rFonts w:hint="eastAsia"/>
                <w:color w:val="auto"/>
                <w:sz w:val="24"/>
                <w:szCs w:val="24"/>
              </w:rPr>
              <w:t>生活</w:t>
            </w:r>
          </w:p>
          <w:p>
            <w:pPr>
              <w:adjustRightInd w:val="0"/>
              <w:snapToGrid w:val="0"/>
              <w:jc w:val="center"/>
              <w:rPr>
                <w:color w:val="auto"/>
                <w:sz w:val="24"/>
                <w:szCs w:val="24"/>
              </w:rPr>
            </w:pPr>
            <w:r>
              <w:rPr>
                <w:rFonts w:hint="eastAsia"/>
                <w:color w:val="auto"/>
                <w:sz w:val="24"/>
                <w:szCs w:val="24"/>
              </w:rPr>
              <w:t>污水</w:t>
            </w:r>
          </w:p>
        </w:tc>
        <w:tc>
          <w:tcPr>
            <w:tcW w:w="1269" w:type="dxa"/>
            <w:vAlign w:val="center"/>
          </w:tcPr>
          <w:p>
            <w:pPr>
              <w:adjustRightInd w:val="0"/>
              <w:snapToGrid w:val="0"/>
              <w:jc w:val="center"/>
              <w:rPr>
                <w:color w:val="auto"/>
                <w:sz w:val="24"/>
                <w:szCs w:val="24"/>
              </w:rPr>
            </w:pPr>
            <w:r>
              <w:rPr>
                <w:rFonts w:hint="eastAsia"/>
                <w:bCs/>
                <w:color w:val="auto"/>
                <w:sz w:val="24"/>
                <w:szCs w:val="24"/>
              </w:rPr>
              <w:t>COD、NH</w:t>
            </w:r>
            <w:r>
              <w:rPr>
                <w:rFonts w:hint="eastAsia"/>
                <w:bCs/>
                <w:color w:val="auto"/>
                <w:sz w:val="24"/>
                <w:szCs w:val="24"/>
                <w:vertAlign w:val="subscript"/>
              </w:rPr>
              <w:t>3</w:t>
            </w:r>
            <w:r>
              <w:rPr>
                <w:rFonts w:hint="eastAsia"/>
                <w:bCs/>
                <w:color w:val="auto"/>
                <w:sz w:val="24"/>
                <w:szCs w:val="24"/>
              </w:rPr>
              <w:t>-N</w:t>
            </w:r>
            <w:r>
              <w:rPr>
                <w:bCs/>
                <w:color w:val="auto"/>
                <w:sz w:val="24"/>
                <w:szCs w:val="24"/>
              </w:rPr>
              <w:t>、SS、</w:t>
            </w:r>
            <w:r>
              <w:rPr>
                <w:rFonts w:hint="eastAsia"/>
                <w:bCs/>
                <w:color w:val="auto"/>
                <w:sz w:val="24"/>
                <w:szCs w:val="24"/>
              </w:rPr>
              <w:t>TP、TN</w:t>
            </w:r>
          </w:p>
        </w:tc>
        <w:tc>
          <w:tcPr>
            <w:tcW w:w="1687" w:type="dxa"/>
            <w:vAlign w:val="center"/>
          </w:tcPr>
          <w:p>
            <w:pPr>
              <w:adjustRightInd w:val="0"/>
              <w:snapToGrid w:val="0"/>
              <w:jc w:val="center"/>
              <w:rPr>
                <w:color w:val="auto"/>
                <w:sz w:val="24"/>
                <w:szCs w:val="24"/>
              </w:rPr>
            </w:pPr>
            <w:r>
              <w:rPr>
                <w:rFonts w:hint="eastAsia"/>
                <w:color w:val="auto"/>
                <w:sz w:val="24"/>
                <w:szCs w:val="24"/>
              </w:rPr>
              <w:t>化粪池</w:t>
            </w:r>
          </w:p>
        </w:tc>
        <w:tc>
          <w:tcPr>
            <w:tcW w:w="2516" w:type="dxa"/>
            <w:vAlign w:val="center"/>
          </w:tcPr>
          <w:p>
            <w:pPr>
              <w:adjustRightInd w:val="0"/>
              <w:snapToGrid w:val="0"/>
              <w:jc w:val="center"/>
              <w:rPr>
                <w:color w:val="auto"/>
                <w:sz w:val="24"/>
                <w:szCs w:val="24"/>
              </w:rPr>
            </w:pPr>
            <w:r>
              <w:rPr>
                <w:rFonts w:hint="eastAsia"/>
                <w:color w:val="auto"/>
                <w:sz w:val="24"/>
                <w:szCs w:val="24"/>
              </w:rPr>
              <w:t>《污水综合排放标准》（GB8978-1996）表4中的三级标准、《污水排入城镇下水道水质标准》（GB/T31962-2015）表1标准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Align w:val="center"/>
          </w:tcPr>
          <w:p>
            <w:pPr>
              <w:adjustRightInd w:val="0"/>
              <w:snapToGrid w:val="0"/>
              <w:jc w:val="center"/>
              <w:rPr>
                <w:rFonts w:cs="宋体"/>
                <w:color w:val="auto"/>
                <w:sz w:val="24"/>
                <w:szCs w:val="24"/>
              </w:rPr>
            </w:pPr>
            <w:r>
              <w:rPr>
                <w:rFonts w:hint="eastAsia" w:cs="宋体"/>
                <w:color w:val="auto"/>
                <w:sz w:val="24"/>
                <w:szCs w:val="24"/>
              </w:rPr>
              <w:t>声环境</w:t>
            </w:r>
          </w:p>
        </w:tc>
        <w:tc>
          <w:tcPr>
            <w:tcW w:w="2064" w:type="dxa"/>
            <w:gridSpan w:val="2"/>
            <w:vAlign w:val="center"/>
          </w:tcPr>
          <w:p>
            <w:pPr>
              <w:adjustRightInd w:val="0"/>
              <w:snapToGrid w:val="0"/>
              <w:jc w:val="center"/>
              <w:rPr>
                <w:color w:val="auto"/>
                <w:sz w:val="24"/>
                <w:szCs w:val="24"/>
              </w:rPr>
            </w:pPr>
            <w:r>
              <w:rPr>
                <w:rFonts w:hint="eastAsia"/>
                <w:color w:val="auto"/>
                <w:sz w:val="24"/>
                <w:szCs w:val="24"/>
              </w:rPr>
              <w:t>生产设备</w:t>
            </w:r>
            <w:r>
              <w:rPr>
                <w:color w:val="auto"/>
                <w:sz w:val="24"/>
                <w:szCs w:val="24"/>
              </w:rPr>
              <w:t>等</w:t>
            </w:r>
          </w:p>
        </w:tc>
        <w:tc>
          <w:tcPr>
            <w:tcW w:w="1269" w:type="dxa"/>
            <w:vAlign w:val="center"/>
          </w:tcPr>
          <w:p>
            <w:pPr>
              <w:adjustRightInd w:val="0"/>
              <w:snapToGrid w:val="0"/>
              <w:jc w:val="center"/>
              <w:rPr>
                <w:color w:val="auto"/>
                <w:sz w:val="24"/>
                <w:szCs w:val="24"/>
              </w:rPr>
            </w:pPr>
            <w:r>
              <w:rPr>
                <w:color w:val="auto"/>
                <w:sz w:val="24"/>
                <w:szCs w:val="24"/>
              </w:rPr>
              <w:t>噪声</w:t>
            </w:r>
          </w:p>
        </w:tc>
        <w:tc>
          <w:tcPr>
            <w:tcW w:w="1687" w:type="dxa"/>
            <w:vAlign w:val="center"/>
          </w:tcPr>
          <w:p>
            <w:pPr>
              <w:adjustRightInd w:val="0"/>
              <w:snapToGrid w:val="0"/>
              <w:jc w:val="center"/>
              <w:rPr>
                <w:color w:val="auto"/>
                <w:sz w:val="24"/>
                <w:szCs w:val="24"/>
              </w:rPr>
            </w:pPr>
            <w:r>
              <w:rPr>
                <w:bCs/>
                <w:color w:val="auto"/>
                <w:sz w:val="24"/>
                <w:szCs w:val="24"/>
              </w:rPr>
              <w:t>合理平面布局、基础减振、建筑隔声、距离衰减</w:t>
            </w:r>
          </w:p>
        </w:tc>
        <w:tc>
          <w:tcPr>
            <w:tcW w:w="2516" w:type="dxa"/>
            <w:vAlign w:val="center"/>
          </w:tcPr>
          <w:p>
            <w:pPr>
              <w:adjustRightInd w:val="0"/>
              <w:snapToGrid w:val="0"/>
              <w:jc w:val="center"/>
              <w:rPr>
                <w:color w:val="auto"/>
                <w:sz w:val="24"/>
                <w:szCs w:val="24"/>
              </w:rPr>
            </w:pPr>
            <w:r>
              <w:rPr>
                <w:color w:val="auto"/>
                <w:sz w:val="24"/>
                <w:szCs w:val="24"/>
              </w:rPr>
              <w:t>《工业企业厂界环境噪声排放标准》（GB12348-2008）中</w:t>
            </w:r>
            <w:r>
              <w:rPr>
                <w:rFonts w:hint="eastAsia"/>
                <w:color w:val="auto"/>
                <w:sz w:val="24"/>
                <w:szCs w:val="24"/>
                <w:lang w:val="en-US" w:eastAsia="zh-CN"/>
              </w:rPr>
              <w:t>3</w:t>
            </w:r>
            <w:r>
              <w:rPr>
                <w:color w:val="auto"/>
                <w:sz w:val="24"/>
                <w:szCs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4" w:type="dxa"/>
            <w:vAlign w:val="center"/>
          </w:tcPr>
          <w:p>
            <w:pPr>
              <w:adjustRightInd w:val="0"/>
              <w:snapToGrid w:val="0"/>
              <w:jc w:val="center"/>
              <w:rPr>
                <w:rFonts w:cs="宋体"/>
                <w:color w:val="auto"/>
                <w:sz w:val="24"/>
                <w:szCs w:val="24"/>
              </w:rPr>
            </w:pPr>
            <w:r>
              <w:rPr>
                <w:rFonts w:hint="eastAsia" w:cs="宋体"/>
                <w:color w:val="auto"/>
                <w:sz w:val="24"/>
                <w:szCs w:val="24"/>
              </w:rPr>
              <w:t>电磁辐射</w:t>
            </w:r>
          </w:p>
        </w:tc>
        <w:tc>
          <w:tcPr>
            <w:tcW w:w="2064" w:type="dxa"/>
            <w:gridSpan w:val="2"/>
            <w:vAlign w:val="center"/>
          </w:tcPr>
          <w:p>
            <w:pPr>
              <w:adjustRightInd w:val="0"/>
              <w:snapToGrid w:val="0"/>
              <w:jc w:val="center"/>
              <w:rPr>
                <w:rFonts w:cs="宋体"/>
                <w:color w:val="auto"/>
                <w:sz w:val="24"/>
                <w:szCs w:val="24"/>
              </w:rPr>
            </w:pPr>
            <w:r>
              <w:rPr>
                <w:rFonts w:hint="eastAsia" w:cs="宋体"/>
                <w:color w:val="auto"/>
                <w:sz w:val="24"/>
                <w:szCs w:val="24"/>
              </w:rPr>
              <w:t>/</w:t>
            </w:r>
          </w:p>
        </w:tc>
        <w:tc>
          <w:tcPr>
            <w:tcW w:w="1269" w:type="dxa"/>
            <w:vAlign w:val="center"/>
          </w:tcPr>
          <w:p>
            <w:pPr>
              <w:adjustRightInd w:val="0"/>
              <w:snapToGrid w:val="0"/>
              <w:jc w:val="center"/>
              <w:rPr>
                <w:rFonts w:cs="宋体"/>
                <w:color w:val="auto"/>
                <w:sz w:val="24"/>
                <w:szCs w:val="24"/>
              </w:rPr>
            </w:pPr>
            <w:r>
              <w:rPr>
                <w:rFonts w:hint="eastAsia" w:cs="宋体"/>
                <w:color w:val="auto"/>
                <w:sz w:val="24"/>
                <w:szCs w:val="24"/>
              </w:rPr>
              <w:t>/</w:t>
            </w:r>
          </w:p>
        </w:tc>
        <w:tc>
          <w:tcPr>
            <w:tcW w:w="1687" w:type="dxa"/>
            <w:vAlign w:val="center"/>
          </w:tcPr>
          <w:p>
            <w:pPr>
              <w:adjustRightInd w:val="0"/>
              <w:snapToGrid w:val="0"/>
              <w:jc w:val="center"/>
              <w:rPr>
                <w:rFonts w:cs="宋体"/>
                <w:color w:val="auto"/>
                <w:sz w:val="24"/>
                <w:szCs w:val="24"/>
              </w:rPr>
            </w:pPr>
            <w:r>
              <w:rPr>
                <w:rFonts w:hint="eastAsia" w:cs="宋体"/>
                <w:color w:val="auto"/>
                <w:sz w:val="24"/>
                <w:szCs w:val="24"/>
              </w:rPr>
              <w:t>/</w:t>
            </w:r>
          </w:p>
        </w:tc>
        <w:tc>
          <w:tcPr>
            <w:tcW w:w="2516" w:type="dxa"/>
            <w:vAlign w:val="center"/>
          </w:tcPr>
          <w:p>
            <w:pPr>
              <w:adjustRightInd w:val="0"/>
              <w:snapToGrid w:val="0"/>
              <w:jc w:val="center"/>
              <w:rPr>
                <w:rFonts w:cs="宋体"/>
                <w:color w:val="auto"/>
                <w:sz w:val="24"/>
                <w:szCs w:val="24"/>
              </w:rPr>
            </w:pPr>
            <w:r>
              <w:rPr>
                <w:rFonts w:hint="eastAsia"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264" w:type="dxa"/>
            <w:vAlign w:val="center"/>
          </w:tcPr>
          <w:p>
            <w:pPr>
              <w:adjustRightInd w:val="0"/>
              <w:snapToGrid w:val="0"/>
              <w:jc w:val="center"/>
              <w:rPr>
                <w:rFonts w:cs="宋体"/>
                <w:color w:val="auto"/>
                <w:sz w:val="24"/>
                <w:szCs w:val="24"/>
              </w:rPr>
            </w:pPr>
            <w:r>
              <w:rPr>
                <w:rFonts w:hint="eastAsia" w:cs="宋体"/>
                <w:color w:val="auto"/>
                <w:sz w:val="24"/>
                <w:szCs w:val="24"/>
              </w:rPr>
              <w:t>固体废物</w:t>
            </w:r>
          </w:p>
        </w:tc>
        <w:tc>
          <w:tcPr>
            <w:tcW w:w="7536" w:type="dxa"/>
            <w:gridSpan w:val="5"/>
            <w:vAlign w:val="center"/>
          </w:tcPr>
          <w:p>
            <w:pPr>
              <w:adjustRightInd w:val="0"/>
              <w:snapToGrid w:val="0"/>
              <w:ind w:firstLine="480" w:firstLineChars="200"/>
              <w:rPr>
                <w:rFonts w:cs="宋体"/>
                <w:color w:val="auto"/>
                <w:sz w:val="24"/>
                <w:szCs w:val="24"/>
              </w:rPr>
            </w:pPr>
            <w:r>
              <w:rPr>
                <w:rFonts w:hint="eastAsia" w:cs="宋体"/>
                <w:color w:val="auto"/>
                <w:sz w:val="24"/>
                <w:szCs w:val="24"/>
                <w:lang w:val="en-US" w:eastAsia="zh-CN"/>
              </w:rPr>
              <w:t>技改项目</w:t>
            </w:r>
            <w:r>
              <w:rPr>
                <w:rFonts w:hint="eastAsia" w:cs="宋体"/>
                <w:color w:val="auto"/>
                <w:sz w:val="24"/>
                <w:szCs w:val="24"/>
              </w:rPr>
              <w:t>运营过程产生的生活垃圾环卫清运，危险废物委托有资质单位进行处置。</w:t>
            </w:r>
            <w:r>
              <w:rPr>
                <w:color w:val="auto"/>
                <w:sz w:val="24"/>
                <w:szCs w:val="24"/>
              </w:rPr>
              <w:t>固体废物实现零排放。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1264" w:type="dxa"/>
            <w:vAlign w:val="center"/>
          </w:tcPr>
          <w:p>
            <w:pPr>
              <w:adjustRightInd w:val="0"/>
              <w:snapToGrid w:val="0"/>
              <w:jc w:val="center"/>
              <w:rPr>
                <w:rFonts w:cs="宋体"/>
                <w:color w:val="auto"/>
                <w:sz w:val="24"/>
                <w:szCs w:val="24"/>
              </w:rPr>
            </w:pPr>
            <w:r>
              <w:rPr>
                <w:rFonts w:hint="eastAsia" w:cs="宋体"/>
                <w:color w:val="auto"/>
                <w:sz w:val="24"/>
                <w:szCs w:val="24"/>
              </w:rPr>
              <w:t>土壤及地下水污染防治措施</w:t>
            </w:r>
          </w:p>
        </w:tc>
        <w:tc>
          <w:tcPr>
            <w:tcW w:w="7536" w:type="dxa"/>
            <w:gridSpan w:val="5"/>
            <w:vAlign w:val="center"/>
          </w:tcPr>
          <w:p>
            <w:pPr>
              <w:adjustRightInd w:val="0"/>
              <w:snapToGrid w:val="0"/>
              <w:ind w:firstLine="480" w:firstLineChars="200"/>
              <w:rPr>
                <w:rFonts w:cs="宋体"/>
                <w:color w:val="auto"/>
                <w:sz w:val="24"/>
                <w:szCs w:val="24"/>
              </w:rPr>
            </w:pPr>
            <w:r>
              <w:rPr>
                <w:rFonts w:hint="eastAsia" w:cs="宋体"/>
                <w:color w:val="auto"/>
                <w:sz w:val="24"/>
                <w:szCs w:val="24"/>
              </w:rPr>
              <w:t>根据该建设项目污染源的特点，采取如下的土壤和地下水污染防治措施：</w:t>
            </w:r>
          </w:p>
          <w:p>
            <w:pPr>
              <w:adjustRightInd w:val="0"/>
              <w:snapToGrid w:val="0"/>
              <w:ind w:firstLine="480" w:firstLineChars="200"/>
              <w:rPr>
                <w:rFonts w:cs="宋体"/>
                <w:color w:val="auto"/>
                <w:sz w:val="24"/>
                <w:szCs w:val="24"/>
              </w:rPr>
            </w:pPr>
            <w:r>
              <w:rPr>
                <w:rFonts w:hint="eastAsia" w:cs="宋体"/>
                <w:color w:val="auto"/>
                <w:sz w:val="24"/>
                <w:szCs w:val="24"/>
              </w:rPr>
              <w:t>①在厂区内分别建立雨、污收集管网，实行雨污分流制。</w:t>
            </w:r>
          </w:p>
          <w:p>
            <w:pPr>
              <w:adjustRightInd w:val="0"/>
              <w:snapToGrid w:val="0"/>
              <w:ind w:firstLine="480" w:firstLineChars="200"/>
              <w:rPr>
                <w:rFonts w:cs="宋体"/>
                <w:color w:val="auto"/>
                <w:sz w:val="24"/>
                <w:szCs w:val="24"/>
              </w:rPr>
            </w:pPr>
            <w:r>
              <w:rPr>
                <w:rFonts w:hint="eastAsia" w:cs="宋体"/>
                <w:color w:val="auto"/>
                <w:sz w:val="24"/>
                <w:szCs w:val="24"/>
              </w:rPr>
              <w:t>②厂区要采取综合防渗措施，防止污染物下渗。本项目车间为一般防渗区，原料仓库、危废仓库、涂覆区和事故应急池为重点污染防渗区，企业根据重点防渗要求落实到位；除重点、一般防渗区的其余辅助区域为简单防渗区。</w:t>
            </w:r>
          </w:p>
          <w:p>
            <w:pPr>
              <w:adjustRightInd w:val="0"/>
              <w:snapToGrid w:val="0"/>
              <w:ind w:firstLine="480" w:firstLineChars="200"/>
              <w:rPr>
                <w:rFonts w:cs="宋体"/>
                <w:color w:val="auto"/>
                <w:sz w:val="24"/>
                <w:szCs w:val="24"/>
              </w:rPr>
            </w:pPr>
            <w:r>
              <w:rPr>
                <w:rFonts w:hint="eastAsia" w:cs="宋体"/>
                <w:color w:val="auto"/>
                <w:sz w:val="24"/>
                <w:szCs w:val="24"/>
              </w:rPr>
              <w:t>通过上述措施，可大大减少污染物进入土壤及地下水的可能性。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4" w:type="dxa"/>
            <w:vAlign w:val="center"/>
          </w:tcPr>
          <w:p>
            <w:pPr>
              <w:adjustRightInd w:val="0"/>
              <w:snapToGrid w:val="0"/>
              <w:jc w:val="center"/>
              <w:rPr>
                <w:rFonts w:cs="宋体"/>
                <w:color w:val="auto"/>
                <w:sz w:val="24"/>
                <w:szCs w:val="24"/>
              </w:rPr>
            </w:pPr>
            <w:r>
              <w:rPr>
                <w:rFonts w:hint="eastAsia" w:cs="宋体"/>
                <w:color w:val="auto"/>
                <w:sz w:val="24"/>
                <w:szCs w:val="24"/>
              </w:rPr>
              <w:t>生态保护措施</w:t>
            </w:r>
          </w:p>
        </w:tc>
        <w:tc>
          <w:tcPr>
            <w:tcW w:w="7536" w:type="dxa"/>
            <w:gridSpan w:val="5"/>
            <w:vAlign w:val="center"/>
          </w:tcPr>
          <w:p>
            <w:pPr>
              <w:adjustRightInd w:val="0"/>
              <w:snapToGrid w:val="0"/>
              <w:jc w:val="center"/>
              <w:rPr>
                <w:rFonts w:cs="宋体"/>
                <w:color w:val="auto"/>
                <w:sz w:val="24"/>
                <w:szCs w:val="24"/>
              </w:rPr>
            </w:pPr>
            <w:r>
              <w:rPr>
                <w:rFonts w:hint="eastAsia"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7" w:hRule="atLeast"/>
          <w:jc w:val="center"/>
        </w:trPr>
        <w:tc>
          <w:tcPr>
            <w:tcW w:w="1264" w:type="dxa"/>
            <w:vAlign w:val="center"/>
          </w:tcPr>
          <w:p>
            <w:pPr>
              <w:adjustRightInd w:val="0"/>
              <w:snapToGrid w:val="0"/>
              <w:jc w:val="center"/>
              <w:rPr>
                <w:rFonts w:cs="宋体"/>
                <w:color w:val="auto"/>
                <w:spacing w:val="-8"/>
                <w:sz w:val="24"/>
                <w:szCs w:val="24"/>
              </w:rPr>
            </w:pPr>
            <w:r>
              <w:rPr>
                <w:rFonts w:hint="eastAsia" w:cs="宋体"/>
                <w:color w:val="auto"/>
                <w:spacing w:val="-8"/>
                <w:sz w:val="24"/>
                <w:szCs w:val="24"/>
              </w:rPr>
              <w:t>环境风险</w:t>
            </w:r>
          </w:p>
          <w:p>
            <w:pPr>
              <w:adjustRightInd w:val="0"/>
              <w:snapToGrid w:val="0"/>
              <w:jc w:val="center"/>
              <w:rPr>
                <w:rFonts w:cs="宋体"/>
                <w:color w:val="auto"/>
                <w:spacing w:val="-8"/>
                <w:sz w:val="24"/>
                <w:szCs w:val="24"/>
              </w:rPr>
            </w:pPr>
            <w:r>
              <w:rPr>
                <w:rFonts w:hint="eastAsia" w:cs="宋体"/>
                <w:color w:val="auto"/>
                <w:spacing w:val="-8"/>
                <w:sz w:val="24"/>
                <w:szCs w:val="24"/>
              </w:rPr>
              <w:t>防范措施</w:t>
            </w:r>
          </w:p>
        </w:tc>
        <w:tc>
          <w:tcPr>
            <w:tcW w:w="7536" w:type="dxa"/>
            <w:gridSpan w:val="5"/>
            <w:vAlign w:val="center"/>
          </w:tcPr>
          <w:p>
            <w:pPr>
              <w:adjustRightInd w:val="0"/>
              <w:snapToGrid w:val="0"/>
              <w:ind w:firstLine="480" w:firstLineChars="200"/>
              <w:rPr>
                <w:color w:val="auto"/>
                <w:sz w:val="24"/>
                <w:szCs w:val="24"/>
              </w:rPr>
            </w:pPr>
            <w:r>
              <w:rPr>
                <w:rFonts w:hint="eastAsia"/>
                <w:color w:val="auto"/>
                <w:sz w:val="24"/>
                <w:szCs w:val="24"/>
              </w:rPr>
              <w:t>①生产车间及仓库设置监控，杜绝明火；危废仓库采取防渗措施，四周设置导流槽和收集池；</w:t>
            </w:r>
          </w:p>
          <w:p>
            <w:pPr>
              <w:adjustRightInd w:val="0"/>
              <w:snapToGrid w:val="0"/>
              <w:ind w:firstLine="480" w:firstLineChars="200"/>
              <w:rPr>
                <w:color w:val="auto"/>
                <w:sz w:val="24"/>
                <w:szCs w:val="24"/>
              </w:rPr>
            </w:pPr>
            <w:r>
              <w:rPr>
                <w:rFonts w:hint="eastAsia"/>
                <w:color w:val="auto"/>
                <w:sz w:val="24"/>
                <w:szCs w:val="24"/>
              </w:rPr>
              <w:t>②为了防止偶然火灾事故造成重大人身伤亡和设备损失，设计有完整、高效的消防报警系统，整个系统包括烟感系统、应急疏散系统、室内外消防装置系统、排烟系统和应急照明及疏散指示系统。</w:t>
            </w:r>
          </w:p>
          <w:p>
            <w:pPr>
              <w:adjustRightInd w:val="0"/>
              <w:snapToGrid w:val="0"/>
              <w:ind w:firstLine="480" w:firstLineChars="200"/>
              <w:rPr>
                <w:color w:val="auto"/>
                <w:sz w:val="24"/>
                <w:szCs w:val="24"/>
              </w:rPr>
            </w:pPr>
            <w:r>
              <w:rPr>
                <w:rFonts w:hint="eastAsia"/>
                <w:color w:val="auto"/>
                <w:sz w:val="24"/>
                <w:szCs w:val="24"/>
              </w:rPr>
              <w:t>③厂内粘贴禁止烟火的标志牌，并配置一定数量的灭火器等消防器材、应急救援物资，便于紧急情况下使用。</w:t>
            </w:r>
          </w:p>
          <w:p>
            <w:pPr>
              <w:adjustRightInd w:val="0"/>
              <w:snapToGrid w:val="0"/>
              <w:ind w:firstLine="480" w:firstLineChars="200"/>
              <w:rPr>
                <w:rFonts w:cs="宋体"/>
                <w:color w:val="auto"/>
                <w:sz w:val="24"/>
                <w:szCs w:val="24"/>
              </w:rPr>
            </w:pPr>
            <w:r>
              <w:rPr>
                <w:rFonts w:hint="eastAsia"/>
                <w:color w:val="auto"/>
                <w:sz w:val="24"/>
                <w:szCs w:val="24"/>
              </w:rPr>
              <w:t>④健全雨、污管网系统，在雨水、排水管网的总出口前端设置雨、污切换阀门，发生泄漏和火灾事故产生消防废水后，及时关闭雨水阀门同时打开事故池阀门，保证事故后废水能及时排入事故池，防止有毒物质和消防废水通过雨水管网排入外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64" w:type="dxa"/>
            <w:vAlign w:val="center"/>
          </w:tcPr>
          <w:p>
            <w:pPr>
              <w:adjustRightInd w:val="0"/>
              <w:snapToGrid w:val="0"/>
              <w:jc w:val="center"/>
              <w:rPr>
                <w:rFonts w:cs="宋体"/>
                <w:color w:val="auto"/>
                <w:spacing w:val="-8"/>
                <w:sz w:val="24"/>
                <w:szCs w:val="24"/>
              </w:rPr>
            </w:pPr>
            <w:r>
              <w:rPr>
                <w:rFonts w:hint="eastAsia" w:cs="宋体"/>
                <w:color w:val="auto"/>
                <w:spacing w:val="-8"/>
                <w:sz w:val="24"/>
                <w:szCs w:val="24"/>
              </w:rPr>
              <w:t>其他环境</w:t>
            </w:r>
          </w:p>
          <w:p>
            <w:pPr>
              <w:adjustRightInd w:val="0"/>
              <w:snapToGrid w:val="0"/>
              <w:jc w:val="center"/>
              <w:rPr>
                <w:rFonts w:cs="宋体"/>
                <w:color w:val="auto"/>
                <w:spacing w:val="-8"/>
                <w:sz w:val="24"/>
                <w:szCs w:val="24"/>
              </w:rPr>
            </w:pPr>
            <w:r>
              <w:rPr>
                <w:rFonts w:hint="eastAsia" w:cs="宋体"/>
                <w:color w:val="auto"/>
                <w:spacing w:val="-8"/>
                <w:sz w:val="24"/>
                <w:szCs w:val="24"/>
              </w:rPr>
              <w:t>管理要求</w:t>
            </w:r>
          </w:p>
        </w:tc>
        <w:tc>
          <w:tcPr>
            <w:tcW w:w="7536" w:type="dxa"/>
            <w:gridSpan w:val="5"/>
            <w:vAlign w:val="center"/>
          </w:tcPr>
          <w:p>
            <w:pPr>
              <w:adjustRightInd w:val="0"/>
              <w:snapToGrid w:val="0"/>
              <w:ind w:firstLine="480" w:firstLineChars="200"/>
              <w:jc w:val="left"/>
              <w:rPr>
                <w:rFonts w:cs="宋体"/>
                <w:color w:val="auto"/>
                <w:sz w:val="24"/>
                <w:szCs w:val="24"/>
              </w:rPr>
            </w:pPr>
            <w:r>
              <w:rPr>
                <w:rFonts w:hint="eastAsia" w:cs="宋体"/>
                <w:color w:val="auto"/>
                <w:sz w:val="24"/>
                <w:szCs w:val="24"/>
              </w:rPr>
              <w:t>1、配备专职环保人员，做好环保台账记录，台账保存不少于5年。</w:t>
            </w:r>
          </w:p>
          <w:p>
            <w:pPr>
              <w:adjustRightInd w:val="0"/>
              <w:snapToGrid w:val="0"/>
              <w:ind w:firstLine="480" w:firstLineChars="200"/>
              <w:jc w:val="left"/>
              <w:rPr>
                <w:rFonts w:cs="宋体"/>
                <w:color w:val="auto"/>
                <w:sz w:val="24"/>
                <w:szCs w:val="24"/>
              </w:rPr>
            </w:pPr>
            <w:r>
              <w:rPr>
                <w:rFonts w:hint="eastAsia" w:cs="宋体"/>
                <w:color w:val="auto"/>
                <w:sz w:val="24"/>
                <w:szCs w:val="24"/>
              </w:rPr>
              <w:t>2、排污许可 根据《固定污染源排污许可分类管理名录（2019年版）》、《关于发布 2020年南通市重点排污单位名录的通知》(通环办[2020]23号)，本项目属于“二十九、通用设备制造业34</w:t>
            </w:r>
            <w:r>
              <w:rPr>
                <w:rFonts w:hint="eastAsia" w:cs="宋体"/>
                <w:color w:val="auto"/>
                <w:sz w:val="24"/>
                <w:szCs w:val="24"/>
                <w:lang w:val="en-US" w:eastAsia="zh-CN"/>
              </w:rPr>
              <w:t>中83通用零部件制造348中</w:t>
            </w:r>
            <w:r>
              <w:rPr>
                <w:rFonts w:hint="eastAsia" w:cs="宋体"/>
                <w:color w:val="auto"/>
                <w:sz w:val="24"/>
                <w:szCs w:val="24"/>
              </w:rPr>
              <w:t>其他 ”，属于登记管理，按照《排污许可管理办法》 （环境保护部令第48号）有关规定，在取得环境影响评价审批意见后，须及时向核发环保部门提出变更排污许可证的申请。</w:t>
            </w:r>
          </w:p>
          <w:p>
            <w:pPr>
              <w:adjustRightInd w:val="0"/>
              <w:snapToGrid w:val="0"/>
              <w:ind w:firstLine="480" w:firstLineChars="200"/>
              <w:jc w:val="left"/>
              <w:rPr>
                <w:rFonts w:cs="宋体"/>
                <w:color w:val="auto"/>
                <w:sz w:val="24"/>
                <w:szCs w:val="24"/>
              </w:rPr>
            </w:pPr>
            <w:r>
              <w:rPr>
                <w:rFonts w:hint="eastAsia" w:cs="宋体"/>
                <w:color w:val="auto"/>
                <w:sz w:val="24"/>
                <w:szCs w:val="24"/>
              </w:rPr>
              <w:t>3、建设单位将在厂区门口设置危废信息公开栏，设立危险废物进出入台账登记管理制度，危险废物的记录和货单保留五年。</w:t>
            </w:r>
          </w:p>
        </w:tc>
      </w:tr>
    </w:tbl>
    <w:p>
      <w:pPr>
        <w:pStyle w:val="16"/>
        <w:jc w:val="center"/>
        <w:outlineLvl w:val="0"/>
        <w:rPr>
          <w:rFonts w:hint="eastAsia"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utoSpaceDE w:val="0"/>
              <w:autoSpaceDN w:val="0"/>
              <w:adjustRightInd w:val="0"/>
              <w:snapToGrid w:val="0"/>
              <w:spacing w:line="360" w:lineRule="auto"/>
              <w:ind w:firstLine="482"/>
              <w:rPr>
                <w:color w:val="auto"/>
                <w:sz w:val="24"/>
              </w:rPr>
            </w:pPr>
            <w:r>
              <w:rPr>
                <w:color w:val="auto"/>
                <w:sz w:val="24"/>
              </w:rPr>
              <w:t>建设单位要严格执行环保各项规定，建设项目的污染防治措施必须实行“三同时”原则，即与主体工程同时设计、同时施工、同时投产使用，并认真做好上述环保措施，实现各类污染物的达标排放，从环保角度考虑本项目是可行的。</w:t>
            </w:r>
          </w:p>
          <w:p>
            <w:pPr>
              <w:autoSpaceDE w:val="0"/>
              <w:autoSpaceDN w:val="0"/>
              <w:adjustRightInd w:val="0"/>
              <w:snapToGrid w:val="0"/>
              <w:spacing w:line="360" w:lineRule="auto"/>
              <w:ind w:firstLine="482"/>
              <w:rPr>
                <w:color w:val="auto"/>
                <w:sz w:val="24"/>
              </w:rPr>
            </w:pPr>
          </w:p>
          <w:p>
            <w:pPr>
              <w:spacing w:line="360" w:lineRule="auto"/>
              <w:rPr>
                <w:rFonts w:ascii="宋体" w:cs="宋体"/>
                <w:color w:val="auto"/>
                <w:sz w:val="24"/>
              </w:rPr>
            </w:pPr>
          </w:p>
        </w:tc>
      </w:tr>
    </w:tbl>
    <w:p>
      <w:pPr>
        <w:rPr>
          <w:rFonts w:ascii="宋体"/>
          <w:color w:val="auto"/>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0" w:num="1"/>
          <w:docGrid w:linePitch="312" w:charSpace="0"/>
        </w:sectPr>
      </w:pPr>
    </w:p>
    <w:p>
      <w:pPr>
        <w:spacing w:line="360" w:lineRule="auto"/>
        <w:rPr>
          <w:b/>
          <w:bCs/>
          <w:color w:val="auto"/>
          <w:sz w:val="22"/>
          <w:szCs w:val="28"/>
        </w:rPr>
      </w:pPr>
      <w:r>
        <w:rPr>
          <w:rFonts w:hint="eastAsia"/>
          <w:b/>
          <w:bCs/>
          <w:color w:val="auto"/>
          <w:sz w:val="22"/>
          <w:szCs w:val="28"/>
        </w:rPr>
        <w:t>附表</w:t>
      </w:r>
    </w:p>
    <w:p>
      <w:pPr>
        <w:spacing w:line="360" w:lineRule="auto"/>
        <w:jc w:val="center"/>
        <w:rPr>
          <w:b/>
          <w:bCs/>
          <w:color w:val="auto"/>
          <w:sz w:val="32"/>
          <w:szCs w:val="40"/>
        </w:rPr>
      </w:pPr>
      <w:r>
        <w:rPr>
          <w:rFonts w:hint="eastAsia"/>
          <w:b/>
          <w:bCs/>
          <w:color w:val="auto"/>
          <w:sz w:val="32"/>
          <w:szCs w:val="40"/>
        </w:rPr>
        <w:t>建设项目污染物排放量汇总表</w:t>
      </w:r>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020"/>
        <w:gridCol w:w="719"/>
        <w:gridCol w:w="936"/>
        <w:gridCol w:w="1500"/>
        <w:gridCol w:w="1268"/>
        <w:gridCol w:w="1340"/>
        <w:gridCol w:w="1559"/>
        <w:gridCol w:w="1504"/>
        <w:gridCol w:w="1664"/>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tcBorders>
              <w:tl2br w:val="single" w:color="auto" w:sz="4" w:space="0"/>
            </w:tcBorders>
            <w:tcMar>
              <w:left w:w="28" w:type="dxa"/>
              <w:right w:w="28" w:type="dxa"/>
            </w:tcMar>
            <w:vAlign w:val="center"/>
          </w:tcPr>
          <w:p>
            <w:pPr>
              <w:pStyle w:val="27"/>
              <w:spacing w:beforeLines="0" w:afterLines="0" w:line="240" w:lineRule="auto"/>
              <w:jc w:val="right"/>
              <w:rPr>
                <w:rFonts w:ascii="Times New Roman"/>
                <w:b/>
                <w:bCs/>
                <w:snapToGrid w:val="0"/>
                <w:color w:val="auto"/>
                <w:spacing w:val="-6"/>
                <w:kern w:val="21"/>
                <w:sz w:val="24"/>
                <w:szCs w:val="24"/>
                <w:lang w:bidi="en-US"/>
              </w:rPr>
            </w:pPr>
            <w:r>
              <w:rPr>
                <w:rFonts w:ascii="Times New Roman"/>
                <w:b/>
                <w:bCs/>
                <w:snapToGrid w:val="0"/>
                <w:color w:val="auto"/>
                <w:spacing w:val="-6"/>
                <w:kern w:val="21"/>
                <w:sz w:val="24"/>
                <w:szCs w:val="24"/>
                <w:lang w:bidi="en-US"/>
              </w:rPr>
              <w:t>项目</w:t>
            </w:r>
          </w:p>
          <w:p>
            <w:pPr>
              <w:pStyle w:val="27"/>
              <w:spacing w:beforeLines="0" w:afterLines="0" w:line="240" w:lineRule="auto"/>
              <w:jc w:val="left"/>
              <w:rPr>
                <w:rFonts w:ascii="Times New Roman"/>
                <w:b/>
                <w:bCs/>
                <w:snapToGrid w:val="0"/>
                <w:color w:val="auto"/>
                <w:spacing w:val="-6"/>
                <w:kern w:val="21"/>
                <w:sz w:val="24"/>
                <w:szCs w:val="24"/>
                <w:lang w:bidi="en-US"/>
              </w:rPr>
            </w:pPr>
            <w:r>
              <w:rPr>
                <w:rFonts w:ascii="Times New Roman"/>
                <w:b/>
                <w:bCs/>
                <w:snapToGrid w:val="0"/>
                <w:color w:val="auto"/>
                <w:spacing w:val="-6"/>
                <w:kern w:val="21"/>
                <w:sz w:val="24"/>
                <w:szCs w:val="24"/>
                <w:lang w:bidi="en-US"/>
              </w:rPr>
              <w:t>分类</w:t>
            </w:r>
          </w:p>
        </w:tc>
        <w:tc>
          <w:tcPr>
            <w:tcW w:w="2675" w:type="dxa"/>
            <w:gridSpan w:val="3"/>
            <w:tcMar>
              <w:left w:w="28" w:type="dxa"/>
              <w:right w:w="28" w:type="dxa"/>
            </w:tcMar>
            <w:vAlign w:val="center"/>
          </w:tcPr>
          <w:p>
            <w:pPr>
              <w:pStyle w:val="27"/>
              <w:spacing w:beforeLines="0" w:afterLines="0" w:line="240" w:lineRule="auto"/>
              <w:jc w:val="center"/>
              <w:rPr>
                <w:rFonts w:ascii="Times New Roman"/>
                <w:b/>
                <w:bCs/>
                <w:snapToGrid w:val="0"/>
                <w:color w:val="auto"/>
                <w:spacing w:val="-6"/>
                <w:kern w:val="21"/>
                <w:sz w:val="24"/>
                <w:szCs w:val="24"/>
                <w:lang w:bidi="en-US"/>
              </w:rPr>
            </w:pPr>
            <w:r>
              <w:rPr>
                <w:rFonts w:ascii="Times New Roman"/>
                <w:b/>
                <w:bCs/>
                <w:snapToGrid w:val="0"/>
                <w:color w:val="auto"/>
                <w:spacing w:val="-6"/>
                <w:kern w:val="21"/>
                <w:sz w:val="24"/>
                <w:szCs w:val="24"/>
                <w:lang w:bidi="en-US"/>
              </w:rPr>
              <w:t>污染物名称</w:t>
            </w:r>
          </w:p>
        </w:tc>
        <w:tc>
          <w:tcPr>
            <w:tcW w:w="1500" w:type="dxa"/>
            <w:tcMar>
              <w:left w:w="28" w:type="dxa"/>
              <w:right w:w="28" w:type="dxa"/>
            </w:tcMar>
            <w:vAlign w:val="center"/>
          </w:tcPr>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现有工程</w:t>
            </w:r>
          </w:p>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排放量（固体废物产生量）</w:t>
            </w:r>
            <w:r>
              <w:rPr>
                <w:rFonts w:ascii="Times New Roman"/>
                <w:b/>
                <w:bCs/>
                <w:snapToGrid w:val="0"/>
                <w:color w:val="auto"/>
                <w:spacing w:val="-6"/>
                <w:kern w:val="21"/>
                <w:sz w:val="24"/>
                <w:szCs w:val="24"/>
                <w:lang w:bidi="en-US"/>
              </w:rPr>
              <w:fldChar w:fldCharType="begin"/>
            </w:r>
            <w:r>
              <w:rPr>
                <w:rFonts w:ascii="Times New Roman"/>
                <w:b/>
                <w:bCs/>
                <w:snapToGrid w:val="0"/>
                <w:color w:val="auto"/>
                <w:spacing w:val="-6"/>
                <w:kern w:val="21"/>
                <w:sz w:val="24"/>
                <w:szCs w:val="24"/>
                <w:lang w:eastAsia="zh-CN" w:bidi="en-US"/>
              </w:rPr>
              <w:instrText xml:space="preserve"> = 1 \* GB3 \* MERGEFORMAT </w:instrText>
            </w:r>
            <w:r>
              <w:rPr>
                <w:rFonts w:ascii="Times New Roman"/>
                <w:b/>
                <w:bCs/>
                <w:snapToGrid w:val="0"/>
                <w:color w:val="auto"/>
                <w:spacing w:val="-6"/>
                <w:kern w:val="21"/>
                <w:sz w:val="24"/>
                <w:szCs w:val="24"/>
                <w:lang w:bidi="en-US"/>
              </w:rPr>
              <w:fldChar w:fldCharType="separate"/>
            </w:r>
            <w:r>
              <w:rPr>
                <w:rFonts w:ascii="Times New Roman"/>
                <w:b/>
                <w:bCs/>
                <w:color w:val="auto"/>
                <w:kern w:val="2"/>
                <w:sz w:val="24"/>
                <w:szCs w:val="24"/>
                <w:lang w:eastAsia="zh-CN" w:bidi="en-US"/>
              </w:rPr>
              <w:t>①</w:t>
            </w:r>
            <w:r>
              <w:rPr>
                <w:rFonts w:ascii="Times New Roman"/>
                <w:b/>
                <w:bCs/>
                <w:snapToGrid w:val="0"/>
                <w:color w:val="auto"/>
                <w:spacing w:val="-6"/>
                <w:kern w:val="21"/>
                <w:sz w:val="24"/>
                <w:szCs w:val="24"/>
                <w:lang w:bidi="en-US"/>
              </w:rPr>
              <w:fldChar w:fldCharType="end"/>
            </w:r>
          </w:p>
        </w:tc>
        <w:tc>
          <w:tcPr>
            <w:tcW w:w="1268" w:type="dxa"/>
            <w:tcMar>
              <w:left w:w="28" w:type="dxa"/>
              <w:right w:w="28" w:type="dxa"/>
            </w:tcMar>
            <w:vAlign w:val="center"/>
          </w:tcPr>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现有工程</w:t>
            </w:r>
          </w:p>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许可排放量</w:t>
            </w:r>
          </w:p>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bidi="en-US"/>
              </w:rPr>
              <w:fldChar w:fldCharType="begin"/>
            </w:r>
            <w:r>
              <w:rPr>
                <w:rFonts w:ascii="Times New Roman"/>
                <w:b/>
                <w:bCs/>
                <w:snapToGrid w:val="0"/>
                <w:color w:val="auto"/>
                <w:spacing w:val="-6"/>
                <w:kern w:val="21"/>
                <w:sz w:val="24"/>
                <w:szCs w:val="24"/>
                <w:lang w:eastAsia="zh-CN" w:bidi="en-US"/>
              </w:rPr>
              <w:instrText xml:space="preserve"> = 2 \* GB3 \* MERGEFORMAT </w:instrText>
            </w:r>
            <w:r>
              <w:rPr>
                <w:rFonts w:ascii="Times New Roman"/>
                <w:b/>
                <w:bCs/>
                <w:snapToGrid w:val="0"/>
                <w:color w:val="auto"/>
                <w:spacing w:val="-6"/>
                <w:kern w:val="21"/>
                <w:sz w:val="24"/>
                <w:szCs w:val="24"/>
                <w:lang w:bidi="en-US"/>
              </w:rPr>
              <w:fldChar w:fldCharType="separate"/>
            </w:r>
            <w:r>
              <w:rPr>
                <w:rFonts w:ascii="Times New Roman"/>
                <w:b/>
                <w:bCs/>
                <w:snapToGrid w:val="0"/>
                <w:color w:val="auto"/>
                <w:spacing w:val="-6"/>
                <w:kern w:val="21"/>
                <w:sz w:val="24"/>
                <w:szCs w:val="24"/>
                <w:lang w:eastAsia="zh-CN" w:bidi="en-US"/>
              </w:rPr>
              <w:t>②</w:t>
            </w:r>
            <w:r>
              <w:rPr>
                <w:rFonts w:ascii="Times New Roman"/>
                <w:b/>
                <w:bCs/>
                <w:snapToGrid w:val="0"/>
                <w:color w:val="auto"/>
                <w:spacing w:val="-6"/>
                <w:kern w:val="21"/>
                <w:sz w:val="24"/>
                <w:szCs w:val="24"/>
                <w:lang w:bidi="en-US"/>
              </w:rPr>
              <w:fldChar w:fldCharType="end"/>
            </w:r>
          </w:p>
        </w:tc>
        <w:tc>
          <w:tcPr>
            <w:tcW w:w="1340" w:type="dxa"/>
            <w:tcMar>
              <w:left w:w="28" w:type="dxa"/>
              <w:right w:w="28" w:type="dxa"/>
            </w:tcMar>
            <w:vAlign w:val="center"/>
          </w:tcPr>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在建工程</w:t>
            </w:r>
          </w:p>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排放量（固体废物产生量）</w:t>
            </w:r>
            <w:r>
              <w:rPr>
                <w:rFonts w:ascii="Times New Roman"/>
                <w:b/>
                <w:bCs/>
                <w:snapToGrid w:val="0"/>
                <w:color w:val="auto"/>
                <w:spacing w:val="-6"/>
                <w:kern w:val="21"/>
                <w:sz w:val="24"/>
                <w:szCs w:val="24"/>
                <w:lang w:bidi="en-US"/>
              </w:rPr>
              <w:fldChar w:fldCharType="begin"/>
            </w:r>
            <w:r>
              <w:rPr>
                <w:rFonts w:ascii="Times New Roman"/>
                <w:b/>
                <w:bCs/>
                <w:snapToGrid w:val="0"/>
                <w:color w:val="auto"/>
                <w:spacing w:val="-6"/>
                <w:kern w:val="21"/>
                <w:sz w:val="24"/>
                <w:szCs w:val="24"/>
                <w:lang w:eastAsia="zh-CN" w:bidi="en-US"/>
              </w:rPr>
              <w:instrText xml:space="preserve"> = 3 \* GB3 \* MERGEFORMAT </w:instrText>
            </w:r>
            <w:r>
              <w:rPr>
                <w:rFonts w:ascii="Times New Roman"/>
                <w:b/>
                <w:bCs/>
                <w:snapToGrid w:val="0"/>
                <w:color w:val="auto"/>
                <w:spacing w:val="-6"/>
                <w:kern w:val="21"/>
                <w:sz w:val="24"/>
                <w:szCs w:val="24"/>
                <w:lang w:bidi="en-US"/>
              </w:rPr>
              <w:fldChar w:fldCharType="separate"/>
            </w:r>
            <w:r>
              <w:rPr>
                <w:rFonts w:ascii="Times New Roman"/>
                <w:b/>
                <w:bCs/>
                <w:color w:val="auto"/>
                <w:kern w:val="2"/>
                <w:sz w:val="24"/>
                <w:szCs w:val="24"/>
                <w:lang w:eastAsia="zh-CN" w:bidi="en-US"/>
              </w:rPr>
              <w:t>③</w:t>
            </w:r>
            <w:r>
              <w:rPr>
                <w:rFonts w:ascii="Times New Roman"/>
                <w:b/>
                <w:bCs/>
                <w:snapToGrid w:val="0"/>
                <w:color w:val="auto"/>
                <w:spacing w:val="-6"/>
                <w:kern w:val="21"/>
                <w:sz w:val="24"/>
                <w:szCs w:val="24"/>
                <w:lang w:bidi="en-US"/>
              </w:rPr>
              <w:fldChar w:fldCharType="end"/>
            </w:r>
          </w:p>
        </w:tc>
        <w:tc>
          <w:tcPr>
            <w:tcW w:w="1559" w:type="dxa"/>
            <w:tcMar>
              <w:left w:w="28" w:type="dxa"/>
              <w:right w:w="28" w:type="dxa"/>
            </w:tcMar>
            <w:vAlign w:val="center"/>
          </w:tcPr>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本项目</w:t>
            </w:r>
          </w:p>
          <w:p>
            <w:pPr>
              <w:pStyle w:val="27"/>
              <w:spacing w:beforeLines="0" w:afterLines="0" w:line="240" w:lineRule="auto"/>
              <w:jc w:val="center"/>
              <w:rPr>
                <w:rFonts w:ascii="Times New Roman"/>
                <w:b/>
                <w:bCs/>
                <w:snapToGrid w:val="0"/>
                <w:color w:val="auto"/>
                <w:spacing w:val="-6"/>
                <w:kern w:val="21"/>
                <w:sz w:val="24"/>
                <w:szCs w:val="24"/>
                <w:lang w:eastAsia="zh-CN" w:bidi="en-US"/>
              </w:rPr>
            </w:pPr>
            <w:r>
              <w:rPr>
                <w:rFonts w:ascii="Times New Roman"/>
                <w:b/>
                <w:bCs/>
                <w:snapToGrid w:val="0"/>
                <w:color w:val="auto"/>
                <w:spacing w:val="-6"/>
                <w:kern w:val="21"/>
                <w:sz w:val="24"/>
                <w:szCs w:val="24"/>
                <w:lang w:eastAsia="zh-CN" w:bidi="en-US"/>
              </w:rPr>
              <w:t>排放量（固体废物产生量）</w:t>
            </w:r>
            <w:r>
              <w:rPr>
                <w:rFonts w:ascii="Times New Roman"/>
                <w:b/>
                <w:bCs/>
                <w:snapToGrid w:val="0"/>
                <w:color w:val="auto"/>
                <w:spacing w:val="-6"/>
                <w:kern w:val="21"/>
                <w:sz w:val="24"/>
                <w:szCs w:val="24"/>
                <w:lang w:bidi="en-US"/>
              </w:rPr>
              <w:fldChar w:fldCharType="begin"/>
            </w:r>
            <w:r>
              <w:rPr>
                <w:rFonts w:ascii="Times New Roman"/>
                <w:b/>
                <w:bCs/>
                <w:snapToGrid w:val="0"/>
                <w:color w:val="auto"/>
                <w:spacing w:val="-6"/>
                <w:kern w:val="21"/>
                <w:sz w:val="24"/>
                <w:szCs w:val="24"/>
                <w:lang w:eastAsia="zh-CN" w:bidi="en-US"/>
              </w:rPr>
              <w:instrText xml:space="preserve"> = 4 \* GB3 \* MERGEFORMAT </w:instrText>
            </w:r>
            <w:r>
              <w:rPr>
                <w:rFonts w:ascii="Times New Roman"/>
                <w:b/>
                <w:bCs/>
                <w:snapToGrid w:val="0"/>
                <w:color w:val="auto"/>
                <w:spacing w:val="-6"/>
                <w:kern w:val="21"/>
                <w:sz w:val="24"/>
                <w:szCs w:val="24"/>
                <w:lang w:bidi="en-US"/>
              </w:rPr>
              <w:fldChar w:fldCharType="separate"/>
            </w:r>
            <w:r>
              <w:rPr>
                <w:rFonts w:ascii="Times New Roman"/>
                <w:b/>
                <w:bCs/>
                <w:color w:val="auto"/>
                <w:kern w:val="2"/>
                <w:sz w:val="24"/>
                <w:szCs w:val="24"/>
                <w:lang w:eastAsia="zh-CN" w:bidi="en-US"/>
              </w:rPr>
              <w:t>④</w:t>
            </w:r>
            <w:r>
              <w:rPr>
                <w:rFonts w:ascii="Times New Roman"/>
                <w:b/>
                <w:bCs/>
                <w:snapToGrid w:val="0"/>
                <w:color w:val="auto"/>
                <w:spacing w:val="-6"/>
                <w:kern w:val="21"/>
                <w:sz w:val="24"/>
                <w:szCs w:val="24"/>
                <w:lang w:bidi="en-US"/>
              </w:rPr>
              <w:fldChar w:fldCharType="end"/>
            </w:r>
          </w:p>
        </w:tc>
        <w:tc>
          <w:tcPr>
            <w:tcW w:w="1504" w:type="dxa"/>
            <w:tcMar>
              <w:left w:w="28" w:type="dxa"/>
              <w:right w:w="28" w:type="dxa"/>
            </w:tcMar>
            <w:vAlign w:val="center"/>
          </w:tcPr>
          <w:p>
            <w:pPr>
              <w:pStyle w:val="27"/>
              <w:spacing w:beforeLines="0" w:afterLines="0" w:line="240" w:lineRule="auto"/>
              <w:jc w:val="center"/>
              <w:rPr>
                <w:rFonts w:ascii="Times New Roman"/>
                <w:b/>
                <w:bCs/>
                <w:snapToGrid w:val="0"/>
                <w:color w:val="auto"/>
                <w:spacing w:val="-16"/>
                <w:kern w:val="21"/>
                <w:sz w:val="24"/>
                <w:szCs w:val="24"/>
                <w:lang w:eastAsia="zh-CN" w:bidi="en-US"/>
              </w:rPr>
            </w:pPr>
            <w:r>
              <w:rPr>
                <w:rFonts w:ascii="Times New Roman"/>
                <w:b/>
                <w:bCs/>
                <w:snapToGrid w:val="0"/>
                <w:color w:val="auto"/>
                <w:spacing w:val="-16"/>
                <w:kern w:val="21"/>
                <w:sz w:val="24"/>
                <w:szCs w:val="24"/>
                <w:lang w:eastAsia="zh-CN" w:bidi="en-US"/>
              </w:rPr>
              <w:t>以新带老削减量</w:t>
            </w:r>
          </w:p>
          <w:p>
            <w:pPr>
              <w:pStyle w:val="27"/>
              <w:spacing w:beforeLines="0" w:afterLines="0" w:line="240" w:lineRule="auto"/>
              <w:jc w:val="center"/>
              <w:rPr>
                <w:rFonts w:ascii="Times New Roman"/>
                <w:b/>
                <w:bCs/>
                <w:snapToGrid w:val="0"/>
                <w:color w:val="auto"/>
                <w:spacing w:val="-16"/>
                <w:kern w:val="21"/>
                <w:sz w:val="24"/>
                <w:szCs w:val="24"/>
                <w:lang w:eastAsia="zh-CN" w:bidi="en-US"/>
              </w:rPr>
            </w:pPr>
            <w:r>
              <w:rPr>
                <w:rFonts w:ascii="Times New Roman"/>
                <w:b/>
                <w:bCs/>
                <w:snapToGrid w:val="0"/>
                <w:color w:val="auto"/>
                <w:spacing w:val="-16"/>
                <w:kern w:val="21"/>
                <w:sz w:val="24"/>
                <w:szCs w:val="24"/>
                <w:lang w:eastAsia="zh-CN" w:bidi="en-US"/>
              </w:rPr>
              <w:t>（新建项目不填）</w:t>
            </w:r>
            <w:r>
              <w:rPr>
                <w:rFonts w:ascii="Times New Roman"/>
                <w:b/>
                <w:bCs/>
                <w:snapToGrid w:val="0"/>
                <w:color w:val="auto"/>
                <w:spacing w:val="-16"/>
                <w:kern w:val="21"/>
                <w:sz w:val="24"/>
                <w:szCs w:val="24"/>
                <w:lang w:bidi="en-US"/>
              </w:rPr>
              <w:fldChar w:fldCharType="begin"/>
            </w:r>
            <w:r>
              <w:rPr>
                <w:rFonts w:ascii="Times New Roman"/>
                <w:b/>
                <w:bCs/>
                <w:snapToGrid w:val="0"/>
                <w:color w:val="auto"/>
                <w:spacing w:val="-16"/>
                <w:kern w:val="21"/>
                <w:sz w:val="24"/>
                <w:szCs w:val="24"/>
                <w:lang w:eastAsia="zh-CN" w:bidi="en-US"/>
              </w:rPr>
              <w:instrText xml:space="preserve"> = 5 \* GB3 \* MERGEFORMAT </w:instrText>
            </w:r>
            <w:r>
              <w:rPr>
                <w:rFonts w:ascii="Times New Roman"/>
                <w:b/>
                <w:bCs/>
                <w:snapToGrid w:val="0"/>
                <w:color w:val="auto"/>
                <w:spacing w:val="-16"/>
                <w:kern w:val="21"/>
                <w:sz w:val="24"/>
                <w:szCs w:val="24"/>
                <w:lang w:bidi="en-US"/>
              </w:rPr>
              <w:fldChar w:fldCharType="separate"/>
            </w:r>
            <w:r>
              <w:rPr>
                <w:rFonts w:ascii="Times New Roman"/>
                <w:b/>
                <w:bCs/>
                <w:color w:val="auto"/>
                <w:kern w:val="2"/>
                <w:sz w:val="24"/>
                <w:szCs w:val="24"/>
                <w:lang w:eastAsia="zh-CN" w:bidi="en-US"/>
              </w:rPr>
              <w:t>⑤</w:t>
            </w:r>
            <w:r>
              <w:rPr>
                <w:rFonts w:ascii="Times New Roman"/>
                <w:b/>
                <w:bCs/>
                <w:snapToGrid w:val="0"/>
                <w:color w:val="auto"/>
                <w:spacing w:val="-16"/>
                <w:kern w:val="21"/>
                <w:sz w:val="24"/>
                <w:szCs w:val="24"/>
                <w:lang w:bidi="en-US"/>
              </w:rPr>
              <w:fldChar w:fldCharType="end"/>
            </w:r>
          </w:p>
        </w:tc>
        <w:tc>
          <w:tcPr>
            <w:tcW w:w="1664" w:type="dxa"/>
            <w:tcMar>
              <w:left w:w="28" w:type="dxa"/>
              <w:right w:w="28" w:type="dxa"/>
            </w:tcMar>
            <w:vAlign w:val="center"/>
          </w:tcPr>
          <w:p>
            <w:pPr>
              <w:pStyle w:val="27"/>
              <w:spacing w:beforeLines="0" w:afterLines="0" w:line="240" w:lineRule="auto"/>
              <w:jc w:val="center"/>
              <w:rPr>
                <w:rFonts w:ascii="Times New Roman"/>
                <w:b/>
                <w:bCs/>
                <w:snapToGrid w:val="0"/>
                <w:color w:val="auto"/>
                <w:spacing w:val="-16"/>
                <w:kern w:val="21"/>
                <w:sz w:val="24"/>
                <w:szCs w:val="24"/>
                <w:lang w:eastAsia="zh-CN" w:bidi="en-US"/>
              </w:rPr>
            </w:pPr>
            <w:r>
              <w:rPr>
                <w:rFonts w:ascii="Times New Roman"/>
                <w:b/>
                <w:bCs/>
                <w:snapToGrid w:val="0"/>
                <w:color w:val="auto"/>
                <w:spacing w:val="-16"/>
                <w:kern w:val="21"/>
                <w:sz w:val="24"/>
                <w:szCs w:val="24"/>
                <w:lang w:eastAsia="zh-CN" w:bidi="en-US"/>
              </w:rPr>
              <w:t>本项目建成后</w:t>
            </w:r>
          </w:p>
          <w:p>
            <w:pPr>
              <w:pStyle w:val="27"/>
              <w:spacing w:beforeLines="0" w:afterLines="0" w:line="240" w:lineRule="auto"/>
              <w:jc w:val="center"/>
              <w:rPr>
                <w:rFonts w:ascii="Times New Roman"/>
                <w:b/>
                <w:bCs/>
                <w:snapToGrid w:val="0"/>
                <w:color w:val="auto"/>
                <w:spacing w:val="-16"/>
                <w:kern w:val="21"/>
                <w:sz w:val="24"/>
                <w:szCs w:val="24"/>
                <w:lang w:eastAsia="zh-CN" w:bidi="en-US"/>
              </w:rPr>
            </w:pPr>
            <w:r>
              <w:rPr>
                <w:rFonts w:ascii="Times New Roman"/>
                <w:b/>
                <w:bCs/>
                <w:snapToGrid w:val="0"/>
                <w:color w:val="auto"/>
                <w:spacing w:val="-16"/>
                <w:kern w:val="21"/>
                <w:sz w:val="24"/>
                <w:szCs w:val="24"/>
                <w:lang w:eastAsia="zh-CN" w:bidi="en-US"/>
              </w:rPr>
              <w:t>全厂排放量（固体废物产生量）</w:t>
            </w:r>
            <w:r>
              <w:rPr>
                <w:rFonts w:ascii="Times New Roman"/>
                <w:b/>
                <w:bCs/>
                <w:snapToGrid w:val="0"/>
                <w:color w:val="auto"/>
                <w:spacing w:val="-16"/>
                <w:kern w:val="21"/>
                <w:sz w:val="24"/>
                <w:szCs w:val="24"/>
                <w:lang w:bidi="en-US"/>
              </w:rPr>
              <w:fldChar w:fldCharType="begin"/>
            </w:r>
            <w:r>
              <w:rPr>
                <w:rFonts w:ascii="Times New Roman"/>
                <w:b/>
                <w:bCs/>
                <w:snapToGrid w:val="0"/>
                <w:color w:val="auto"/>
                <w:spacing w:val="-16"/>
                <w:kern w:val="21"/>
                <w:sz w:val="24"/>
                <w:szCs w:val="24"/>
                <w:lang w:eastAsia="zh-CN" w:bidi="en-US"/>
              </w:rPr>
              <w:instrText xml:space="preserve"> = 6 \* GB3 \* MERGEFORMAT </w:instrText>
            </w:r>
            <w:r>
              <w:rPr>
                <w:rFonts w:ascii="Times New Roman"/>
                <w:b/>
                <w:bCs/>
                <w:snapToGrid w:val="0"/>
                <w:color w:val="auto"/>
                <w:spacing w:val="-16"/>
                <w:kern w:val="21"/>
                <w:sz w:val="24"/>
                <w:szCs w:val="24"/>
                <w:lang w:bidi="en-US"/>
              </w:rPr>
              <w:fldChar w:fldCharType="separate"/>
            </w:r>
            <w:r>
              <w:rPr>
                <w:rFonts w:ascii="Times New Roman"/>
                <w:b/>
                <w:bCs/>
                <w:color w:val="auto"/>
                <w:kern w:val="2"/>
                <w:sz w:val="24"/>
                <w:szCs w:val="24"/>
                <w:lang w:eastAsia="zh-CN" w:bidi="en-US"/>
              </w:rPr>
              <w:t>⑥</w:t>
            </w:r>
            <w:r>
              <w:rPr>
                <w:rFonts w:ascii="Times New Roman"/>
                <w:b/>
                <w:bCs/>
                <w:snapToGrid w:val="0"/>
                <w:color w:val="auto"/>
                <w:spacing w:val="-16"/>
                <w:kern w:val="21"/>
                <w:sz w:val="24"/>
                <w:szCs w:val="24"/>
                <w:lang w:bidi="en-US"/>
              </w:rPr>
              <w:fldChar w:fldCharType="end"/>
            </w:r>
          </w:p>
        </w:tc>
        <w:tc>
          <w:tcPr>
            <w:tcW w:w="1378" w:type="dxa"/>
            <w:tcMar>
              <w:left w:w="28" w:type="dxa"/>
              <w:right w:w="28" w:type="dxa"/>
            </w:tcMar>
            <w:vAlign w:val="center"/>
          </w:tcPr>
          <w:p>
            <w:pPr>
              <w:pStyle w:val="27"/>
              <w:spacing w:beforeLines="0" w:afterLines="0" w:line="240" w:lineRule="auto"/>
              <w:jc w:val="center"/>
              <w:rPr>
                <w:rFonts w:ascii="Times New Roman"/>
                <w:b/>
                <w:bCs/>
                <w:snapToGrid w:val="0"/>
                <w:color w:val="auto"/>
                <w:spacing w:val="-6"/>
                <w:kern w:val="21"/>
                <w:sz w:val="24"/>
                <w:szCs w:val="24"/>
                <w:lang w:bidi="en-US"/>
              </w:rPr>
            </w:pPr>
            <w:r>
              <w:rPr>
                <w:rFonts w:ascii="Times New Roman"/>
                <w:b/>
                <w:bCs/>
                <w:snapToGrid w:val="0"/>
                <w:color w:val="auto"/>
                <w:spacing w:val="-6"/>
                <w:kern w:val="21"/>
                <w:sz w:val="24"/>
                <w:szCs w:val="24"/>
                <w:lang w:bidi="en-US"/>
              </w:rPr>
              <w:t>变化量</w:t>
            </w:r>
          </w:p>
          <w:p>
            <w:pPr>
              <w:pStyle w:val="27"/>
              <w:spacing w:beforeLines="0" w:afterLines="0" w:line="240" w:lineRule="auto"/>
              <w:jc w:val="center"/>
              <w:rPr>
                <w:rFonts w:ascii="Times New Roman"/>
                <w:b/>
                <w:bCs/>
                <w:snapToGrid w:val="0"/>
                <w:color w:val="auto"/>
                <w:spacing w:val="-6"/>
                <w:kern w:val="21"/>
                <w:sz w:val="24"/>
                <w:szCs w:val="24"/>
                <w:lang w:bidi="en-US"/>
              </w:rPr>
            </w:pPr>
            <w:r>
              <w:rPr>
                <w:rFonts w:ascii="Times New Roman"/>
                <w:b/>
                <w:bCs/>
                <w:snapToGrid w:val="0"/>
                <w:color w:val="auto"/>
                <w:spacing w:val="-6"/>
                <w:kern w:val="21"/>
                <w:sz w:val="24"/>
                <w:szCs w:val="24"/>
                <w:lang w:bidi="en-US"/>
              </w:rPr>
              <w:fldChar w:fldCharType="begin"/>
            </w:r>
            <w:r>
              <w:rPr>
                <w:rFonts w:ascii="Times New Roman"/>
                <w:b/>
                <w:bCs/>
                <w:snapToGrid w:val="0"/>
                <w:color w:val="auto"/>
                <w:spacing w:val="-6"/>
                <w:kern w:val="21"/>
                <w:sz w:val="24"/>
                <w:szCs w:val="24"/>
                <w:lang w:bidi="en-US"/>
              </w:rPr>
              <w:instrText xml:space="preserve"> = 7 \* GB3 \* MERGEFORMAT </w:instrText>
            </w:r>
            <w:r>
              <w:rPr>
                <w:rFonts w:ascii="Times New Roman"/>
                <w:b/>
                <w:bCs/>
                <w:snapToGrid w:val="0"/>
                <w:color w:val="auto"/>
                <w:spacing w:val="-6"/>
                <w:kern w:val="21"/>
                <w:sz w:val="24"/>
                <w:szCs w:val="24"/>
                <w:lang w:bidi="en-US"/>
              </w:rPr>
              <w:fldChar w:fldCharType="separate"/>
            </w:r>
            <w:r>
              <w:rPr>
                <w:rFonts w:ascii="Times New Roman"/>
                <w:b/>
                <w:bCs/>
                <w:color w:val="auto"/>
                <w:kern w:val="2"/>
                <w:sz w:val="24"/>
                <w:szCs w:val="24"/>
                <w:lang w:bidi="en-US"/>
              </w:rPr>
              <w:t>⑦</w:t>
            </w:r>
            <w:r>
              <w:rPr>
                <w:rFonts w:ascii="Times New Roman"/>
                <w:b/>
                <w:bCs/>
                <w:snapToGrid w:val="0"/>
                <w:color w:val="auto"/>
                <w:spacing w:val="-6"/>
                <w:kern w:val="21"/>
                <w:sz w:val="24"/>
                <w:szCs w:val="24"/>
                <w:lang w:bidi="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restart"/>
            <w:vAlign w:val="center"/>
          </w:tcPr>
          <w:p>
            <w:pPr>
              <w:pStyle w:val="27"/>
              <w:spacing w:beforeLines="0" w:afterLines="0" w:line="240" w:lineRule="auto"/>
              <w:jc w:val="center"/>
              <w:rPr>
                <w:rFonts w:ascii="Times New Roman"/>
                <w:snapToGrid w:val="0"/>
                <w:color w:val="auto"/>
                <w:kern w:val="21"/>
                <w:sz w:val="24"/>
                <w:szCs w:val="24"/>
                <w:lang w:bidi="en-US"/>
              </w:rPr>
            </w:pPr>
            <w:r>
              <w:rPr>
                <w:rFonts w:ascii="Times New Roman"/>
                <w:snapToGrid w:val="0"/>
                <w:color w:val="auto"/>
                <w:kern w:val="21"/>
                <w:sz w:val="24"/>
                <w:szCs w:val="24"/>
                <w:lang w:bidi="en-US"/>
              </w:rPr>
              <w:t>废气</w:t>
            </w:r>
          </w:p>
        </w:tc>
        <w:tc>
          <w:tcPr>
            <w:tcW w:w="1020" w:type="dxa"/>
            <w:vMerge w:val="restart"/>
            <w:vAlign w:val="center"/>
          </w:tcPr>
          <w:p>
            <w:pPr>
              <w:adjustRightInd w:val="0"/>
              <w:snapToGrid w:val="0"/>
              <w:jc w:val="center"/>
              <w:rPr>
                <w:color w:val="auto"/>
                <w:sz w:val="24"/>
                <w:szCs w:val="24"/>
              </w:rPr>
            </w:pPr>
            <w:r>
              <w:rPr>
                <w:rFonts w:hint="eastAsia"/>
                <w:color w:val="auto"/>
                <w:sz w:val="24"/>
                <w:szCs w:val="24"/>
              </w:rPr>
              <w:t>有组织</w:t>
            </w:r>
          </w:p>
        </w:tc>
        <w:tc>
          <w:tcPr>
            <w:tcW w:w="1655" w:type="dxa"/>
            <w:gridSpan w:val="2"/>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颗粒物</w:t>
            </w:r>
          </w:p>
        </w:tc>
        <w:tc>
          <w:tcPr>
            <w:tcW w:w="1500" w:type="dxa"/>
            <w:vAlign w:val="center"/>
          </w:tcPr>
          <w:p>
            <w:pPr>
              <w:adjustRightInd w:val="0"/>
              <w:snapToGrid w:val="0"/>
              <w:jc w:val="center"/>
              <w:rPr>
                <w:color w:val="auto"/>
                <w:sz w:val="24"/>
                <w:szCs w:val="24"/>
              </w:rPr>
            </w:pPr>
            <w:r>
              <w:rPr>
                <w:rFonts w:hint="eastAsia"/>
                <w:color w:val="auto"/>
                <w:sz w:val="24"/>
                <w:szCs w:val="24"/>
              </w:rPr>
              <w:t>0</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pStyle w:val="27"/>
              <w:spacing w:beforeLines="0" w:afterLines="0" w:line="240" w:lineRule="auto"/>
              <w:jc w:val="center"/>
              <w:rPr>
                <w:rFonts w:ascii="Times New Roman"/>
                <w:snapToGrid w:val="0"/>
                <w:color w:val="auto"/>
                <w:kern w:val="21"/>
                <w:sz w:val="24"/>
                <w:szCs w:val="24"/>
                <w:lang w:eastAsia="zh-CN" w:bidi="en-US"/>
              </w:rPr>
            </w:pPr>
            <w:r>
              <w:rPr>
                <w:rFonts w:hint="eastAsia" w:ascii="Times New Roman"/>
                <w:snapToGrid w:val="0"/>
                <w:color w:val="auto"/>
                <w:kern w:val="21"/>
                <w:sz w:val="24"/>
                <w:szCs w:val="24"/>
                <w:lang w:eastAsia="zh-CN" w:bidi="en-US"/>
              </w:rPr>
              <w:t>/</w:t>
            </w:r>
          </w:p>
        </w:tc>
        <w:tc>
          <w:tcPr>
            <w:tcW w:w="1559"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0.0315</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0.0315</w:t>
            </w:r>
          </w:p>
        </w:tc>
        <w:tc>
          <w:tcPr>
            <w:tcW w:w="1378"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0.0315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1020" w:type="dxa"/>
            <w:vMerge w:val="continue"/>
            <w:vAlign w:val="center"/>
          </w:tcPr>
          <w:p>
            <w:pPr>
              <w:adjustRightInd w:val="0"/>
              <w:snapToGrid w:val="0"/>
              <w:jc w:val="center"/>
              <w:rPr>
                <w:rFonts w:hint="eastAsia"/>
                <w:color w:val="auto"/>
                <w:sz w:val="24"/>
                <w:szCs w:val="24"/>
              </w:rPr>
            </w:pPr>
          </w:p>
        </w:tc>
        <w:tc>
          <w:tcPr>
            <w:tcW w:w="1655" w:type="dxa"/>
            <w:gridSpan w:val="2"/>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VOCs</w:t>
            </w:r>
          </w:p>
        </w:tc>
        <w:tc>
          <w:tcPr>
            <w:tcW w:w="1500"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0</w:t>
            </w:r>
          </w:p>
        </w:tc>
        <w:tc>
          <w:tcPr>
            <w:tcW w:w="126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snapToGrid w:val="0"/>
                <w:color w:val="auto"/>
                <w:kern w:val="21"/>
                <w:sz w:val="24"/>
                <w:szCs w:val="24"/>
                <w:lang w:bidi="en-US"/>
              </w:rPr>
              <w:t>/</w:t>
            </w:r>
          </w:p>
        </w:tc>
        <w:tc>
          <w:tcPr>
            <w:tcW w:w="1340" w:type="dxa"/>
            <w:vAlign w:val="center"/>
          </w:tcPr>
          <w:p>
            <w:pPr>
              <w:pStyle w:val="27"/>
              <w:spacing w:beforeLines="0" w:afterLines="0" w:line="240" w:lineRule="auto"/>
              <w:jc w:val="center"/>
              <w:rPr>
                <w:rFonts w:hint="eastAsia" w:ascii="Times New Roman" w:hAnsi="Times New Roman" w:eastAsia="宋体" w:cs="Times New Roman"/>
                <w:snapToGrid w:val="0"/>
                <w:color w:val="auto"/>
                <w:kern w:val="21"/>
                <w:sz w:val="24"/>
                <w:szCs w:val="24"/>
                <w:lang w:val="en-US" w:eastAsia="zh-CN" w:bidi="en-US"/>
              </w:rPr>
            </w:pPr>
            <w:r>
              <w:rPr>
                <w:rFonts w:hint="eastAsia" w:ascii="Times New Roman"/>
                <w:snapToGrid w:val="0"/>
                <w:color w:val="auto"/>
                <w:kern w:val="21"/>
                <w:sz w:val="24"/>
                <w:szCs w:val="24"/>
                <w:lang w:eastAsia="zh-CN" w:bidi="en-US"/>
              </w:rPr>
              <w:t>/</w:t>
            </w:r>
          </w:p>
        </w:tc>
        <w:tc>
          <w:tcPr>
            <w:tcW w:w="1559"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0.0729</w:t>
            </w:r>
          </w:p>
        </w:tc>
        <w:tc>
          <w:tcPr>
            <w:tcW w:w="1504" w:type="dxa"/>
            <w:vAlign w:val="center"/>
          </w:tcPr>
          <w:p>
            <w:pPr>
              <w:adjustRightInd w:val="0"/>
              <w:snapToGrid w:val="0"/>
              <w:jc w:val="center"/>
              <w:rPr>
                <w:rFonts w:hint="eastAsia"/>
                <w:color w:val="auto"/>
                <w:sz w:val="24"/>
                <w:szCs w:val="24"/>
              </w:rPr>
            </w:pPr>
            <w:r>
              <w:rPr>
                <w:rFonts w:hint="eastAsia"/>
                <w:color w:val="auto"/>
                <w:sz w:val="24"/>
                <w:szCs w:val="24"/>
              </w:rPr>
              <w:t>/</w:t>
            </w:r>
          </w:p>
        </w:tc>
        <w:tc>
          <w:tcPr>
            <w:tcW w:w="1664"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0.0729</w:t>
            </w:r>
          </w:p>
        </w:tc>
        <w:tc>
          <w:tcPr>
            <w:tcW w:w="137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0.0729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1020" w:type="dxa"/>
            <w:vMerge w:val="continue"/>
            <w:vAlign w:val="center"/>
          </w:tcPr>
          <w:p>
            <w:pPr>
              <w:adjustRightInd w:val="0"/>
              <w:snapToGrid w:val="0"/>
              <w:jc w:val="center"/>
              <w:rPr>
                <w:rFonts w:hint="eastAsia"/>
                <w:color w:val="auto"/>
                <w:sz w:val="24"/>
                <w:szCs w:val="24"/>
              </w:rPr>
            </w:pPr>
          </w:p>
        </w:tc>
        <w:tc>
          <w:tcPr>
            <w:tcW w:w="719"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其中</w:t>
            </w:r>
          </w:p>
        </w:tc>
        <w:tc>
          <w:tcPr>
            <w:tcW w:w="936"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二甲苯</w:t>
            </w:r>
          </w:p>
        </w:tc>
        <w:tc>
          <w:tcPr>
            <w:tcW w:w="1500"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0</w:t>
            </w:r>
          </w:p>
        </w:tc>
        <w:tc>
          <w:tcPr>
            <w:tcW w:w="126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snapToGrid w:val="0"/>
                <w:color w:val="auto"/>
                <w:kern w:val="21"/>
                <w:sz w:val="24"/>
                <w:szCs w:val="24"/>
                <w:lang w:bidi="en-US"/>
              </w:rPr>
              <w:t>/</w:t>
            </w:r>
          </w:p>
        </w:tc>
        <w:tc>
          <w:tcPr>
            <w:tcW w:w="1340"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snapToGrid w:val="0"/>
                <w:color w:val="auto"/>
                <w:kern w:val="21"/>
                <w:sz w:val="24"/>
                <w:szCs w:val="24"/>
                <w:lang w:eastAsia="zh-CN" w:bidi="en-US"/>
              </w:rPr>
              <w:t>/</w:t>
            </w:r>
          </w:p>
        </w:tc>
        <w:tc>
          <w:tcPr>
            <w:tcW w:w="1559"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0.0067</w:t>
            </w:r>
          </w:p>
        </w:tc>
        <w:tc>
          <w:tcPr>
            <w:tcW w:w="1504"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664"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0.0067</w:t>
            </w:r>
          </w:p>
        </w:tc>
        <w:tc>
          <w:tcPr>
            <w:tcW w:w="1378"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1020" w:type="dxa"/>
            <w:vMerge w:val="restart"/>
            <w:vAlign w:val="center"/>
          </w:tcPr>
          <w:p>
            <w:pPr>
              <w:adjustRightInd w:val="0"/>
              <w:snapToGrid w:val="0"/>
              <w:jc w:val="center"/>
              <w:rPr>
                <w:color w:val="auto"/>
                <w:sz w:val="24"/>
                <w:szCs w:val="24"/>
              </w:rPr>
            </w:pPr>
            <w:r>
              <w:rPr>
                <w:color w:val="auto"/>
                <w:sz w:val="24"/>
                <w:szCs w:val="24"/>
              </w:rPr>
              <w:t>无组织</w:t>
            </w:r>
          </w:p>
        </w:tc>
        <w:tc>
          <w:tcPr>
            <w:tcW w:w="1655" w:type="dxa"/>
            <w:gridSpan w:val="2"/>
            <w:vAlign w:val="center"/>
          </w:tcPr>
          <w:p>
            <w:pPr>
              <w:adjustRightInd w:val="0"/>
              <w:snapToGrid w:val="0"/>
              <w:jc w:val="center"/>
              <w:rPr>
                <w:color w:val="auto"/>
                <w:sz w:val="24"/>
                <w:szCs w:val="24"/>
              </w:rPr>
            </w:pPr>
            <w:r>
              <w:rPr>
                <w:rFonts w:hint="eastAsia"/>
                <w:color w:val="auto"/>
                <w:sz w:val="24"/>
                <w:szCs w:val="24"/>
              </w:rPr>
              <w:t>颗粒物</w:t>
            </w:r>
          </w:p>
        </w:tc>
        <w:tc>
          <w:tcPr>
            <w:tcW w:w="1500"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0.08856</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pStyle w:val="27"/>
              <w:spacing w:beforeLines="0" w:afterLines="0" w:line="240" w:lineRule="auto"/>
              <w:jc w:val="center"/>
              <w:rPr>
                <w:rFonts w:ascii="Times New Roman"/>
                <w:snapToGrid w:val="0"/>
                <w:color w:val="auto"/>
                <w:kern w:val="21"/>
                <w:sz w:val="24"/>
                <w:szCs w:val="24"/>
                <w:lang w:eastAsia="zh-CN" w:bidi="en-US"/>
              </w:rPr>
            </w:pPr>
            <w:r>
              <w:rPr>
                <w:rFonts w:hint="eastAsia" w:ascii="Times New Roman"/>
                <w:snapToGrid w:val="0"/>
                <w:color w:val="auto"/>
                <w:kern w:val="21"/>
                <w:sz w:val="24"/>
                <w:szCs w:val="24"/>
                <w:lang w:eastAsia="zh-CN" w:bidi="en-US"/>
              </w:rPr>
              <w:t>/</w:t>
            </w:r>
          </w:p>
        </w:tc>
        <w:tc>
          <w:tcPr>
            <w:tcW w:w="1559" w:type="dxa"/>
            <w:vAlign w:val="center"/>
          </w:tcPr>
          <w:p>
            <w:pPr>
              <w:adjustRightInd w:val="0"/>
              <w:snapToGrid w:val="0"/>
              <w:jc w:val="center"/>
              <w:rPr>
                <w:color w:val="auto"/>
                <w:sz w:val="24"/>
                <w:szCs w:val="24"/>
              </w:rPr>
            </w:pPr>
            <w:r>
              <w:rPr>
                <w:rFonts w:hint="eastAsia"/>
                <w:color w:val="auto"/>
                <w:sz w:val="24"/>
                <w:szCs w:val="24"/>
                <w:lang w:val="en-US" w:eastAsia="zh-CN"/>
              </w:rPr>
              <w:t>0.0414</w:t>
            </w:r>
          </w:p>
        </w:tc>
        <w:tc>
          <w:tcPr>
            <w:tcW w:w="1504"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664"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0.0414</w:t>
            </w:r>
          </w:p>
        </w:tc>
        <w:tc>
          <w:tcPr>
            <w:tcW w:w="1378"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+0.0414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1020" w:type="dxa"/>
            <w:vMerge w:val="continue"/>
            <w:vAlign w:val="center"/>
          </w:tcPr>
          <w:p>
            <w:pPr>
              <w:adjustRightInd w:val="0"/>
              <w:snapToGrid w:val="0"/>
              <w:jc w:val="center"/>
              <w:rPr>
                <w:color w:val="auto"/>
                <w:sz w:val="24"/>
                <w:szCs w:val="24"/>
              </w:rPr>
            </w:pPr>
          </w:p>
        </w:tc>
        <w:tc>
          <w:tcPr>
            <w:tcW w:w="1655" w:type="dxa"/>
            <w:gridSpan w:val="2"/>
            <w:vAlign w:val="center"/>
          </w:tcPr>
          <w:p>
            <w:pPr>
              <w:adjustRightInd w:val="0"/>
              <w:snapToGrid w:val="0"/>
              <w:jc w:val="center"/>
              <w:rPr>
                <w:color w:val="auto"/>
                <w:sz w:val="24"/>
                <w:szCs w:val="24"/>
              </w:rPr>
            </w:pPr>
            <w:r>
              <w:rPr>
                <w:rFonts w:hint="eastAsia"/>
                <w:color w:val="auto"/>
                <w:sz w:val="24"/>
                <w:szCs w:val="24"/>
                <w:lang w:val="en-US" w:eastAsia="zh-CN"/>
              </w:rPr>
              <w:t>VOCs</w:t>
            </w:r>
          </w:p>
        </w:tc>
        <w:tc>
          <w:tcPr>
            <w:tcW w:w="1500"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0</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pStyle w:val="27"/>
              <w:spacing w:beforeLines="0" w:afterLines="0" w:line="240" w:lineRule="auto"/>
              <w:jc w:val="center"/>
              <w:rPr>
                <w:rFonts w:ascii="Times New Roman"/>
                <w:snapToGrid w:val="0"/>
                <w:color w:val="auto"/>
                <w:kern w:val="21"/>
                <w:sz w:val="24"/>
                <w:szCs w:val="24"/>
                <w:lang w:eastAsia="zh-CN" w:bidi="en-US"/>
              </w:rPr>
            </w:pPr>
            <w:r>
              <w:rPr>
                <w:rFonts w:hint="eastAsia" w:ascii="Times New Roman"/>
                <w:snapToGrid w:val="0"/>
                <w:color w:val="auto"/>
                <w:kern w:val="21"/>
                <w:sz w:val="24"/>
                <w:szCs w:val="24"/>
                <w:lang w:eastAsia="zh-CN" w:bidi="en-US"/>
              </w:rPr>
              <w:t>/</w:t>
            </w:r>
          </w:p>
        </w:tc>
        <w:tc>
          <w:tcPr>
            <w:tcW w:w="1559" w:type="dxa"/>
            <w:vAlign w:val="center"/>
          </w:tcPr>
          <w:p>
            <w:pPr>
              <w:adjustRightInd w:val="0"/>
              <w:snapToGrid w:val="0"/>
              <w:jc w:val="center"/>
              <w:rPr>
                <w:rFonts w:hint="default" w:eastAsia="宋体"/>
                <w:color w:val="auto"/>
                <w:sz w:val="24"/>
                <w:szCs w:val="24"/>
                <w:lang w:val="en-US" w:eastAsia="zh-CN"/>
              </w:rPr>
            </w:pPr>
            <w:r>
              <w:rPr>
                <w:rFonts w:hint="default" w:eastAsia="宋体"/>
                <w:color w:val="auto"/>
                <w:sz w:val="24"/>
                <w:szCs w:val="24"/>
                <w:lang w:val="en-US" w:eastAsia="zh-CN"/>
              </w:rPr>
              <w:t>0.0796</w:t>
            </w:r>
          </w:p>
        </w:tc>
        <w:tc>
          <w:tcPr>
            <w:tcW w:w="1504"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664" w:type="dxa"/>
            <w:vAlign w:val="center"/>
          </w:tcPr>
          <w:p>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eastAsia="宋体"/>
                <w:color w:val="auto"/>
                <w:sz w:val="24"/>
                <w:szCs w:val="24"/>
                <w:lang w:val="en-US" w:eastAsia="zh-CN"/>
              </w:rPr>
              <w:t>0.0796</w:t>
            </w:r>
          </w:p>
        </w:tc>
        <w:tc>
          <w:tcPr>
            <w:tcW w:w="1378" w:type="dxa"/>
            <w:vAlign w:val="center"/>
          </w:tcPr>
          <w:p>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olor w:val="auto"/>
                <w:sz w:val="24"/>
                <w:szCs w:val="24"/>
                <w:lang w:val="en-US" w:eastAsia="zh-CN"/>
              </w:rPr>
              <w:t>+</w:t>
            </w:r>
            <w:r>
              <w:rPr>
                <w:rFonts w:hint="default" w:eastAsia="宋体"/>
                <w:color w:val="auto"/>
                <w:sz w:val="24"/>
                <w:szCs w:val="24"/>
                <w:lang w:val="en-US" w:eastAsia="zh-CN"/>
              </w:rPr>
              <w:t>0.0796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1020" w:type="dxa"/>
            <w:vMerge w:val="continue"/>
            <w:vAlign w:val="center"/>
          </w:tcPr>
          <w:p>
            <w:pPr>
              <w:adjustRightInd w:val="0"/>
              <w:snapToGrid w:val="0"/>
              <w:jc w:val="center"/>
              <w:rPr>
                <w:color w:val="auto"/>
                <w:sz w:val="24"/>
                <w:szCs w:val="24"/>
              </w:rPr>
            </w:pPr>
          </w:p>
        </w:tc>
        <w:tc>
          <w:tcPr>
            <w:tcW w:w="719" w:type="dxa"/>
            <w:vAlign w:val="center"/>
          </w:tcPr>
          <w:p>
            <w:pPr>
              <w:adjustRightInd w:val="0"/>
              <w:snapToGrid w:val="0"/>
              <w:jc w:val="center"/>
              <w:rPr>
                <w:rFonts w:hint="eastAsia"/>
                <w:color w:val="auto"/>
                <w:sz w:val="24"/>
                <w:szCs w:val="24"/>
              </w:rPr>
            </w:pPr>
            <w:r>
              <w:rPr>
                <w:rFonts w:hint="eastAsia"/>
                <w:color w:val="auto"/>
                <w:sz w:val="24"/>
                <w:szCs w:val="24"/>
                <w:lang w:val="en-US" w:eastAsia="zh-CN"/>
              </w:rPr>
              <w:t>其中</w:t>
            </w:r>
          </w:p>
        </w:tc>
        <w:tc>
          <w:tcPr>
            <w:tcW w:w="936"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二甲苯</w:t>
            </w:r>
          </w:p>
        </w:tc>
        <w:tc>
          <w:tcPr>
            <w:tcW w:w="1500"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0</w:t>
            </w:r>
          </w:p>
        </w:tc>
        <w:tc>
          <w:tcPr>
            <w:tcW w:w="126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snapToGrid w:val="0"/>
                <w:color w:val="auto"/>
                <w:kern w:val="21"/>
                <w:sz w:val="24"/>
                <w:szCs w:val="24"/>
                <w:lang w:bidi="en-US"/>
              </w:rPr>
              <w:t>/</w:t>
            </w:r>
          </w:p>
        </w:tc>
        <w:tc>
          <w:tcPr>
            <w:tcW w:w="1340"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snapToGrid w:val="0"/>
                <w:color w:val="auto"/>
                <w:kern w:val="21"/>
                <w:sz w:val="24"/>
                <w:szCs w:val="24"/>
                <w:lang w:eastAsia="zh-CN" w:bidi="en-US"/>
              </w:rPr>
              <w:t>/</w:t>
            </w:r>
          </w:p>
        </w:tc>
        <w:tc>
          <w:tcPr>
            <w:tcW w:w="1559"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0.0071</w:t>
            </w:r>
          </w:p>
        </w:tc>
        <w:tc>
          <w:tcPr>
            <w:tcW w:w="1504"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664"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0.0071</w:t>
            </w:r>
          </w:p>
        </w:tc>
        <w:tc>
          <w:tcPr>
            <w:tcW w:w="1378" w:type="dxa"/>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+0.0071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restart"/>
            <w:vAlign w:val="center"/>
          </w:tcPr>
          <w:p>
            <w:pPr>
              <w:pStyle w:val="27"/>
              <w:spacing w:beforeLines="0" w:afterLines="0" w:line="240" w:lineRule="auto"/>
              <w:jc w:val="center"/>
              <w:rPr>
                <w:rFonts w:ascii="Times New Roman"/>
                <w:snapToGrid w:val="0"/>
                <w:color w:val="auto"/>
                <w:kern w:val="21"/>
                <w:sz w:val="24"/>
                <w:szCs w:val="24"/>
                <w:lang w:bidi="en-US"/>
              </w:rPr>
            </w:pPr>
            <w:r>
              <w:rPr>
                <w:rFonts w:ascii="Times New Roman"/>
                <w:snapToGrid w:val="0"/>
                <w:color w:val="auto"/>
                <w:kern w:val="21"/>
                <w:sz w:val="24"/>
                <w:szCs w:val="24"/>
                <w:lang w:bidi="en-US"/>
              </w:rPr>
              <w:t>废水</w:t>
            </w:r>
          </w:p>
        </w:tc>
        <w:tc>
          <w:tcPr>
            <w:tcW w:w="2675" w:type="dxa"/>
            <w:gridSpan w:val="3"/>
            <w:vAlign w:val="center"/>
          </w:tcPr>
          <w:p>
            <w:pPr>
              <w:adjustRightInd w:val="0"/>
              <w:snapToGrid w:val="0"/>
              <w:jc w:val="center"/>
              <w:rPr>
                <w:color w:val="auto"/>
                <w:sz w:val="24"/>
                <w:szCs w:val="24"/>
              </w:rPr>
            </w:pPr>
            <w:r>
              <w:rPr>
                <w:color w:val="auto"/>
                <w:sz w:val="24"/>
                <w:szCs w:val="24"/>
              </w:rPr>
              <w:t>废水量</w:t>
            </w:r>
          </w:p>
        </w:tc>
        <w:tc>
          <w:tcPr>
            <w:tcW w:w="1500" w:type="dxa"/>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hint="eastAsia"/>
                <w:sz w:val="24"/>
                <w:szCs w:val="24"/>
              </w:rPr>
              <w:t>731</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eastAsia="en-US" w:bidi="en-US"/>
              </w:rPr>
            </w:pPr>
            <w:r>
              <w:rPr>
                <w:rFonts w:hint="eastAsia"/>
                <w:snapToGrid w:val="0"/>
                <w:color w:val="auto"/>
                <w:kern w:val="21"/>
                <w:sz w:val="24"/>
                <w:szCs w:val="24"/>
                <w:lang w:bidi="en-US"/>
              </w:rPr>
              <w:t>/</w:t>
            </w:r>
          </w:p>
        </w:tc>
        <w:tc>
          <w:tcPr>
            <w:tcW w:w="1559" w:type="dxa"/>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120</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851</w:t>
            </w:r>
          </w:p>
        </w:tc>
        <w:tc>
          <w:tcPr>
            <w:tcW w:w="1378" w:type="dxa"/>
            <w:vAlign w:val="center"/>
          </w:tcPr>
          <w:p>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2675" w:type="dxa"/>
            <w:gridSpan w:val="3"/>
            <w:vAlign w:val="center"/>
          </w:tcPr>
          <w:p>
            <w:pPr>
              <w:adjustRightInd w:val="0"/>
              <w:snapToGrid w:val="0"/>
              <w:jc w:val="center"/>
              <w:rPr>
                <w:color w:val="auto"/>
                <w:sz w:val="24"/>
                <w:szCs w:val="24"/>
              </w:rPr>
            </w:pPr>
            <w:r>
              <w:rPr>
                <w:color w:val="auto"/>
                <w:sz w:val="24"/>
                <w:szCs w:val="24"/>
              </w:rPr>
              <w:t>COD</w:t>
            </w:r>
          </w:p>
        </w:tc>
        <w:tc>
          <w:tcPr>
            <w:tcW w:w="1500" w:type="dxa"/>
            <w:vAlign w:val="center"/>
          </w:tcPr>
          <w:p>
            <w:pPr>
              <w:widowControl/>
              <w:jc w:val="center"/>
              <w:textAlignment w:val="center"/>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sz w:val="24"/>
                <w:szCs w:val="24"/>
                <w:lang w:val="en-US" w:eastAsia="zh-CN"/>
              </w:rPr>
              <w:t>0.0855</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eastAsia="en-US" w:bidi="en-US"/>
              </w:rPr>
            </w:pPr>
            <w:r>
              <w:rPr>
                <w:rFonts w:hint="eastAsia"/>
                <w:snapToGrid w:val="0"/>
                <w:color w:val="auto"/>
                <w:kern w:val="21"/>
                <w:sz w:val="24"/>
                <w:szCs w:val="24"/>
                <w:lang w:bidi="en-US"/>
              </w:rPr>
              <w:t>/</w:t>
            </w:r>
          </w:p>
        </w:tc>
        <w:tc>
          <w:tcPr>
            <w:tcW w:w="1559"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0.024</w:t>
            </w:r>
            <w:r>
              <w:rPr>
                <w:rFonts w:hint="eastAsia" w:ascii="Times New Roman" w:hAnsi="Times New Roman" w:eastAsia="宋体" w:cs="Times New Roman"/>
                <w:i w:val="0"/>
                <w:iCs w:val="0"/>
                <w:color w:val="000000"/>
                <w:kern w:val="0"/>
                <w:sz w:val="24"/>
                <w:szCs w:val="24"/>
                <w:u w:val="none"/>
                <w:lang w:val="en-US" w:eastAsia="zh-CN" w:bidi="ar"/>
              </w:rPr>
              <w:t>5</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widowControl/>
              <w:suppressLineNumbers w:val="0"/>
              <w:spacing w:line="320" w:lineRule="exact"/>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2"/>
                <w:sz w:val="24"/>
                <w:szCs w:val="24"/>
                <w:u w:val="none"/>
                <w:lang w:val="en-US" w:eastAsia="zh-CN" w:bidi="ar-SA"/>
              </w:rPr>
              <w:t>0.1736</w:t>
            </w:r>
          </w:p>
        </w:tc>
        <w:tc>
          <w:tcPr>
            <w:tcW w:w="137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0.024</w:t>
            </w:r>
            <w:r>
              <w:rPr>
                <w:rFonts w:hint="eastAsia" w:ascii="Times New Roman" w:hAnsi="Times New Roman" w:eastAsia="宋体" w:cs="Times New Roman"/>
                <w:i w:val="0"/>
                <w:iCs w:val="0"/>
                <w:color w:val="000000"/>
                <w:kern w:val="0"/>
                <w:sz w:val="24"/>
                <w:szCs w:val="24"/>
                <w:u w:val="none"/>
                <w:lang w:val="en-US" w:eastAsia="zh-CN" w:bidi="ar"/>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2675" w:type="dxa"/>
            <w:gridSpan w:val="3"/>
            <w:vAlign w:val="center"/>
          </w:tcPr>
          <w:p>
            <w:pPr>
              <w:adjustRightInd w:val="0"/>
              <w:snapToGrid w:val="0"/>
              <w:jc w:val="center"/>
              <w:rPr>
                <w:color w:val="auto"/>
                <w:sz w:val="24"/>
                <w:szCs w:val="24"/>
              </w:rPr>
            </w:pPr>
            <w:r>
              <w:rPr>
                <w:rFonts w:hint="eastAsia"/>
                <w:color w:val="auto"/>
                <w:sz w:val="24"/>
                <w:szCs w:val="24"/>
              </w:rPr>
              <w:t>SS</w:t>
            </w:r>
          </w:p>
        </w:tc>
        <w:tc>
          <w:tcPr>
            <w:tcW w:w="1500" w:type="dxa"/>
            <w:vAlign w:val="center"/>
          </w:tcPr>
          <w:p>
            <w:pPr>
              <w:widowControl/>
              <w:jc w:val="center"/>
              <w:textAlignment w:val="center"/>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0.018</w:t>
            </w:r>
          </w:p>
        </w:tc>
        <w:tc>
          <w:tcPr>
            <w:tcW w:w="1268" w:type="dxa"/>
            <w:vAlign w:val="center"/>
          </w:tcPr>
          <w:p>
            <w:pPr>
              <w:adjustRightInd w:val="0"/>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559"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0.012</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widowControl/>
              <w:suppressLineNumbers w:val="0"/>
              <w:spacing w:line="320" w:lineRule="exact"/>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2"/>
                <w:sz w:val="24"/>
                <w:szCs w:val="24"/>
                <w:u w:val="none"/>
                <w:lang w:val="en-US" w:eastAsia="zh-CN" w:bidi="ar-SA"/>
              </w:rPr>
              <w:t>0.0851</w:t>
            </w:r>
          </w:p>
        </w:tc>
        <w:tc>
          <w:tcPr>
            <w:tcW w:w="137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2675" w:type="dxa"/>
            <w:gridSpan w:val="3"/>
            <w:vAlign w:val="center"/>
          </w:tcPr>
          <w:p>
            <w:pPr>
              <w:adjustRightInd w:val="0"/>
              <w:snapToGrid w:val="0"/>
              <w:jc w:val="center"/>
              <w:rPr>
                <w:color w:val="auto"/>
                <w:sz w:val="24"/>
                <w:szCs w:val="24"/>
              </w:rPr>
            </w:pPr>
            <w:r>
              <w:rPr>
                <w:color w:val="auto"/>
                <w:sz w:val="24"/>
                <w:szCs w:val="24"/>
              </w:rPr>
              <w:t>NH</w:t>
            </w:r>
            <w:r>
              <w:rPr>
                <w:color w:val="auto"/>
                <w:sz w:val="24"/>
                <w:szCs w:val="24"/>
                <w:vertAlign w:val="subscript"/>
              </w:rPr>
              <w:t>3</w:t>
            </w:r>
            <w:r>
              <w:rPr>
                <w:color w:val="auto"/>
                <w:sz w:val="24"/>
                <w:szCs w:val="24"/>
              </w:rPr>
              <w:t>-N</w:t>
            </w:r>
          </w:p>
        </w:tc>
        <w:tc>
          <w:tcPr>
            <w:tcW w:w="1500" w:type="dxa"/>
            <w:vAlign w:val="center"/>
          </w:tcPr>
          <w:p>
            <w:pPr>
              <w:widowControl/>
              <w:jc w:val="center"/>
              <w:textAlignment w:val="center"/>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0.0003</w:t>
            </w:r>
            <w:r>
              <w:rPr>
                <w:rFonts w:hint="eastAsia" w:cs="Times New Roman"/>
                <w:color w:val="auto"/>
                <w:kern w:val="0"/>
                <w:sz w:val="24"/>
                <w:szCs w:val="24"/>
                <w:lang w:val="en-US" w:eastAsia="zh-CN" w:bidi="ar"/>
              </w:rPr>
              <w:t>3</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eastAsia="en-US" w:bidi="en-US"/>
              </w:rPr>
            </w:pPr>
            <w:r>
              <w:rPr>
                <w:rFonts w:hint="eastAsia"/>
                <w:snapToGrid w:val="0"/>
                <w:color w:val="auto"/>
                <w:kern w:val="21"/>
                <w:sz w:val="24"/>
                <w:szCs w:val="24"/>
                <w:lang w:bidi="en-US"/>
              </w:rPr>
              <w:t>/</w:t>
            </w:r>
          </w:p>
        </w:tc>
        <w:tc>
          <w:tcPr>
            <w:tcW w:w="1559"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0.0035</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widowControl/>
              <w:suppressLineNumbers w:val="0"/>
              <w:spacing w:line="320" w:lineRule="exact"/>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2"/>
                <w:sz w:val="24"/>
                <w:szCs w:val="24"/>
                <w:u w:val="none"/>
                <w:lang w:val="en-US" w:eastAsia="zh-CN" w:bidi="ar-SA"/>
              </w:rPr>
              <w:t>0.0249</w:t>
            </w:r>
          </w:p>
        </w:tc>
        <w:tc>
          <w:tcPr>
            <w:tcW w:w="137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0.0035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2675" w:type="dxa"/>
            <w:gridSpan w:val="3"/>
            <w:vAlign w:val="center"/>
          </w:tcPr>
          <w:p>
            <w:pPr>
              <w:adjustRightInd w:val="0"/>
              <w:snapToGrid w:val="0"/>
              <w:jc w:val="center"/>
              <w:rPr>
                <w:color w:val="auto"/>
                <w:sz w:val="24"/>
                <w:szCs w:val="24"/>
              </w:rPr>
            </w:pPr>
            <w:r>
              <w:rPr>
                <w:color w:val="auto"/>
                <w:sz w:val="24"/>
                <w:szCs w:val="24"/>
              </w:rPr>
              <w:t>TP</w:t>
            </w:r>
          </w:p>
        </w:tc>
        <w:tc>
          <w:tcPr>
            <w:tcW w:w="1500" w:type="dxa"/>
            <w:vAlign w:val="center"/>
          </w:tcPr>
          <w:p>
            <w:pPr>
              <w:widowControl/>
              <w:jc w:val="center"/>
              <w:textAlignment w:val="center"/>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0.00034</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eastAsia="en-US" w:bidi="en-US"/>
              </w:rPr>
            </w:pPr>
            <w:r>
              <w:rPr>
                <w:rFonts w:hint="eastAsia"/>
                <w:snapToGrid w:val="0"/>
                <w:color w:val="auto"/>
                <w:kern w:val="21"/>
                <w:sz w:val="24"/>
                <w:szCs w:val="24"/>
                <w:lang w:bidi="en-US"/>
              </w:rPr>
              <w:t>/</w:t>
            </w:r>
          </w:p>
        </w:tc>
        <w:tc>
          <w:tcPr>
            <w:tcW w:w="1559"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0.0004</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widowControl/>
              <w:suppressLineNumbers w:val="0"/>
              <w:spacing w:line="320" w:lineRule="exact"/>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2"/>
                <w:sz w:val="24"/>
                <w:szCs w:val="24"/>
                <w:u w:val="none"/>
                <w:lang w:val="en-US" w:eastAsia="zh-CN" w:bidi="ar-SA"/>
              </w:rPr>
              <w:t>0.0029</w:t>
            </w:r>
          </w:p>
        </w:tc>
        <w:tc>
          <w:tcPr>
            <w:tcW w:w="137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0.0004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bidi="en-US"/>
              </w:rPr>
            </w:pPr>
          </w:p>
        </w:tc>
        <w:tc>
          <w:tcPr>
            <w:tcW w:w="2675" w:type="dxa"/>
            <w:gridSpan w:val="3"/>
            <w:vAlign w:val="center"/>
          </w:tcPr>
          <w:p>
            <w:pPr>
              <w:adjustRightInd w:val="0"/>
              <w:snapToGrid w:val="0"/>
              <w:jc w:val="center"/>
              <w:rPr>
                <w:color w:val="auto"/>
                <w:sz w:val="24"/>
                <w:szCs w:val="24"/>
              </w:rPr>
            </w:pPr>
            <w:r>
              <w:rPr>
                <w:color w:val="auto"/>
                <w:sz w:val="24"/>
                <w:szCs w:val="24"/>
              </w:rPr>
              <w:t>TN</w:t>
            </w:r>
          </w:p>
        </w:tc>
        <w:tc>
          <w:tcPr>
            <w:tcW w:w="1500" w:type="dxa"/>
            <w:vAlign w:val="center"/>
          </w:tcPr>
          <w:p>
            <w:pPr>
              <w:widowControl/>
              <w:jc w:val="center"/>
              <w:textAlignment w:val="center"/>
              <w:rPr>
                <w:rFonts w:hint="default" w:ascii="Times New Roman" w:hAnsi="Times New Roman" w:eastAsia="宋体" w:cs="Times New Roman"/>
                <w:color w:val="auto"/>
                <w:kern w:val="0"/>
                <w:sz w:val="24"/>
                <w:szCs w:val="24"/>
                <w:lang w:val="en-US" w:eastAsia="zh-CN" w:bidi="ar"/>
              </w:rPr>
            </w:pPr>
            <w:r>
              <w:rPr>
                <w:rFonts w:hint="eastAsia"/>
                <w:color w:val="auto"/>
                <w:kern w:val="0"/>
                <w:sz w:val="24"/>
                <w:szCs w:val="24"/>
                <w:lang w:val="en-US" w:eastAsia="zh-CN" w:bidi="ar"/>
              </w:rPr>
              <w:t>0.0366</w:t>
            </w:r>
          </w:p>
        </w:tc>
        <w:tc>
          <w:tcPr>
            <w:tcW w:w="1268" w:type="dxa"/>
            <w:vAlign w:val="center"/>
          </w:tcPr>
          <w:p>
            <w:pPr>
              <w:adjustRightInd w:val="0"/>
              <w:snapToGrid w:val="0"/>
              <w:jc w:val="center"/>
              <w:rPr>
                <w:color w:val="auto"/>
                <w:sz w:val="24"/>
                <w:szCs w:val="24"/>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eastAsia="en-US" w:bidi="en-US"/>
              </w:rPr>
            </w:pPr>
            <w:r>
              <w:rPr>
                <w:rFonts w:hint="eastAsia"/>
                <w:snapToGrid w:val="0"/>
                <w:color w:val="auto"/>
                <w:kern w:val="21"/>
                <w:sz w:val="24"/>
                <w:szCs w:val="24"/>
                <w:lang w:bidi="en-US"/>
              </w:rPr>
              <w:t>/</w:t>
            </w:r>
          </w:p>
        </w:tc>
        <w:tc>
          <w:tcPr>
            <w:tcW w:w="1559"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0.0048</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widowControl/>
              <w:suppressLineNumbers w:val="0"/>
              <w:spacing w:line="320" w:lineRule="exact"/>
              <w:jc w:val="center"/>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2"/>
                <w:sz w:val="24"/>
                <w:szCs w:val="24"/>
                <w:u w:val="none"/>
                <w:lang w:val="en-US" w:eastAsia="zh-CN" w:bidi="ar-SA"/>
              </w:rPr>
              <w:t>0.0343</w:t>
            </w:r>
          </w:p>
        </w:tc>
        <w:tc>
          <w:tcPr>
            <w:tcW w:w="137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0.0048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restart"/>
            <w:vAlign w:val="center"/>
          </w:tcPr>
          <w:p>
            <w:pPr>
              <w:pStyle w:val="27"/>
              <w:spacing w:beforeLines="0" w:afterLines="0" w:line="240" w:lineRule="auto"/>
              <w:jc w:val="center"/>
              <w:rPr>
                <w:rFonts w:ascii="Times New Roman"/>
                <w:snapToGrid w:val="0"/>
                <w:color w:val="auto"/>
                <w:kern w:val="21"/>
                <w:sz w:val="24"/>
                <w:szCs w:val="24"/>
                <w:lang w:bidi="en-US"/>
              </w:rPr>
            </w:pPr>
            <w:r>
              <w:rPr>
                <w:rFonts w:ascii="Times New Roman"/>
                <w:snapToGrid w:val="0"/>
                <w:color w:val="auto"/>
                <w:kern w:val="21"/>
                <w:sz w:val="24"/>
                <w:szCs w:val="24"/>
                <w:lang w:bidi="en-US"/>
              </w:rPr>
              <w:t>一般工业</w:t>
            </w:r>
          </w:p>
          <w:p>
            <w:pPr>
              <w:pStyle w:val="27"/>
              <w:spacing w:beforeLines="0" w:afterLines="0" w:line="240" w:lineRule="auto"/>
              <w:jc w:val="center"/>
              <w:rPr>
                <w:rFonts w:ascii="Times New Roman"/>
                <w:snapToGrid w:val="0"/>
                <w:color w:val="auto"/>
                <w:kern w:val="21"/>
                <w:sz w:val="24"/>
                <w:szCs w:val="24"/>
                <w:lang w:eastAsia="zh-CN" w:bidi="en-US"/>
              </w:rPr>
            </w:pPr>
            <w:r>
              <w:rPr>
                <w:rFonts w:ascii="Times New Roman"/>
                <w:snapToGrid w:val="0"/>
                <w:color w:val="auto"/>
                <w:kern w:val="21"/>
                <w:sz w:val="24"/>
                <w:szCs w:val="24"/>
                <w:lang w:bidi="en-US"/>
              </w:rPr>
              <w:t>固体废物</w:t>
            </w:r>
          </w:p>
        </w:tc>
        <w:tc>
          <w:tcPr>
            <w:tcW w:w="2675" w:type="dxa"/>
            <w:gridSpan w:val="3"/>
            <w:vAlign w:val="center"/>
          </w:tcPr>
          <w:p>
            <w:pPr>
              <w:pStyle w:val="9"/>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边角料</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rPr>
              <w:t>62</w:t>
            </w:r>
          </w:p>
        </w:tc>
        <w:tc>
          <w:tcPr>
            <w:tcW w:w="1268" w:type="dxa"/>
            <w:vAlign w:val="center"/>
          </w:tcPr>
          <w:p>
            <w:pPr>
              <w:adjustRightInd w:val="0"/>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0</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rPr>
              <w:t>62</w:t>
            </w:r>
          </w:p>
        </w:tc>
        <w:tc>
          <w:tcPr>
            <w:tcW w:w="1378" w:type="dxa"/>
            <w:vAlign w:val="center"/>
          </w:tcPr>
          <w:p>
            <w:pPr>
              <w:adjustRightInd w:val="0"/>
              <w:snapToGrid w:val="0"/>
              <w:jc w:val="center"/>
              <w:rPr>
                <w:color w:val="auto"/>
                <w:sz w:val="24"/>
                <w:szCs w:val="24"/>
              </w:rPr>
            </w:pPr>
            <w:r>
              <w:rPr>
                <w:rFonts w:hint="eastAsia"/>
                <w:color w:val="auto"/>
                <w:sz w:val="24"/>
                <w:szCs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eastAsia="zh-CN" w:bidi="en-US"/>
              </w:rPr>
            </w:pPr>
          </w:p>
        </w:tc>
        <w:tc>
          <w:tcPr>
            <w:tcW w:w="2675" w:type="dxa"/>
            <w:gridSpan w:val="3"/>
            <w:vAlign w:val="center"/>
          </w:tcPr>
          <w:p>
            <w:pPr>
              <w:pStyle w:val="9"/>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焊渣</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rPr>
              <w:t>0.75</w:t>
            </w:r>
          </w:p>
        </w:tc>
        <w:tc>
          <w:tcPr>
            <w:tcW w:w="1268" w:type="dxa"/>
            <w:vAlign w:val="center"/>
          </w:tcPr>
          <w:p>
            <w:pPr>
              <w:adjustRightInd w:val="0"/>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0</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rPr>
              <w:t>0.75</w:t>
            </w:r>
          </w:p>
        </w:tc>
        <w:tc>
          <w:tcPr>
            <w:tcW w:w="1378" w:type="dxa"/>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jc w:val="center"/>
              <w:rPr>
                <w:rFonts w:ascii="Times New Roman"/>
                <w:snapToGrid w:val="0"/>
                <w:color w:val="auto"/>
                <w:kern w:val="21"/>
                <w:sz w:val="24"/>
                <w:szCs w:val="24"/>
                <w:lang w:eastAsia="zh-CN" w:bidi="en-US"/>
              </w:rPr>
            </w:pPr>
          </w:p>
        </w:tc>
        <w:tc>
          <w:tcPr>
            <w:tcW w:w="2675" w:type="dxa"/>
            <w:gridSpan w:val="3"/>
            <w:vAlign w:val="center"/>
          </w:tcPr>
          <w:p>
            <w:pPr>
              <w:pStyle w:val="9"/>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除尘灰</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eastAsia" w:ascii="Times New Roman" w:hAnsi="Times New Roman" w:eastAsia="宋体" w:cs="Times New Roman"/>
                <w:i w:val="0"/>
                <w:color w:val="auto"/>
                <w:sz w:val="24"/>
                <w:szCs w:val="24"/>
                <w:u w:val="none"/>
                <w:lang w:val="en-US" w:eastAsia="zh-CN"/>
              </w:rPr>
              <w:t>0.</w:t>
            </w:r>
            <w:r>
              <w:rPr>
                <w:rFonts w:hint="eastAsia" w:cs="Times New Roman"/>
                <w:i w:val="0"/>
                <w:color w:val="auto"/>
                <w:sz w:val="24"/>
                <w:szCs w:val="24"/>
                <w:u w:val="none"/>
                <w:lang w:val="en-US" w:eastAsia="zh-CN"/>
              </w:rPr>
              <w:t>5</w:t>
            </w:r>
          </w:p>
        </w:tc>
        <w:tc>
          <w:tcPr>
            <w:tcW w:w="1268" w:type="dxa"/>
            <w:vAlign w:val="center"/>
          </w:tcPr>
          <w:p>
            <w:pPr>
              <w:adjustRightInd w:val="0"/>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0</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eastAsia" w:ascii="Times New Roman" w:hAnsi="Times New Roman" w:eastAsia="宋体" w:cs="Times New Roman"/>
                <w:i w:val="0"/>
                <w:color w:val="auto"/>
                <w:sz w:val="24"/>
                <w:szCs w:val="24"/>
                <w:u w:val="none"/>
                <w:lang w:val="en-US" w:eastAsia="zh-CN"/>
              </w:rPr>
              <w:t>0.</w:t>
            </w:r>
            <w:r>
              <w:rPr>
                <w:rFonts w:hint="eastAsia" w:cs="Times New Roman"/>
                <w:i w:val="0"/>
                <w:color w:val="auto"/>
                <w:sz w:val="24"/>
                <w:szCs w:val="24"/>
                <w:u w:val="none"/>
                <w:lang w:val="en-US" w:eastAsia="zh-CN"/>
              </w:rPr>
              <w:t>5</w:t>
            </w:r>
          </w:p>
        </w:tc>
        <w:tc>
          <w:tcPr>
            <w:tcW w:w="1378" w:type="dxa"/>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restart"/>
            <w:vAlign w:val="center"/>
          </w:tcPr>
          <w:p>
            <w:pPr>
              <w:pStyle w:val="27"/>
              <w:spacing w:beforeLines="0" w:afterLines="0" w:line="240" w:lineRule="auto"/>
              <w:jc w:val="center"/>
              <w:rPr>
                <w:rFonts w:ascii="Times New Roman"/>
                <w:snapToGrid w:val="0"/>
                <w:color w:val="auto"/>
                <w:kern w:val="21"/>
                <w:sz w:val="24"/>
                <w:szCs w:val="24"/>
                <w:lang w:bidi="en-US"/>
              </w:rPr>
            </w:pPr>
            <w:r>
              <w:rPr>
                <w:rFonts w:ascii="Times New Roman"/>
                <w:snapToGrid w:val="0"/>
                <w:color w:val="auto"/>
                <w:kern w:val="21"/>
                <w:sz w:val="24"/>
                <w:szCs w:val="24"/>
                <w:lang w:bidi="en-US"/>
              </w:rPr>
              <w:t>危险废物</w:t>
            </w:r>
          </w:p>
        </w:tc>
        <w:tc>
          <w:tcPr>
            <w:tcW w:w="2675" w:type="dxa"/>
            <w:gridSpan w:val="3"/>
            <w:vAlign w:val="center"/>
          </w:tcPr>
          <w:p>
            <w:pPr>
              <w:pStyle w:val="9"/>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废切削液</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eastAsia" w:cs="Times New Roman"/>
                <w:i w:val="0"/>
                <w:color w:val="auto"/>
                <w:sz w:val="24"/>
                <w:szCs w:val="24"/>
                <w:u w:val="none"/>
                <w:lang w:val="en-US" w:eastAsia="zh-CN"/>
              </w:rPr>
              <w:t>/</w:t>
            </w:r>
          </w:p>
        </w:tc>
        <w:tc>
          <w:tcPr>
            <w:tcW w:w="1268" w:type="dxa"/>
            <w:vAlign w:val="center"/>
          </w:tcPr>
          <w:p>
            <w:pPr>
              <w:adjustRightInd w:val="0"/>
              <w:snapToGrid w:val="0"/>
              <w:jc w:val="center"/>
              <w:rPr>
                <w:rFonts w:hint="eastAsia" w:ascii="Times New Roman" w:hAnsi="Times New Roman" w:eastAsia="宋体" w:cs="Times New Roman"/>
                <w:snapToGrid w:val="0"/>
                <w:color w:val="auto"/>
                <w:kern w:val="21"/>
                <w:sz w:val="24"/>
                <w:szCs w:val="24"/>
                <w:lang w:val="en-US" w:eastAsia="zh-CN" w:bidi="en-US"/>
              </w:rPr>
            </w:pPr>
            <w:r>
              <w:rPr>
                <w:rFonts w:hint="eastAsia"/>
                <w:snapToGrid w:val="0"/>
                <w:color w:val="auto"/>
                <w:kern w:val="21"/>
                <w:sz w:val="24"/>
                <w:szCs w:val="24"/>
                <w:lang w:bidi="en-US"/>
              </w:rPr>
              <w:t>/</w:t>
            </w:r>
          </w:p>
        </w:tc>
        <w:tc>
          <w:tcPr>
            <w:tcW w:w="1340" w:type="dxa"/>
            <w:vAlign w:val="center"/>
          </w:tcPr>
          <w:p>
            <w:pPr>
              <w:snapToGrid w:val="0"/>
              <w:jc w:val="center"/>
              <w:rPr>
                <w:rFonts w:hint="eastAsia" w:ascii="Times New Roman" w:hAnsi="Times New Roman" w:eastAsia="宋体" w:cs="Times New Roman"/>
                <w:snapToGrid w:val="0"/>
                <w:color w:val="auto"/>
                <w:kern w:val="21"/>
                <w:sz w:val="24"/>
                <w:szCs w:val="24"/>
                <w:lang w:val="en-US" w:eastAsia="zh-CN"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1.1</w:t>
            </w:r>
          </w:p>
        </w:tc>
        <w:tc>
          <w:tcPr>
            <w:tcW w:w="1504" w:type="dxa"/>
            <w:vAlign w:val="center"/>
          </w:tcPr>
          <w:p>
            <w:pPr>
              <w:adjustRightInd w:val="0"/>
              <w:snapToGrid w:val="0"/>
              <w:jc w:val="center"/>
              <w:rPr>
                <w:rFonts w:hint="eastAsia" w:eastAsia="宋体"/>
                <w:snapToGrid w:val="0"/>
                <w:color w:val="auto"/>
                <w:kern w:val="21"/>
                <w:sz w:val="24"/>
                <w:szCs w:val="24"/>
                <w:lang w:val="en-US" w:eastAsia="zh-CN"/>
              </w:rPr>
            </w:pPr>
            <w:r>
              <w:rPr>
                <w:rFonts w:hint="eastAsia"/>
                <w:snapToGrid w:val="0"/>
                <w:color w:val="auto"/>
                <w:kern w:val="21"/>
                <w:sz w:val="24"/>
                <w:szCs w:val="24"/>
                <w:lang w:val="en-US" w:eastAsia="zh-CN"/>
              </w:rPr>
              <w:t>/</w:t>
            </w:r>
          </w:p>
        </w:tc>
        <w:tc>
          <w:tcPr>
            <w:tcW w:w="16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eastAsia"/>
                <w:color w:val="auto"/>
                <w:sz w:val="24"/>
                <w:szCs w:val="24"/>
                <w:lang w:val="en-US" w:eastAsia="zh-CN"/>
              </w:rPr>
              <w:t>1.1</w:t>
            </w:r>
          </w:p>
        </w:tc>
        <w:tc>
          <w:tcPr>
            <w:tcW w:w="1378"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rPr>
                <w:rFonts w:ascii="Times New Roman"/>
                <w:snapToGrid w:val="0"/>
                <w:color w:val="auto"/>
                <w:kern w:val="21"/>
                <w:sz w:val="24"/>
                <w:szCs w:val="24"/>
                <w:lang w:bidi="en-US"/>
              </w:rPr>
            </w:pPr>
          </w:p>
        </w:tc>
        <w:tc>
          <w:tcPr>
            <w:tcW w:w="2675" w:type="dxa"/>
            <w:gridSpan w:val="3"/>
            <w:vAlign w:val="center"/>
          </w:tcPr>
          <w:p>
            <w:pPr>
              <w:pStyle w:val="9"/>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废润滑油</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eastAsia" w:ascii="Times New Roman" w:hAnsi="Times New Roman" w:eastAsia="宋体" w:cs="Times New Roman"/>
                <w:i w:val="0"/>
                <w:color w:val="auto"/>
                <w:sz w:val="24"/>
                <w:szCs w:val="24"/>
                <w:u w:val="none"/>
                <w:lang w:val="en-US" w:eastAsia="zh-CN"/>
              </w:rPr>
              <w:t>0.25</w:t>
            </w:r>
          </w:p>
        </w:tc>
        <w:tc>
          <w:tcPr>
            <w:tcW w:w="1268" w:type="dxa"/>
            <w:vAlign w:val="center"/>
          </w:tcPr>
          <w:p>
            <w:pPr>
              <w:adjustRightInd w:val="0"/>
              <w:snapToGrid w:val="0"/>
              <w:jc w:val="center"/>
              <w:rPr>
                <w:snapToGrid w:val="0"/>
                <w:color w:val="auto"/>
                <w:kern w:val="21"/>
                <w:sz w:val="24"/>
                <w:szCs w:val="24"/>
              </w:rPr>
            </w:pPr>
            <w:r>
              <w:rPr>
                <w:rFonts w:hint="eastAsia"/>
                <w:snapToGrid w:val="0"/>
                <w:color w:val="auto"/>
                <w:kern w:val="21"/>
                <w:sz w:val="24"/>
                <w:szCs w:val="24"/>
                <w:lang w:bidi="en-US"/>
              </w:rPr>
              <w:t>/</w:t>
            </w:r>
          </w:p>
        </w:tc>
        <w:tc>
          <w:tcPr>
            <w:tcW w:w="1340" w:type="dxa"/>
            <w:vAlign w:val="center"/>
          </w:tcPr>
          <w:p>
            <w:pPr>
              <w:snapToGrid w:val="0"/>
              <w:jc w:val="center"/>
              <w:rPr>
                <w:snapToGrid w:val="0"/>
                <w:color w:val="auto"/>
                <w:kern w:val="21"/>
                <w:sz w:val="24"/>
                <w:szCs w:val="24"/>
                <w:lang w:eastAsia="en-US"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0</w:t>
            </w:r>
          </w:p>
        </w:tc>
        <w:tc>
          <w:tcPr>
            <w:tcW w:w="1504" w:type="dxa"/>
            <w:vAlign w:val="center"/>
          </w:tcPr>
          <w:p>
            <w:pPr>
              <w:adjustRightInd w:val="0"/>
              <w:snapToGrid w:val="0"/>
              <w:jc w:val="center"/>
              <w:rPr>
                <w:snapToGrid w:val="0"/>
                <w:color w:val="auto"/>
                <w:kern w:val="21"/>
                <w:sz w:val="24"/>
                <w:szCs w:val="24"/>
              </w:rPr>
            </w:pPr>
            <w:r>
              <w:rPr>
                <w:rFonts w:hint="eastAsia"/>
                <w:snapToGrid w:val="0"/>
                <w:color w:val="auto"/>
                <w:kern w:val="21"/>
                <w:sz w:val="24"/>
                <w:szCs w:val="24"/>
              </w:rPr>
              <w:t>/</w:t>
            </w:r>
          </w:p>
        </w:tc>
        <w:tc>
          <w:tcPr>
            <w:tcW w:w="16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eastAsia" w:ascii="Times New Roman" w:hAnsi="Times New Roman" w:eastAsia="宋体" w:cs="Times New Roman"/>
                <w:i w:val="0"/>
                <w:color w:val="auto"/>
                <w:sz w:val="24"/>
                <w:szCs w:val="24"/>
                <w:u w:val="none"/>
                <w:lang w:val="en-US" w:eastAsia="zh-CN"/>
              </w:rPr>
              <w:t>0.25</w:t>
            </w:r>
          </w:p>
        </w:tc>
        <w:tc>
          <w:tcPr>
            <w:tcW w:w="1378" w:type="dxa"/>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rPr>
                <w:rFonts w:ascii="Times New Roman"/>
                <w:snapToGrid w:val="0"/>
                <w:color w:val="auto"/>
                <w:kern w:val="21"/>
                <w:sz w:val="24"/>
                <w:szCs w:val="24"/>
                <w:lang w:bidi="en-US"/>
              </w:rPr>
            </w:pPr>
          </w:p>
        </w:tc>
        <w:tc>
          <w:tcPr>
            <w:tcW w:w="2675" w:type="dxa"/>
            <w:gridSpan w:val="3"/>
            <w:vAlign w:val="center"/>
          </w:tcPr>
          <w:p>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漆渣</w:t>
            </w:r>
          </w:p>
        </w:tc>
        <w:tc>
          <w:tcPr>
            <w:tcW w:w="1500" w:type="dxa"/>
            <w:vAlign w:val="center"/>
          </w:tcPr>
          <w:p>
            <w:pPr>
              <w:adjustRightInd w:val="0"/>
              <w:snapToGrid w:val="0"/>
              <w:jc w:val="center"/>
              <w:rPr>
                <w:rFonts w:ascii="Times New Roman" w:hAnsi="Times New Roman" w:eastAsia="宋体" w:cs="Times New Roman"/>
                <w:snapToGrid w:val="0"/>
                <w:color w:val="auto"/>
                <w:kern w:val="21"/>
                <w:sz w:val="24"/>
                <w:szCs w:val="24"/>
                <w:lang w:val="en-US" w:eastAsia="zh-CN" w:bidi="ar-SA"/>
              </w:rPr>
            </w:pPr>
            <w:r>
              <w:rPr>
                <w:rFonts w:hint="eastAsia"/>
                <w:color w:val="auto"/>
                <w:sz w:val="24"/>
                <w:szCs w:val="24"/>
              </w:rPr>
              <w:t>/</w:t>
            </w:r>
          </w:p>
        </w:tc>
        <w:tc>
          <w:tcPr>
            <w:tcW w:w="1268" w:type="dxa"/>
            <w:vAlign w:val="center"/>
          </w:tcPr>
          <w:p>
            <w:pPr>
              <w:adjustRightInd w:val="0"/>
              <w:snapToGrid w:val="0"/>
              <w:jc w:val="center"/>
              <w:rPr>
                <w:snapToGrid w:val="0"/>
                <w:color w:val="auto"/>
                <w:kern w:val="21"/>
                <w:sz w:val="24"/>
                <w:szCs w:val="24"/>
              </w:rPr>
            </w:pPr>
            <w:r>
              <w:rPr>
                <w:rFonts w:hint="eastAsia"/>
                <w:color w:val="auto"/>
                <w:sz w:val="24"/>
                <w:szCs w:val="24"/>
              </w:rPr>
              <w:t>/</w:t>
            </w:r>
          </w:p>
        </w:tc>
        <w:tc>
          <w:tcPr>
            <w:tcW w:w="1340" w:type="dxa"/>
            <w:vAlign w:val="center"/>
          </w:tcPr>
          <w:p>
            <w:pPr>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0.414</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adjustRightInd w:val="0"/>
              <w:snapToGrid w:val="0"/>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0.414</w:t>
            </w:r>
          </w:p>
        </w:tc>
        <w:tc>
          <w:tcPr>
            <w:tcW w:w="1378" w:type="dxa"/>
            <w:vAlign w:val="center"/>
          </w:tcPr>
          <w:p>
            <w:pPr>
              <w:adjustRightInd w:val="0"/>
              <w:snapToGrid w:val="0"/>
              <w:jc w:val="center"/>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0.414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rPr>
                <w:rFonts w:ascii="Times New Roman"/>
                <w:snapToGrid w:val="0"/>
                <w:color w:val="auto"/>
                <w:kern w:val="21"/>
                <w:sz w:val="24"/>
                <w:szCs w:val="24"/>
                <w:lang w:bidi="en-US"/>
              </w:rPr>
            </w:pPr>
          </w:p>
        </w:tc>
        <w:tc>
          <w:tcPr>
            <w:tcW w:w="2675" w:type="dxa"/>
            <w:gridSpan w:val="3"/>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sz w:val="24"/>
                <w:szCs w:val="24"/>
                <w:lang w:val="en-US" w:eastAsia="zh-CN"/>
              </w:rPr>
              <w:t>废包装桶</w:t>
            </w:r>
          </w:p>
        </w:tc>
        <w:tc>
          <w:tcPr>
            <w:tcW w:w="1500" w:type="dxa"/>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268" w:type="dxa"/>
            <w:vAlign w:val="center"/>
          </w:tcPr>
          <w:p>
            <w:pPr>
              <w:adjustRightInd w:val="0"/>
              <w:snapToGrid w:val="0"/>
              <w:jc w:val="center"/>
              <w:rPr>
                <w:color w:val="auto"/>
                <w:sz w:val="24"/>
                <w:szCs w:val="24"/>
              </w:rPr>
            </w:pPr>
            <w:r>
              <w:rPr>
                <w:rFonts w:hint="eastAsia"/>
                <w:color w:val="auto"/>
                <w:sz w:val="24"/>
                <w:szCs w:val="24"/>
              </w:rPr>
              <w:t>/</w:t>
            </w:r>
          </w:p>
        </w:tc>
        <w:tc>
          <w:tcPr>
            <w:tcW w:w="1340" w:type="dxa"/>
            <w:vAlign w:val="center"/>
          </w:tcPr>
          <w:p>
            <w:pPr>
              <w:snapToGrid w:val="0"/>
              <w:jc w:val="center"/>
              <w:rPr>
                <w:snapToGrid w:val="0"/>
                <w:color w:val="auto"/>
                <w:kern w:val="21"/>
                <w:sz w:val="24"/>
                <w:szCs w:val="24"/>
                <w:lang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0.482</w:t>
            </w:r>
          </w:p>
        </w:tc>
        <w:tc>
          <w:tcPr>
            <w:tcW w:w="1504" w:type="dxa"/>
            <w:vAlign w:val="center"/>
          </w:tcPr>
          <w:p>
            <w:pPr>
              <w:adjustRightInd w:val="0"/>
              <w:snapToGrid w:val="0"/>
              <w:jc w:val="center"/>
              <w:rPr>
                <w:color w:val="auto"/>
                <w:sz w:val="24"/>
                <w:szCs w:val="24"/>
              </w:rPr>
            </w:pPr>
            <w:r>
              <w:rPr>
                <w:rFonts w:hint="eastAsia"/>
                <w:color w:val="auto"/>
                <w:sz w:val="24"/>
                <w:szCs w:val="24"/>
              </w:rPr>
              <w:t>/</w:t>
            </w:r>
          </w:p>
        </w:tc>
        <w:tc>
          <w:tcPr>
            <w:tcW w:w="1664" w:type="dxa"/>
            <w:vAlign w:val="center"/>
          </w:tcPr>
          <w:p>
            <w:pPr>
              <w:adjustRightInd w:val="0"/>
              <w:snapToGrid w:val="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0.482</w:t>
            </w:r>
          </w:p>
        </w:tc>
        <w:tc>
          <w:tcPr>
            <w:tcW w:w="1378" w:type="dxa"/>
            <w:vAlign w:val="center"/>
          </w:tcPr>
          <w:p>
            <w:pPr>
              <w:adjustRightInd w:val="0"/>
              <w:snapToGrid w:val="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0.482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rPr>
                <w:rFonts w:ascii="Times New Roman"/>
                <w:snapToGrid w:val="0"/>
                <w:color w:val="auto"/>
                <w:kern w:val="21"/>
                <w:sz w:val="24"/>
                <w:szCs w:val="24"/>
                <w:lang w:bidi="en-US"/>
              </w:rPr>
            </w:pPr>
          </w:p>
        </w:tc>
        <w:tc>
          <w:tcPr>
            <w:tcW w:w="2675" w:type="dxa"/>
            <w:gridSpan w:val="3"/>
            <w:vAlign w:val="center"/>
          </w:tcPr>
          <w:p>
            <w:pPr>
              <w:pStyle w:val="33"/>
              <w:spacing w:before="100" w:beforeAutospacing="1" w:after="100" w:afterAutospacing="1" w:line="320" w:lineRule="exact"/>
              <w:ind w:firstLine="0" w:firstLineChars="0"/>
              <w:jc w:val="center"/>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废过滤材料</w:t>
            </w:r>
          </w:p>
        </w:tc>
        <w:tc>
          <w:tcPr>
            <w:tcW w:w="1500" w:type="dxa"/>
            <w:vAlign w:val="center"/>
          </w:tcPr>
          <w:p>
            <w:pPr>
              <w:adjustRightInd w:val="0"/>
              <w:snapToGrid w:val="0"/>
              <w:jc w:val="center"/>
              <w:rPr>
                <w:rFonts w:hint="eastAsia" w:ascii="Times New Roman" w:hAnsi="Times New Roman" w:eastAsia="宋体" w:cs="Times New Roman"/>
                <w:snapToGrid w:val="0"/>
                <w:color w:val="auto"/>
                <w:kern w:val="21"/>
                <w:sz w:val="24"/>
                <w:szCs w:val="24"/>
                <w:lang w:val="en-US" w:eastAsia="zh-CN" w:bidi="ar-SA"/>
              </w:rPr>
            </w:pPr>
            <w:r>
              <w:rPr>
                <w:rFonts w:hint="eastAsia"/>
                <w:color w:val="auto"/>
                <w:sz w:val="24"/>
                <w:szCs w:val="24"/>
              </w:rPr>
              <w:t>/</w:t>
            </w:r>
          </w:p>
        </w:tc>
        <w:tc>
          <w:tcPr>
            <w:tcW w:w="1268" w:type="dxa"/>
            <w:vAlign w:val="center"/>
          </w:tcPr>
          <w:p>
            <w:pPr>
              <w:adjustRightInd w:val="0"/>
              <w:snapToGrid w:val="0"/>
              <w:jc w:val="center"/>
              <w:rPr>
                <w:rFonts w:hint="eastAsia" w:ascii="Times New Roman" w:hAnsi="Times New Roman" w:eastAsia="宋体" w:cs="Times New Roman"/>
                <w:snapToGrid w:val="0"/>
                <w:color w:val="auto"/>
                <w:kern w:val="21"/>
                <w:sz w:val="24"/>
                <w:szCs w:val="24"/>
                <w:lang w:val="en-US" w:eastAsia="zh-CN" w:bidi="ar-SA"/>
              </w:rPr>
            </w:pPr>
            <w:r>
              <w:rPr>
                <w:rFonts w:hint="eastAsia"/>
                <w:color w:val="auto"/>
                <w:sz w:val="24"/>
                <w:szCs w:val="24"/>
              </w:rPr>
              <w:t>/</w:t>
            </w:r>
          </w:p>
        </w:tc>
        <w:tc>
          <w:tcPr>
            <w:tcW w:w="1340" w:type="dxa"/>
            <w:vAlign w:val="center"/>
          </w:tcPr>
          <w:p>
            <w:pPr>
              <w:snapToGrid w:val="0"/>
              <w:jc w:val="center"/>
              <w:rPr>
                <w:rFonts w:hint="eastAsia" w:ascii="Times New Roman" w:hAnsi="Times New Roman" w:eastAsia="宋体" w:cs="Times New Roman"/>
                <w:snapToGrid w:val="0"/>
                <w:color w:val="auto"/>
                <w:kern w:val="21"/>
                <w:sz w:val="24"/>
                <w:szCs w:val="24"/>
                <w:lang w:val="en-US" w:eastAsia="zh-CN"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0.841</w:t>
            </w:r>
          </w:p>
        </w:tc>
        <w:tc>
          <w:tcPr>
            <w:tcW w:w="1504"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1664" w:type="dxa"/>
            <w:vAlign w:val="center"/>
          </w:tcPr>
          <w:p>
            <w:pPr>
              <w:adjustRightInd w:val="0"/>
              <w:snapToGrid w:val="0"/>
              <w:jc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0.841</w:t>
            </w:r>
          </w:p>
        </w:tc>
        <w:tc>
          <w:tcPr>
            <w:tcW w:w="1378" w:type="dxa"/>
            <w:vAlign w:val="center"/>
          </w:tcPr>
          <w:p>
            <w:pPr>
              <w:adjustRightInd w:val="0"/>
              <w:snapToGrid w:val="0"/>
              <w:jc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+0.841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rPr>
                <w:rFonts w:ascii="Times New Roman"/>
                <w:snapToGrid w:val="0"/>
                <w:color w:val="auto"/>
                <w:kern w:val="21"/>
                <w:sz w:val="24"/>
                <w:szCs w:val="24"/>
                <w:lang w:bidi="en-US"/>
              </w:rPr>
            </w:pPr>
          </w:p>
        </w:tc>
        <w:tc>
          <w:tcPr>
            <w:tcW w:w="2675" w:type="dxa"/>
            <w:gridSpan w:val="3"/>
            <w:vAlign w:val="center"/>
          </w:tcPr>
          <w:p>
            <w:pPr>
              <w:pStyle w:val="33"/>
              <w:spacing w:before="100" w:beforeAutospacing="1" w:after="100" w:afterAutospacing="1" w:line="320" w:lineRule="exact"/>
              <w:ind w:firstLine="0" w:firstLineChars="0"/>
              <w:jc w:val="center"/>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废活性炭</w:t>
            </w:r>
          </w:p>
        </w:tc>
        <w:tc>
          <w:tcPr>
            <w:tcW w:w="1500"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26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340" w:type="dxa"/>
            <w:vAlign w:val="center"/>
          </w:tcPr>
          <w:p>
            <w:pPr>
              <w:snapToGrid w:val="0"/>
              <w:jc w:val="center"/>
              <w:rPr>
                <w:rFonts w:hint="eastAsia" w:ascii="Times New Roman" w:hAnsi="Times New Roman" w:eastAsia="宋体" w:cs="Times New Roman"/>
                <w:snapToGrid w:val="0"/>
                <w:color w:val="auto"/>
                <w:kern w:val="21"/>
                <w:sz w:val="24"/>
                <w:szCs w:val="24"/>
                <w:lang w:val="en-US" w:eastAsia="zh-CN"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eastAsia" w:ascii="Times New Roman" w:hAnsi="Times New Roman" w:eastAsia="宋体" w:cs="Times New Roman"/>
                <w:color w:val="000000"/>
                <w:spacing w:val="4"/>
                <w:kern w:val="18"/>
                <w:sz w:val="24"/>
                <w:szCs w:val="24"/>
                <w:lang w:val="en-US" w:eastAsia="zh-CN" w:bidi="ar-SA"/>
              </w:rPr>
            </w:pPr>
            <w:r>
              <w:rPr>
                <w:rFonts w:hint="eastAsia" w:ascii="Times New Roman" w:hAnsi="Times New Roman" w:eastAsia="宋体" w:cs="Times New Roman"/>
                <w:color w:val="000000"/>
                <w:spacing w:val="4"/>
                <w:kern w:val="18"/>
                <w:sz w:val="24"/>
                <w:szCs w:val="24"/>
                <w:lang w:val="en-US" w:eastAsia="zh-CN" w:bidi="ar-SA"/>
              </w:rPr>
              <w:t>15.94</w:t>
            </w:r>
          </w:p>
        </w:tc>
        <w:tc>
          <w:tcPr>
            <w:tcW w:w="1504"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1664" w:type="dxa"/>
            <w:vAlign w:val="center"/>
          </w:tcPr>
          <w:p>
            <w:pPr>
              <w:adjustRightInd w:val="0"/>
              <w:snapToGrid w:val="0"/>
              <w:jc w:val="center"/>
              <w:rPr>
                <w:rFonts w:hint="eastAsia" w:ascii="Times New Roman" w:hAnsi="Times New Roman" w:eastAsia="宋体" w:cs="Times New Roman"/>
                <w:color w:val="000000"/>
                <w:spacing w:val="4"/>
                <w:kern w:val="18"/>
                <w:sz w:val="24"/>
                <w:szCs w:val="24"/>
                <w:lang w:val="en-US" w:eastAsia="zh-CN" w:bidi="ar-SA"/>
              </w:rPr>
            </w:pPr>
            <w:r>
              <w:rPr>
                <w:rFonts w:hint="eastAsia" w:ascii="Times New Roman" w:hAnsi="Times New Roman" w:eastAsia="宋体" w:cs="Times New Roman"/>
                <w:color w:val="000000"/>
                <w:spacing w:val="4"/>
                <w:kern w:val="18"/>
                <w:sz w:val="24"/>
                <w:szCs w:val="24"/>
                <w:lang w:val="en-US" w:eastAsia="zh-CN" w:bidi="ar-SA"/>
              </w:rPr>
              <w:t>15.94</w:t>
            </w:r>
          </w:p>
        </w:tc>
        <w:tc>
          <w:tcPr>
            <w:tcW w:w="1378" w:type="dxa"/>
            <w:vAlign w:val="center"/>
          </w:tcPr>
          <w:p>
            <w:pPr>
              <w:adjustRightInd w:val="0"/>
              <w:snapToGrid w:val="0"/>
              <w:jc w:val="center"/>
              <w:rPr>
                <w:rFonts w:hint="eastAsia" w:ascii="Times New Roman" w:hAnsi="Times New Roman" w:eastAsia="宋体" w:cs="Times New Roman"/>
                <w:color w:val="000000"/>
                <w:spacing w:val="4"/>
                <w:kern w:val="18"/>
                <w:sz w:val="24"/>
                <w:szCs w:val="24"/>
                <w:lang w:val="en-US" w:eastAsia="zh-CN" w:bidi="ar-SA"/>
              </w:rPr>
            </w:pPr>
            <w:r>
              <w:rPr>
                <w:rFonts w:hint="eastAsia" w:ascii="Times New Roman" w:hAnsi="Times New Roman" w:eastAsia="宋体" w:cs="Times New Roman"/>
                <w:color w:val="000000"/>
                <w:spacing w:val="4"/>
                <w:kern w:val="18"/>
                <w:sz w:val="24"/>
                <w:szCs w:val="24"/>
                <w:lang w:val="en-US" w:eastAsia="zh-CN" w:bidi="ar-SA"/>
              </w:rPr>
              <w:t>+15.94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dxa"/>
            <w:vMerge w:val="continue"/>
            <w:vAlign w:val="center"/>
          </w:tcPr>
          <w:p>
            <w:pPr>
              <w:pStyle w:val="27"/>
              <w:spacing w:beforeLines="0" w:afterLines="0" w:line="240" w:lineRule="auto"/>
              <w:rPr>
                <w:rFonts w:ascii="Times New Roman"/>
                <w:snapToGrid w:val="0"/>
                <w:color w:val="auto"/>
                <w:kern w:val="21"/>
                <w:sz w:val="24"/>
                <w:szCs w:val="24"/>
                <w:lang w:bidi="en-US"/>
              </w:rPr>
            </w:pPr>
          </w:p>
        </w:tc>
        <w:tc>
          <w:tcPr>
            <w:tcW w:w="2675" w:type="dxa"/>
            <w:gridSpan w:val="3"/>
            <w:vAlign w:val="center"/>
          </w:tcPr>
          <w:p>
            <w:pPr>
              <w:pStyle w:val="33"/>
              <w:spacing w:before="100" w:beforeAutospacing="1" w:after="100" w:afterAutospacing="1" w:line="320" w:lineRule="exact"/>
              <w:ind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喷漆清洗废液</w:t>
            </w:r>
          </w:p>
        </w:tc>
        <w:tc>
          <w:tcPr>
            <w:tcW w:w="1500" w:type="dxa"/>
            <w:vAlign w:val="center"/>
          </w:tcPr>
          <w:p>
            <w:pPr>
              <w:adjustRightInd w:val="0"/>
              <w:snapToGrid w:val="0"/>
              <w:jc w:val="center"/>
              <w:rPr>
                <w:rFonts w:hint="default"/>
                <w:color w:val="auto"/>
                <w:sz w:val="24"/>
                <w:szCs w:val="24"/>
                <w:lang w:val="en-US" w:eastAsia="zh-CN"/>
              </w:rPr>
            </w:pPr>
            <w:r>
              <w:rPr>
                <w:rFonts w:hint="eastAsia"/>
                <w:color w:val="auto"/>
                <w:sz w:val="24"/>
                <w:szCs w:val="24"/>
              </w:rPr>
              <w:t>/</w:t>
            </w:r>
          </w:p>
        </w:tc>
        <w:tc>
          <w:tcPr>
            <w:tcW w:w="1268" w:type="dxa"/>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w:t>
            </w:r>
          </w:p>
        </w:tc>
        <w:tc>
          <w:tcPr>
            <w:tcW w:w="1340" w:type="dxa"/>
            <w:vAlign w:val="center"/>
          </w:tcPr>
          <w:p>
            <w:pPr>
              <w:snapToGrid w:val="0"/>
              <w:jc w:val="center"/>
              <w:rPr>
                <w:rFonts w:hint="eastAsia" w:ascii="Times New Roman" w:hAnsi="Times New Roman" w:eastAsia="宋体" w:cs="Times New Roman"/>
                <w:snapToGrid w:val="0"/>
                <w:color w:val="auto"/>
                <w:kern w:val="21"/>
                <w:sz w:val="24"/>
                <w:szCs w:val="24"/>
                <w:lang w:val="en-US" w:eastAsia="zh-CN" w:bidi="en-US"/>
              </w:rPr>
            </w:pPr>
            <w:r>
              <w:rPr>
                <w:rFonts w:hint="eastAsia"/>
                <w:snapToGrid w:val="0"/>
                <w:color w:val="auto"/>
                <w:kern w:val="21"/>
                <w:sz w:val="24"/>
                <w:szCs w:val="24"/>
                <w:lang w:bidi="en-US"/>
              </w:rPr>
              <w:t>/</w:t>
            </w:r>
          </w:p>
        </w:tc>
        <w:tc>
          <w:tcPr>
            <w:tcW w:w="1559" w:type="dxa"/>
            <w:vAlign w:val="center"/>
          </w:tcPr>
          <w:p>
            <w:pPr>
              <w:adjustRightInd w:val="0"/>
              <w:snapToGrid w:val="0"/>
              <w:jc w:val="center"/>
              <w:rPr>
                <w:rFonts w:hint="default" w:ascii="Times New Roman" w:hAnsi="Times New Roman" w:eastAsia="宋体" w:cs="Times New Roman"/>
                <w:color w:val="000000"/>
                <w:spacing w:val="4"/>
                <w:kern w:val="18"/>
                <w:sz w:val="24"/>
                <w:szCs w:val="24"/>
                <w:lang w:val="en-US" w:eastAsia="zh-CN" w:bidi="ar-SA"/>
              </w:rPr>
            </w:pPr>
            <w:r>
              <w:rPr>
                <w:rFonts w:hint="eastAsia" w:cs="Times New Roman"/>
                <w:color w:val="000000"/>
                <w:spacing w:val="4"/>
                <w:kern w:val="18"/>
                <w:sz w:val="24"/>
                <w:szCs w:val="24"/>
                <w:lang w:val="en-US" w:eastAsia="zh-CN" w:bidi="ar-SA"/>
              </w:rPr>
              <w:t>0.07</w:t>
            </w:r>
          </w:p>
        </w:tc>
        <w:tc>
          <w:tcPr>
            <w:tcW w:w="1504" w:type="dxa"/>
            <w:vAlign w:val="center"/>
          </w:tcPr>
          <w:p>
            <w:pPr>
              <w:adjustRightInd w:val="0"/>
              <w:snapToGrid w:val="0"/>
              <w:jc w:val="center"/>
              <w:rPr>
                <w:rFonts w:hint="eastAsia"/>
                <w:color w:val="auto"/>
                <w:sz w:val="24"/>
                <w:szCs w:val="24"/>
                <w:lang w:val="en-US" w:eastAsia="zh-CN"/>
              </w:rPr>
            </w:pPr>
            <w:r>
              <w:rPr>
                <w:rFonts w:hint="eastAsia"/>
                <w:color w:val="auto"/>
                <w:sz w:val="24"/>
                <w:szCs w:val="24"/>
                <w:lang w:val="en-US" w:eastAsia="zh-CN"/>
              </w:rPr>
              <w:t>/</w:t>
            </w:r>
          </w:p>
        </w:tc>
        <w:tc>
          <w:tcPr>
            <w:tcW w:w="1664" w:type="dxa"/>
            <w:vAlign w:val="center"/>
          </w:tcPr>
          <w:p>
            <w:pPr>
              <w:adjustRightInd w:val="0"/>
              <w:snapToGrid w:val="0"/>
              <w:jc w:val="center"/>
              <w:rPr>
                <w:rFonts w:hint="default" w:ascii="Times New Roman" w:hAnsi="Times New Roman" w:eastAsia="宋体" w:cs="Times New Roman"/>
                <w:color w:val="000000"/>
                <w:spacing w:val="4"/>
                <w:kern w:val="18"/>
                <w:sz w:val="24"/>
                <w:szCs w:val="24"/>
                <w:lang w:val="en-US" w:eastAsia="zh-CN" w:bidi="ar-SA"/>
              </w:rPr>
            </w:pPr>
            <w:r>
              <w:rPr>
                <w:rFonts w:hint="eastAsia" w:cs="Times New Roman"/>
                <w:color w:val="000000"/>
                <w:spacing w:val="4"/>
                <w:kern w:val="18"/>
                <w:sz w:val="24"/>
                <w:szCs w:val="24"/>
                <w:lang w:val="en-US" w:eastAsia="zh-CN" w:bidi="ar-SA"/>
              </w:rPr>
              <w:t>0.07</w:t>
            </w:r>
          </w:p>
        </w:tc>
        <w:tc>
          <w:tcPr>
            <w:tcW w:w="1378" w:type="dxa"/>
            <w:vAlign w:val="center"/>
          </w:tcPr>
          <w:p>
            <w:pPr>
              <w:adjustRightInd w:val="0"/>
              <w:snapToGrid w:val="0"/>
              <w:jc w:val="center"/>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+0.07</w:t>
            </w:r>
          </w:p>
        </w:tc>
      </w:tr>
    </w:tbl>
    <w:p>
      <w:pPr>
        <w:pStyle w:val="27"/>
        <w:spacing w:before="192" w:beforeLines="80" w:after="24"/>
        <w:jc w:val="left"/>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pStyle w:val="7"/>
      </w:pPr>
    </w:p>
    <w:p/>
    <w:p>
      <w:pPr>
        <w:pStyle w:val="7"/>
      </w:pPr>
    </w:p>
    <w:p/>
    <w:p>
      <w:pPr>
        <w:pStyle w:val="7"/>
      </w:pPr>
    </w:p>
    <w:p/>
    <w:p>
      <w:pPr>
        <w:pStyle w:val="7"/>
      </w:pPr>
    </w:p>
    <w:p/>
    <w:p>
      <w:pPr>
        <w:pStyle w:val="7"/>
      </w:pPr>
    </w:p>
    <w:p/>
    <w:p>
      <w:pPr>
        <w:pStyle w:val="7"/>
      </w:pPr>
    </w:p>
    <w:p/>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Arial Black">
    <w:altName w:val="DejaVu Sans"/>
    <w:panose1 w:val="020B0A04020102020204"/>
    <w:charset w:val="00"/>
    <w:family w:val="swiss"/>
    <w:pitch w:val="default"/>
    <w:sig w:usb0="00000000" w:usb1="00000000" w:usb2="00000000" w:usb3="00000000" w:csb0="6000009F" w:csb1="DFD70000"/>
  </w:font>
  <w:font w:name="Arial Unicode MS">
    <w:altName w:val="DejaVu Sans"/>
    <w:panose1 w:val="020B0604020202020204"/>
    <w:charset w:val="86"/>
    <w:family w:val="swiss"/>
    <w:pitch w:val="default"/>
    <w:sig w:usb0="00000000" w:usb1="00000000" w:usb2="0000003F" w:usb3="00000000" w:csb0="603F01FF" w:csb1="FFFF0000"/>
  </w:font>
  <w:font w:name="仿宋">
    <w:altName w:val="微软雅黑"/>
    <w:panose1 w:val="02010609060101010101"/>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altName w:val="国标宋体-超大字符集"/>
    <w:panose1 w:val="05020102010507070707"/>
    <w:charset w:val="00"/>
    <w:family w:val="auto"/>
    <w:pitch w:val="default"/>
    <w:sig w:usb0="00000000" w:usb1="00000000" w:usb2="00000000" w:usb3="00000000" w:csb0="80000000" w:csb1="00000000"/>
  </w:font>
  <w:font w:name="国标宋体-超大字符集">
    <w:panose1 w:val="03000509000000000000"/>
    <w:charset w:val="86"/>
    <w:family w:val="auto"/>
    <w:pitch w:val="default"/>
    <w:sig w:usb0="00000001" w:usb1="08000000" w:usb2="00000000"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FZFSK--GBK1-0">
    <w:altName w:val="宋体"/>
    <w:panose1 w:val="00000000000000000000"/>
    <w:charset w:val="86"/>
    <w:family w:val="auto"/>
    <w:pitch w:val="default"/>
    <w:sig w:usb0="00000000" w:usb1="00000000" w:usb2="00000000" w:usb3="00000000" w:csb0="00040000" w:csb1="00000000"/>
  </w:font>
  <w:font w:name="TimesNewRomanPSMT">
    <w:altName w:val="DejaVu Sans"/>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4"/>
      </w:rPr>
    </w:pPr>
    <w:r>
      <w:fldChar w:fldCharType="begin"/>
    </w:r>
    <w:r>
      <w:rPr>
        <w:rStyle w:val="24"/>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d5jm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hiWEaFb98/3b58evy8yvBGQSqXZgjbucQGZu3tkHbDOcBh4l3U3qdvmBE4AfW&#10;+SqvaCLh6dJsOpuN4eLwDRvgZ4/XnQ/xnbCaJCOnHvVrZWWnbYhd6BCSshm7kUq1NVSG1Dm9ef1m&#10;3F64egCuDHIkEt1jkxWbfdMz29viDGLedr0RHN9IJN+yEB+YRzPgwRiXeI+lVBZJbG9RUln/5V/n&#10;KR41gpeSGs2VU4NZokS9N6gdAONg+MHYD4Y56juLbp1gDB1vTVzwUQ1m6a3+jBlapRxwMcORKadx&#10;MO9i1+CYQS5Wqzbo6Lw8VN0FdJ5jcWt2jqc0ScjgVscIMVuNk0CdKr1u6L22Sv2cpOb+c99GPf4b&#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NR3mOYyAgAAYwQAAA4AAAAAAAAAAQAgAAAA&#10;NQEAAGRycy9lMm9Eb2MueG1sUEsFBgAAAAAGAAYAWQEAANkFAAAAAA==&#10;">
              <v:fill on="f" focussize="0,0"/>
              <v:stroke on="f" weight="0.5pt"/>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4"/>
                              <w:rFonts w:hint="eastAsia" w:ascii="宋体" w:hAnsi="宋体"/>
                              <w:sz w:val="28"/>
                              <w:szCs w:val="28"/>
                            </w:rPr>
                          </w:pPr>
                          <w:r>
                            <w:rPr>
                              <w:rStyle w:val="24"/>
                              <w:rFonts w:hint="eastAsia" w:ascii="宋体" w:hAnsi="宋体"/>
                              <w:sz w:val="28"/>
                              <w:szCs w:val="28"/>
                            </w:rPr>
                            <w:t xml:space="preserve">— </w:t>
                          </w:r>
                          <w:r>
                            <w:rPr>
                              <w:rStyle w:val="24"/>
                              <w:rFonts w:hint="eastAsia" w:ascii="Times New Roman" w:hAnsi="Times New Roman"/>
                              <w:sz w:val="21"/>
                              <w:szCs w:val="21"/>
                            </w:rPr>
                            <w:fldChar w:fldCharType="begin"/>
                          </w:r>
                          <w:r>
                            <w:rPr>
                              <w:rStyle w:val="24"/>
                              <w:rFonts w:hint="eastAsia" w:ascii="Times New Roman" w:hAnsi="Times New Roman"/>
                              <w:sz w:val="21"/>
                              <w:szCs w:val="21"/>
                            </w:rPr>
                            <w:instrText xml:space="preserve"> PAGE  \* MERGEFORMAT </w:instrText>
                          </w:r>
                          <w:r>
                            <w:rPr>
                              <w:rStyle w:val="24"/>
                              <w:rFonts w:hint="eastAsia" w:ascii="Times New Roman" w:hAnsi="Times New Roman"/>
                              <w:sz w:val="21"/>
                              <w:szCs w:val="21"/>
                            </w:rPr>
                            <w:fldChar w:fldCharType="separate"/>
                          </w:r>
                          <w:r>
                            <w:rPr>
                              <w:rStyle w:val="24"/>
                              <w:rFonts w:hint="eastAsia" w:ascii="Times New Roman" w:hAnsi="Times New Roman"/>
                              <w:sz w:val="21"/>
                              <w:szCs w:val="21"/>
                            </w:rPr>
                            <w:t>34</w:t>
                          </w:r>
                          <w:r>
                            <w:rPr>
                              <w:rStyle w:val="24"/>
                              <w:rFonts w:hint="eastAsia" w:ascii="Times New Roman" w:hAnsi="Times New Roman"/>
                              <w:sz w:val="21"/>
                              <w:szCs w:val="21"/>
                            </w:rPr>
                            <w:fldChar w:fldCharType="end"/>
                          </w:r>
                          <w:r>
                            <w:rPr>
                              <w:rStyle w:val="24"/>
                              <w:rFonts w:hint="eastAsia"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11"/>
                      <w:rPr>
                        <w:rStyle w:val="24"/>
                        <w:rFonts w:hint="eastAsia" w:ascii="宋体" w:hAnsi="宋体"/>
                        <w:sz w:val="28"/>
                        <w:szCs w:val="28"/>
                      </w:rPr>
                    </w:pPr>
                    <w:r>
                      <w:rPr>
                        <w:rStyle w:val="24"/>
                        <w:rFonts w:hint="eastAsia" w:ascii="宋体" w:hAnsi="宋体"/>
                        <w:sz w:val="28"/>
                        <w:szCs w:val="28"/>
                      </w:rPr>
                      <w:t xml:space="preserve">— </w:t>
                    </w:r>
                    <w:r>
                      <w:rPr>
                        <w:rStyle w:val="24"/>
                        <w:rFonts w:hint="eastAsia" w:ascii="Times New Roman" w:hAnsi="Times New Roman"/>
                        <w:sz w:val="21"/>
                        <w:szCs w:val="21"/>
                      </w:rPr>
                      <w:fldChar w:fldCharType="begin"/>
                    </w:r>
                    <w:r>
                      <w:rPr>
                        <w:rStyle w:val="24"/>
                        <w:rFonts w:hint="eastAsia" w:ascii="Times New Roman" w:hAnsi="Times New Roman"/>
                        <w:sz w:val="21"/>
                        <w:szCs w:val="21"/>
                      </w:rPr>
                      <w:instrText xml:space="preserve"> PAGE  \* MERGEFORMAT </w:instrText>
                    </w:r>
                    <w:r>
                      <w:rPr>
                        <w:rStyle w:val="24"/>
                        <w:rFonts w:hint="eastAsia" w:ascii="Times New Roman" w:hAnsi="Times New Roman"/>
                        <w:sz w:val="21"/>
                        <w:szCs w:val="21"/>
                      </w:rPr>
                      <w:fldChar w:fldCharType="separate"/>
                    </w:r>
                    <w:r>
                      <w:rPr>
                        <w:rStyle w:val="24"/>
                        <w:rFonts w:hint="eastAsia" w:ascii="Times New Roman" w:hAnsi="Times New Roman"/>
                        <w:sz w:val="21"/>
                        <w:szCs w:val="21"/>
                      </w:rPr>
                      <w:t>34</w:t>
                    </w:r>
                    <w:r>
                      <w:rPr>
                        <w:rStyle w:val="24"/>
                        <w:rFonts w:hint="eastAsia" w:ascii="Times New Roman" w:hAnsi="Times New Roman"/>
                        <w:sz w:val="21"/>
                        <w:szCs w:val="21"/>
                      </w:rPr>
                      <w:fldChar w:fldCharType="end"/>
                    </w:r>
                    <w:r>
                      <w:rPr>
                        <w:rStyle w:val="24"/>
                        <w:rFonts w:hint="eastAsia" w:ascii="宋体" w:hAnsi="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11AE92"/>
    <w:multiLevelType w:val="singleLevel"/>
    <w:tmpl w:val="CA11AE92"/>
    <w:lvl w:ilvl="0" w:tentative="0">
      <w:start w:val="1"/>
      <w:numFmt w:val="decimal"/>
      <w:suff w:val="nothing"/>
      <w:lvlText w:val="（%1）"/>
      <w:lvlJc w:val="left"/>
    </w:lvl>
  </w:abstractNum>
  <w:abstractNum w:abstractNumId="1">
    <w:nsid w:val="D9BF43EB"/>
    <w:multiLevelType w:val="singleLevel"/>
    <w:tmpl w:val="D9BF43EB"/>
    <w:lvl w:ilvl="0" w:tentative="0">
      <w:start w:val="5"/>
      <w:numFmt w:val="decimal"/>
      <w:suff w:val="nothing"/>
      <w:lvlText w:val="（%1）"/>
      <w:lvlJc w:val="left"/>
    </w:lvl>
  </w:abstractNum>
  <w:abstractNum w:abstractNumId="2">
    <w:nsid w:val="FB296B58"/>
    <w:multiLevelType w:val="singleLevel"/>
    <w:tmpl w:val="FB296B58"/>
    <w:lvl w:ilvl="0" w:tentative="0">
      <w:start w:val="1"/>
      <w:numFmt w:val="chineseCounting"/>
      <w:suff w:val="nothing"/>
      <w:lvlText w:val="%1、"/>
      <w:lvlJc w:val="left"/>
      <w:rPr>
        <w:rFonts w:hint="eastAsia"/>
      </w:rPr>
    </w:lvl>
  </w:abstractNum>
  <w:abstractNum w:abstractNumId="3">
    <w:nsid w:val="00000004"/>
    <w:multiLevelType w:val="singleLevel"/>
    <w:tmpl w:val="00000004"/>
    <w:lvl w:ilvl="0" w:tentative="0">
      <w:start w:val="1"/>
      <w:numFmt w:val="decimal"/>
      <w:pStyle w:val="37"/>
      <w:lvlText w:val="%1"/>
      <w:lvlJc w:val="left"/>
      <w:pPr>
        <w:tabs>
          <w:tab w:val="left" w:pos="0"/>
        </w:tabs>
      </w:pPr>
      <w:rPr>
        <w:rFonts w:hint="default" w:ascii="Times New Roman" w:hAnsi="Times New Roman" w:eastAsia="宋体" w:cs="Times New Roman"/>
        <w:b/>
        <w:bCs/>
        <w:sz w:val="21"/>
        <w:szCs w:val="21"/>
      </w:rPr>
    </w:lvl>
  </w:abstractNum>
  <w:abstractNum w:abstractNumId="4">
    <w:nsid w:val="28DF2290"/>
    <w:multiLevelType w:val="singleLevel"/>
    <w:tmpl w:val="28DF2290"/>
    <w:lvl w:ilvl="0" w:tentative="0">
      <w:start w:val="1"/>
      <w:numFmt w:val="decimal"/>
      <w:suff w:val="nothing"/>
      <w:lvlText w:val="%1、"/>
      <w:lvlJc w:val="left"/>
    </w:lvl>
  </w:abstractNum>
  <w:abstractNum w:abstractNumId="5">
    <w:nsid w:val="565E75A8"/>
    <w:multiLevelType w:val="singleLevel"/>
    <w:tmpl w:val="565E75A8"/>
    <w:lvl w:ilvl="0" w:tentative="0">
      <w:start w:val="1"/>
      <w:numFmt w:val="decimal"/>
      <w:suff w:val="nothing"/>
      <w:lvlText w:val="（%1）"/>
      <w:lvlJc w:val="left"/>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kYmIzOGQ0YTNhOWM0NDgwMDg4Y2U2NzJjMGE3ZWYifQ=="/>
  </w:docVars>
  <w:rsids>
    <w:rsidRoot w:val="4F507E61"/>
    <w:rsid w:val="05232B01"/>
    <w:rsid w:val="0A980DDA"/>
    <w:rsid w:val="0FB42A9B"/>
    <w:rsid w:val="18ED431E"/>
    <w:rsid w:val="1B1107F6"/>
    <w:rsid w:val="1BA060B8"/>
    <w:rsid w:val="1C3770A0"/>
    <w:rsid w:val="1ED815CC"/>
    <w:rsid w:val="1FF73CD4"/>
    <w:rsid w:val="20947775"/>
    <w:rsid w:val="20A21E92"/>
    <w:rsid w:val="234C010F"/>
    <w:rsid w:val="23D951F7"/>
    <w:rsid w:val="27BB1A8B"/>
    <w:rsid w:val="285355AB"/>
    <w:rsid w:val="2DCF25AB"/>
    <w:rsid w:val="35283B71"/>
    <w:rsid w:val="36325D12"/>
    <w:rsid w:val="3727713D"/>
    <w:rsid w:val="38E069CE"/>
    <w:rsid w:val="39447B32"/>
    <w:rsid w:val="3C7178C4"/>
    <w:rsid w:val="3CE36288"/>
    <w:rsid w:val="45B7128B"/>
    <w:rsid w:val="46957C1F"/>
    <w:rsid w:val="4762720F"/>
    <w:rsid w:val="476316CD"/>
    <w:rsid w:val="48B22EB4"/>
    <w:rsid w:val="4A615665"/>
    <w:rsid w:val="4B736055"/>
    <w:rsid w:val="4BC5780F"/>
    <w:rsid w:val="4DF2654F"/>
    <w:rsid w:val="4F507E61"/>
    <w:rsid w:val="50FE0AB7"/>
    <w:rsid w:val="51F223CA"/>
    <w:rsid w:val="53B43B39"/>
    <w:rsid w:val="54494159"/>
    <w:rsid w:val="56574EF1"/>
    <w:rsid w:val="59EC3F96"/>
    <w:rsid w:val="5B351579"/>
    <w:rsid w:val="5B50604C"/>
    <w:rsid w:val="62D6719E"/>
    <w:rsid w:val="63FC4110"/>
    <w:rsid w:val="6AFA6F8C"/>
    <w:rsid w:val="6C1856E7"/>
    <w:rsid w:val="6F0F4163"/>
    <w:rsid w:val="74716D26"/>
    <w:rsid w:val="75082E7D"/>
    <w:rsid w:val="75D6274E"/>
    <w:rsid w:val="76EB23FC"/>
    <w:rsid w:val="77420E4E"/>
    <w:rsid w:val="777D59E2"/>
    <w:rsid w:val="79002D6F"/>
    <w:rsid w:val="7A5618EC"/>
    <w:rsid w:val="7ACE5D55"/>
    <w:rsid w:val="7E9710F9"/>
    <w:rsid w:val="7EF63F84"/>
    <w:rsid w:val="FFFB4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9"/>
    <w:pPr>
      <w:keepNext/>
      <w:keepLines/>
      <w:outlineLvl w:val="1"/>
    </w:pPr>
    <w:rPr>
      <w:rFonts w:ascii="Arial" w:hAnsi="Arial" w:eastAsia="黑体"/>
      <w:b/>
      <w:bCs/>
      <w:sz w:val="28"/>
      <w:szCs w:val="32"/>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4">
    <w:name w:val="heading 4"/>
    <w:basedOn w:val="1"/>
    <w:next w:val="1"/>
    <w:unhideWhenUsed/>
    <w:qFormat/>
    <w:uiPriority w:val="0"/>
    <w:pPr>
      <w:keepNext/>
      <w:keepLines/>
      <w:adjustRightInd w:val="0"/>
      <w:snapToGrid w:val="0"/>
      <w:spacing w:line="360" w:lineRule="auto"/>
      <w:outlineLvl w:val="3"/>
    </w:pPr>
    <w:rPr>
      <w:b/>
      <w:sz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adjustRightInd w:val="0"/>
      <w:snapToGrid w:val="0"/>
      <w:spacing w:line="300" w:lineRule="auto"/>
    </w:pPr>
    <w:rPr>
      <w:rFonts w:ascii="仿宋_GB2312" w:eastAsia="仿宋_GB2312"/>
      <w:sz w:val="28"/>
    </w:rPr>
  </w:style>
  <w:style w:type="paragraph" w:styleId="6">
    <w:name w:val="annotation text"/>
    <w:basedOn w:val="1"/>
    <w:semiHidden/>
    <w:qFormat/>
    <w:uiPriority w:val="0"/>
    <w:pPr>
      <w:jc w:val="left"/>
    </w:pPr>
    <w:rPr>
      <w:kern w:val="0"/>
      <w:sz w:val="24"/>
      <w:szCs w:val="20"/>
    </w:rPr>
  </w:style>
  <w:style w:type="paragraph" w:styleId="7">
    <w:name w:val="Body Text"/>
    <w:basedOn w:val="1"/>
    <w:next w:val="1"/>
    <w:qFormat/>
    <w:uiPriority w:val="0"/>
    <w:pPr>
      <w:widowControl/>
      <w:snapToGrid w:val="0"/>
      <w:spacing w:before="60" w:after="160" w:line="259" w:lineRule="auto"/>
      <w:ind w:right="113"/>
    </w:pPr>
    <w:rPr>
      <w:kern w:val="0"/>
      <w:sz w:val="18"/>
      <w:szCs w:val="20"/>
    </w:rPr>
  </w:style>
  <w:style w:type="paragraph" w:styleId="8">
    <w:name w:val="Body Text Indent"/>
    <w:basedOn w:val="1"/>
    <w:next w:val="1"/>
    <w:qFormat/>
    <w:uiPriority w:val="0"/>
    <w:pPr>
      <w:spacing w:after="120"/>
      <w:ind w:left="420" w:leftChars="200"/>
    </w:pPr>
    <w:rPr>
      <w:kern w:val="0"/>
      <w:sz w:val="24"/>
      <w:szCs w:val="20"/>
    </w:rPr>
  </w:style>
  <w:style w:type="paragraph" w:styleId="9">
    <w:name w:val="Plain Text"/>
    <w:basedOn w:val="1"/>
    <w:next w:val="10"/>
    <w:qFormat/>
    <w:uiPriority w:val="0"/>
    <w:rPr>
      <w:rFonts w:ascii="宋体" w:hAnsi="Courier New"/>
    </w:rPr>
  </w:style>
  <w:style w:type="paragraph" w:styleId="10">
    <w:name w:val="toc 1"/>
    <w:basedOn w:val="1"/>
    <w:next w:val="1"/>
    <w:qFormat/>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index heading"/>
    <w:basedOn w:val="1"/>
    <w:next w:val="14"/>
    <w:qFormat/>
    <w:uiPriority w:val="0"/>
    <w:rPr>
      <w:szCs w:val="20"/>
    </w:rPr>
  </w:style>
  <w:style w:type="paragraph" w:styleId="14">
    <w:name w:val="index 1"/>
    <w:basedOn w:val="1"/>
    <w:next w:val="1"/>
    <w:qFormat/>
    <w:uiPriority w:val="99"/>
    <w:pPr>
      <w:widowControl/>
      <w:adjustRightInd w:val="0"/>
      <w:snapToGrid w:val="0"/>
      <w:spacing w:line="0" w:lineRule="atLeast"/>
      <w:jc w:val="center"/>
    </w:pPr>
    <w:rPr>
      <w:kern w:val="0"/>
      <w:lang w:eastAsia="en-US" w:bidi="en-US"/>
    </w:rPr>
  </w:style>
  <w:style w:type="paragraph" w:styleId="15">
    <w:name w:val="Body Text Indent 3"/>
    <w:basedOn w:val="1"/>
    <w:qFormat/>
    <w:uiPriority w:val="0"/>
    <w:pPr>
      <w:spacing w:after="120"/>
      <w:ind w:left="420" w:leftChars="200"/>
    </w:pPr>
    <w:rPr>
      <w:sz w:val="16"/>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Body Text First Indent 2"/>
    <w:basedOn w:val="8"/>
    <w:next w:val="18"/>
    <w:unhideWhenUsed/>
    <w:qFormat/>
    <w:uiPriority w:val="99"/>
    <w:pPr>
      <w:ind w:firstLine="420" w:firstLineChars="200"/>
    </w:pPr>
  </w:style>
  <w:style w:type="paragraph" w:customStyle="1" w:styleId="18">
    <w:name w:val="Default"/>
    <w:basedOn w:val="19"/>
    <w:next w:val="11"/>
    <w:qFormat/>
    <w:uiPriority w:val="0"/>
    <w:pPr>
      <w:autoSpaceDE w:val="0"/>
      <w:autoSpaceDN w:val="0"/>
      <w:adjustRightInd w:val="0"/>
      <w:spacing w:after="200" w:line="276" w:lineRule="auto"/>
    </w:pPr>
    <w:rPr>
      <w:rFonts w:ascii="仿宋_GB2312" w:cs="仿宋_GB2312"/>
      <w:color w:val="000000"/>
      <w:sz w:val="24"/>
    </w:rPr>
  </w:style>
  <w:style w:type="paragraph" w:customStyle="1" w:styleId="19">
    <w:name w:val="标题 段落4级"/>
    <w:basedOn w:val="20"/>
    <w:next w:val="6"/>
    <w:qFormat/>
    <w:uiPriority w:val="0"/>
    <w:pPr>
      <w:outlineLvl w:val="3"/>
    </w:pPr>
    <w:rPr>
      <w:rFonts w:cs="Calibri"/>
      <w:b/>
    </w:rPr>
  </w:style>
  <w:style w:type="paragraph" w:customStyle="1" w:styleId="20">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annotation reference"/>
    <w:semiHidden/>
    <w:qFormat/>
    <w:uiPriority w:val="0"/>
    <w:rPr>
      <w:sz w:val="21"/>
    </w:rPr>
  </w:style>
  <w:style w:type="paragraph" w:customStyle="1" w:styleId="26">
    <w:name w:val="0正文"/>
    <w:basedOn w:val="16"/>
    <w:qFormat/>
    <w:uiPriority w:val="0"/>
    <w:pPr>
      <w:spacing w:before="0" w:beforeAutospacing="0" w:after="0" w:afterAutospacing="0"/>
      <w:ind w:firstLine="482"/>
      <w:jc w:val="both"/>
    </w:pPr>
    <w:rPr>
      <w:rFonts w:ascii="Times New Roman" w:hAnsi="Times New Roman"/>
      <w:kern w:val="2"/>
    </w:rPr>
  </w:style>
  <w:style w:type="paragraph" w:customStyle="1" w:styleId="27">
    <w:name w:val="表格"/>
    <w:basedOn w:val="28"/>
    <w:next w:val="1"/>
    <w:qFormat/>
    <w:uiPriority w:val="0"/>
    <w:pPr>
      <w:spacing w:beforeLines="10" w:afterLines="10" w:line="259" w:lineRule="auto"/>
    </w:pPr>
    <w:rPr>
      <w:rFonts w:ascii="宋体" w:hAnsi="Times New Roman" w:eastAsia="宋体"/>
      <w:kern w:val="0"/>
      <w:szCs w:val="20"/>
      <w:lang w:bidi="ar-SA"/>
    </w:rPr>
  </w:style>
  <w:style w:type="paragraph" w:customStyle="1" w:styleId="28">
    <w:name w:val="样式1"/>
    <w:basedOn w:val="13"/>
    <w:next w:val="1"/>
    <w:qFormat/>
    <w:uiPriority w:val="0"/>
  </w:style>
  <w:style w:type="paragraph" w:customStyle="1" w:styleId="29">
    <w:name w:val="Table Paragraph"/>
    <w:basedOn w:val="1"/>
    <w:qFormat/>
    <w:uiPriority w:val="1"/>
  </w:style>
  <w:style w:type="paragraph" w:customStyle="1" w:styleId="30">
    <w:name w:val="表格内文字"/>
    <w:basedOn w:val="1"/>
    <w:qFormat/>
    <w:uiPriority w:val="0"/>
    <w:pPr>
      <w:tabs>
        <w:tab w:val="left" w:pos="0"/>
      </w:tabs>
      <w:adjustRightInd w:val="0"/>
      <w:snapToGrid w:val="0"/>
      <w:jc w:val="center"/>
    </w:pPr>
    <w:rPr>
      <w:spacing w:val="4"/>
      <w:kern w:val="18"/>
    </w:rPr>
  </w:style>
  <w:style w:type="paragraph" w:customStyle="1" w:styleId="31">
    <w:name w:val="表头"/>
    <w:basedOn w:val="32"/>
    <w:next w:val="1"/>
    <w:qFormat/>
    <w:uiPriority w:val="0"/>
    <w:rPr>
      <w:szCs w:val="24"/>
    </w:rPr>
  </w:style>
  <w:style w:type="paragraph" w:customStyle="1" w:styleId="32">
    <w:name w:val="图、表"/>
    <w:basedOn w:val="1"/>
    <w:qFormat/>
    <w:uiPriority w:val="0"/>
    <w:pPr>
      <w:jc w:val="center"/>
    </w:pPr>
    <w:rPr>
      <w:b/>
    </w:rPr>
  </w:style>
  <w:style w:type="paragraph" w:customStyle="1" w:styleId="33">
    <w:name w:val="表格文字2"/>
    <w:basedOn w:val="34"/>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34">
    <w:name w:val="表格文字"/>
    <w:basedOn w:val="9"/>
    <w:next w:val="35"/>
    <w:qFormat/>
    <w:uiPriority w:val="0"/>
    <w:pPr>
      <w:widowControl/>
      <w:adjustRightInd w:val="0"/>
      <w:snapToGrid w:val="0"/>
      <w:jc w:val="center"/>
    </w:pPr>
    <w:rPr>
      <w:rFonts w:ascii="仿宋_GB2312" w:hAnsi="Arial Black" w:eastAsia="仿宋_GB2312"/>
      <w:kern w:val="44"/>
      <w:lang w:eastAsia="en-US" w:bidi="en-US"/>
    </w:rPr>
  </w:style>
  <w:style w:type="paragraph" w:customStyle="1" w:styleId="35">
    <w:name w:val="!正文"/>
    <w:basedOn w:val="1"/>
    <w:qFormat/>
    <w:uiPriority w:val="0"/>
    <w:pPr>
      <w:tabs>
        <w:tab w:val="left" w:pos="840"/>
      </w:tabs>
      <w:spacing w:line="312" w:lineRule="auto"/>
      <w:ind w:firstLine="200" w:firstLineChars="200"/>
    </w:pPr>
    <w:rPr>
      <w:sz w:val="24"/>
    </w:rPr>
  </w:style>
  <w:style w:type="paragraph" w:customStyle="1" w:styleId="36">
    <w:name w:val="表格表名"/>
    <w:basedOn w:val="1"/>
    <w:next w:val="1"/>
    <w:qFormat/>
    <w:uiPriority w:val="0"/>
    <w:pPr>
      <w:spacing w:before="10" w:beforeLines="10" w:after="10" w:afterLines="10"/>
      <w:ind w:firstLine="0" w:firstLineChars="0"/>
      <w:jc w:val="center"/>
    </w:pPr>
    <w:rPr>
      <w:b/>
    </w:rPr>
  </w:style>
  <w:style w:type="paragraph" w:customStyle="1" w:styleId="37">
    <w:name w:val="小标题建设内容2.1"/>
    <w:basedOn w:val="38"/>
    <w:next w:val="38"/>
    <w:qFormat/>
    <w:uiPriority w:val="0"/>
    <w:pPr>
      <w:numPr>
        <w:ilvl w:val="0"/>
        <w:numId w:val="1"/>
      </w:numPr>
      <w:tabs>
        <w:tab w:val="clear" w:pos="0"/>
      </w:tabs>
    </w:pPr>
    <w:rPr>
      <w:rFonts w:ascii="Times New Roman" w:hAnsi="Times New Roman" w:eastAsia="宋体"/>
    </w:rPr>
  </w:style>
  <w:style w:type="paragraph" w:customStyle="1" w:styleId="38">
    <w:name w:val="表格正文"/>
    <w:basedOn w:val="39"/>
    <w:next w:val="1"/>
    <w:qFormat/>
    <w:uiPriority w:val="0"/>
    <w:pPr>
      <w:autoSpaceDE w:val="0"/>
      <w:autoSpaceDN w:val="0"/>
      <w:adjustRightInd w:val="0"/>
      <w:snapToGrid/>
      <w:spacing w:line="360" w:lineRule="auto"/>
      <w:ind w:firstLine="1440" w:firstLineChars="200"/>
      <w:jc w:val="left"/>
    </w:pPr>
    <w:rPr>
      <w:rFonts w:hint="eastAsia" w:ascii="Times New Roman" w:hAnsi="Times New Roman" w:eastAsia="宋体" w:cs="Times New Roman"/>
      <w:color w:val="auto"/>
      <w:spacing w:val="-1"/>
      <w:kern w:val="0"/>
      <w:szCs w:val="21"/>
    </w:rPr>
  </w:style>
  <w:style w:type="paragraph" w:customStyle="1" w:styleId="39">
    <w:name w:val="表格加粗"/>
    <w:basedOn w:val="1"/>
    <w:next w:val="1"/>
    <w:qFormat/>
    <w:uiPriority w:val="0"/>
    <w:pPr>
      <w:spacing w:line="360" w:lineRule="exact"/>
      <w:ind w:firstLine="0" w:firstLineChars="0"/>
      <w:jc w:val="center"/>
    </w:pPr>
    <w:rPr>
      <w:b/>
      <w:bCs/>
      <w:szCs w:val="21"/>
    </w:rPr>
  </w:style>
  <w:style w:type="paragraph" w:customStyle="1" w:styleId="40">
    <w:name w:val="表格标题"/>
    <w:basedOn w:val="41"/>
    <w:qFormat/>
    <w:uiPriority w:val="0"/>
    <w:pPr>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41">
    <w:name w:val="Text"/>
    <w:qFormat/>
    <w:uiPriority w:val="0"/>
    <w:pPr>
      <w:spacing w:line="360" w:lineRule="auto"/>
    </w:pPr>
    <w:rPr>
      <w:rFonts w:ascii="Times New Roman" w:hAnsi="Times New Roman" w:eastAsia="宋体" w:cstheme="minorBidi"/>
      <w:sz w:val="24"/>
      <w:szCs w:val="24"/>
    </w:rPr>
  </w:style>
  <w:style w:type="character" w:customStyle="1" w:styleId="42">
    <w:name w:val="font71"/>
    <w:basedOn w:val="23"/>
    <w:qFormat/>
    <w:uiPriority w:val="0"/>
    <w:rPr>
      <w:rFonts w:hint="eastAsia" w:ascii="宋体" w:hAnsi="宋体" w:eastAsia="宋体" w:cs="宋体"/>
      <w:b/>
      <w:color w:val="000000"/>
      <w:sz w:val="21"/>
      <w:szCs w:val="21"/>
      <w:u w:val="none"/>
    </w:rPr>
  </w:style>
  <w:style w:type="character" w:customStyle="1" w:styleId="43">
    <w:name w:val="font91"/>
    <w:basedOn w:val="23"/>
    <w:qFormat/>
    <w:uiPriority w:val="0"/>
    <w:rPr>
      <w:rFonts w:hint="default" w:ascii="Times New Roman" w:hAnsi="Times New Roman" w:cs="Times New Roman"/>
      <w:b/>
      <w:color w:val="000000"/>
      <w:sz w:val="21"/>
      <w:szCs w:val="21"/>
      <w:u w:val="none"/>
    </w:rPr>
  </w:style>
  <w:style w:type="character" w:customStyle="1" w:styleId="44">
    <w:name w:val="font81"/>
    <w:basedOn w:val="23"/>
    <w:qFormat/>
    <w:uiPriority w:val="0"/>
    <w:rPr>
      <w:rFonts w:hint="eastAsia" w:ascii="宋体" w:hAnsi="宋体" w:eastAsia="宋体" w:cs="宋体"/>
      <w:color w:val="000000"/>
      <w:sz w:val="21"/>
      <w:szCs w:val="21"/>
      <w:u w:val="none"/>
    </w:rPr>
  </w:style>
  <w:style w:type="character" w:customStyle="1" w:styleId="45">
    <w:name w:val="font12"/>
    <w:basedOn w:val="23"/>
    <w:qFormat/>
    <w:uiPriority w:val="0"/>
    <w:rPr>
      <w:rFonts w:hint="eastAsia" w:ascii="宋体" w:hAnsi="宋体" w:eastAsia="宋体" w:cs="宋体"/>
      <w:color w:val="000000"/>
      <w:sz w:val="21"/>
      <w:szCs w:val="21"/>
      <w:u w:val="none"/>
    </w:rPr>
  </w:style>
  <w:style w:type="paragraph" w:customStyle="1" w:styleId="46">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rPr>
  </w:style>
  <w:style w:type="paragraph" w:customStyle="1" w:styleId="47">
    <w:name w:val="新表"/>
    <w:basedOn w:val="1"/>
    <w:qFormat/>
    <w:uiPriority w:val="0"/>
    <w:pPr>
      <w:spacing w:line="360" w:lineRule="exact"/>
    </w:pPr>
    <w:rPr>
      <w:bCs/>
    </w:rPr>
  </w:style>
  <w:style w:type="paragraph" w:customStyle="1" w:styleId="48">
    <w:name w:val="1 表格内容"/>
    <w:basedOn w:val="1"/>
    <w:qFormat/>
    <w:uiPriority w:val="0"/>
    <w:pPr>
      <w:jc w:val="center"/>
    </w:pPr>
    <w:rPr>
      <w:sz w:val="18"/>
      <w:szCs w:val="21"/>
    </w:rPr>
  </w:style>
  <w:style w:type="paragraph" w:customStyle="1" w:styleId="49">
    <w:name w:val="正文 首行缩进:  2 字符"/>
    <w:basedOn w:val="1"/>
    <w:qFormat/>
    <w:uiPriority w:val="99"/>
    <w:pPr>
      <w:ind w:firstLine="579" w:firstLineChars="200"/>
    </w:pPr>
    <w:rPr>
      <w:rFonts w:cs="宋体"/>
    </w:rPr>
  </w:style>
  <w:style w:type="paragraph" w:customStyle="1" w:styleId="50">
    <w:name w:val="样式 样式 标题 4 + 段前: 0.1 行"/>
    <w:basedOn w:val="1"/>
    <w:qFormat/>
    <w:uiPriority w:val="0"/>
    <w:pPr>
      <w:keepNext/>
      <w:keepLines/>
      <w:spacing w:beforeLines="10" w:line="360" w:lineRule="auto"/>
      <w:contextualSpacing/>
      <w:outlineLvl w:val="3"/>
    </w:pPr>
    <w:rPr>
      <w:rFonts w:ascii="Arial" w:hAnsi="Arial" w:eastAsia="宋体" w:cs="宋体"/>
      <w:sz w:val="24"/>
      <w:szCs w:val="20"/>
    </w:rPr>
  </w:style>
  <w:style w:type="paragraph" w:customStyle="1" w:styleId="51">
    <w:name w:val="样式 样式 正文缩进正文（首行缩进两字） Char Char Char Char Char Char Char表格标题标题4文...."/>
    <w:basedOn w:val="52"/>
    <w:qFormat/>
    <w:uiPriority w:val="0"/>
  </w:style>
  <w:style w:type="paragraph" w:customStyle="1" w:styleId="52">
    <w:name w:val="样式 正文缩进正文（首行缩进两字） Char Char Char Char Char Char Char表格标题标题4文..."/>
    <w:basedOn w:val="5"/>
    <w:qFormat/>
    <w:uiPriority w:val="99"/>
    <w:pPr>
      <w:widowControl/>
      <w:overflowPunct w:val="0"/>
      <w:spacing w:line="500" w:lineRule="exact"/>
      <w:ind w:firstLine="200" w:firstLineChars="200"/>
      <w:jc w:val="left"/>
    </w:pPr>
    <w:rPr>
      <w:rFonts w:ascii="宋体" w:hAnsi="宋体" w:cs="宋体"/>
    </w:rPr>
  </w:style>
  <w:style w:type="paragraph" w:styleId="53">
    <w:name w:val="List Paragraph"/>
    <w:basedOn w:val="1"/>
    <w:qFormat/>
    <w:uiPriority w:val="34"/>
    <w:pPr>
      <w:ind w:firstLine="420"/>
    </w:pPr>
  </w:style>
  <w:style w:type="paragraph" w:customStyle="1" w:styleId="54">
    <w:name w:val="样式 宋体 小四 两端对齐 首行缩进:  0.85 厘米 行距: 1.5 倍行距"/>
    <w:basedOn w:val="1"/>
    <w:qFormat/>
    <w:uiPriority w:val="0"/>
    <w:pPr>
      <w:widowControl/>
      <w:spacing w:line="360" w:lineRule="auto"/>
      <w:ind w:firstLine="482"/>
    </w:pPr>
    <w:rPr>
      <w:kern w:val="0"/>
      <w:sz w:val="24"/>
    </w:rPr>
  </w:style>
  <w:style w:type="paragraph" w:customStyle="1" w:styleId="55">
    <w:name w:val="列出段落2"/>
    <w:basedOn w:val="1"/>
    <w:unhideWhenUsed/>
    <w:qFormat/>
    <w:uiPriority w:val="99"/>
    <w:pPr>
      <w:ind w:firstLine="420" w:firstLineChars="200"/>
    </w:pPr>
    <w:rPr>
      <w:rFonts w:ascii="Calibri" w:hAnsi="Calibri"/>
    </w:rPr>
  </w:style>
  <w:style w:type="paragraph" w:customStyle="1" w:styleId="56">
    <w:name w:val="谏壁正文chen"/>
    <w:basedOn w:val="1"/>
    <w:qFormat/>
    <w:uiPriority w:val="0"/>
    <w:pPr>
      <w:spacing w:line="360" w:lineRule="auto"/>
      <w:ind w:firstLine="200" w:firstLineChars="200"/>
    </w:pPr>
    <w:rPr>
      <w:sz w:val="24"/>
    </w:rPr>
  </w:style>
  <w:style w:type="paragraph" w:customStyle="1" w:styleId="57">
    <w:name w:val="正文-lcc"/>
    <w:basedOn w:val="1"/>
    <w:qFormat/>
    <w:uiPriority w:val="0"/>
    <w:pPr>
      <w:snapToGrid w:val="0"/>
    </w:pPr>
    <w:rPr>
      <w:rFonts w:eastAsia="仿宋"/>
      <w:color w:val="000000"/>
    </w:rPr>
  </w:style>
  <w:style w:type="paragraph" w:customStyle="1" w:styleId="58">
    <w:name w:val="zl正文"/>
    <w:basedOn w:val="1"/>
    <w:qFormat/>
    <w:uiPriority w:val="0"/>
    <w:pPr>
      <w:spacing w:line="360" w:lineRule="auto"/>
      <w:ind w:firstLine="480" w:firstLineChars="200"/>
    </w:pPr>
    <w:rPr>
      <w:sz w:val="24"/>
    </w:rPr>
  </w:style>
  <w:style w:type="paragraph" w:customStyle="1" w:styleId="59">
    <w:name w:val="正文段落"/>
    <w:basedOn w:val="1"/>
    <w:qFormat/>
    <w:uiPriority w:val="0"/>
    <w:pPr>
      <w:spacing w:line="500" w:lineRule="exact"/>
      <w:ind w:firstLine="200" w:firstLineChars="200"/>
    </w:pPr>
    <w:rPr>
      <w:sz w:val="24"/>
    </w:rPr>
  </w:style>
  <w:style w:type="paragraph" w:customStyle="1" w:styleId="60">
    <w:name w:val="样式 正文001 + 首行缩进:  2 字符"/>
    <w:basedOn w:val="1"/>
    <w:qFormat/>
    <w:uiPriority w:val="0"/>
    <w:pPr>
      <w:spacing w:line="500" w:lineRule="atLeast"/>
      <w:ind w:firstLine="48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3.bin"/><Relationship Id="rId16" Type="http://schemas.openxmlformats.org/officeDocument/2006/relationships/image" Target="media/image7.wmf"/><Relationship Id="rId15" Type="http://schemas.openxmlformats.org/officeDocument/2006/relationships/oleObject" Target="embeddings/oleObject2.bin"/><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136</Pages>
  <Words>75127</Words>
  <Characters>85755</Characters>
  <Lines>0</Lines>
  <Paragraphs>0</Paragraphs>
  <TotalTime>26</TotalTime>
  <ScaleCrop>false</ScaleCrop>
  <LinksUpToDate>false</LinksUpToDate>
  <CharactersWithSpaces>86282</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2025-12-13T13:45:00Z</dcterms:created>
  <dc:creator>流浪猫</dc:creator>
  <cp:lastModifiedBy>greatwall</cp:lastModifiedBy>
  <cp:lastPrinted>2026-03-05T11:31:00Z</cp:lastPrinted>
  <dcterms:modified xsi:type="dcterms:W3CDTF">2026-03-06T11:38:49Z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7647D10AC7C24628852EEF01E1A9C7C4_13</vt:lpwstr>
  </property>
  <property fmtid="{D5CDD505-2E9C-101B-9397-08002B2CF9AE}" pid="4" name="KSOTemplateDocerSaveRecord">
    <vt:lpwstr>eyJoZGlkIjoiYTM1ZmRiMzVjOTFmMTM1NjIxNzU2ZjZhMWJhN2ExYTEiLCJ1c2VySWQiOiI0OTc5NjAyNjEifQ==</vt:lpwstr>
  </property>
</Properties>
</file>